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84EC9E">
      <w:pPr>
        <w:rPr>
          <w:rFonts w:hint="eastAsia" w:eastAsia="宋体"/>
          <w:color w:val="auto"/>
          <w:lang w:val="en-US" w:eastAsia="zh-CN"/>
        </w:rPr>
      </w:pPr>
    </w:p>
    <w:p w14:paraId="3A84EC9F">
      <w:pPr>
        <w:rPr>
          <w:color w:val="auto"/>
          <w:sz w:val="36"/>
          <w:szCs w:val="36"/>
        </w:rPr>
      </w:pPr>
    </w:p>
    <w:p w14:paraId="3A84ECA0">
      <w:pPr>
        <w:rPr>
          <w:color w:val="auto"/>
          <w:sz w:val="36"/>
          <w:szCs w:val="36"/>
        </w:rPr>
      </w:pPr>
    </w:p>
    <w:p w14:paraId="3A84ECA1">
      <w:pPr>
        <w:rPr>
          <w:color w:val="auto"/>
          <w:sz w:val="36"/>
          <w:szCs w:val="36"/>
        </w:rPr>
      </w:pPr>
    </w:p>
    <w:p w14:paraId="3A84ECA2">
      <w:pPr>
        <w:adjustRightInd w:val="0"/>
        <w:snapToGrid w:val="0"/>
        <w:jc w:val="center"/>
        <w:rPr>
          <w:b/>
          <w:color w:val="auto"/>
          <w:sz w:val="72"/>
          <w:szCs w:val="72"/>
        </w:rPr>
      </w:pPr>
      <w:bookmarkStart w:id="0" w:name="_Toc25978"/>
      <w:bookmarkStart w:id="1" w:name="_Toc66820353"/>
      <w:bookmarkStart w:id="2" w:name="_Toc29582"/>
      <w:r>
        <w:rPr>
          <w:b/>
          <w:color w:val="auto"/>
          <w:sz w:val="72"/>
          <w:szCs w:val="72"/>
        </w:rPr>
        <w:t>建设项目环境影响报告表</w:t>
      </w:r>
      <w:bookmarkEnd w:id="0"/>
      <w:bookmarkEnd w:id="1"/>
      <w:bookmarkEnd w:id="2"/>
    </w:p>
    <w:p w14:paraId="3A84ECA3">
      <w:pPr>
        <w:adjustRightInd w:val="0"/>
        <w:snapToGrid w:val="0"/>
        <w:spacing w:before="192" w:beforeLines="80"/>
        <w:jc w:val="center"/>
        <w:rPr>
          <w:b/>
          <w:color w:val="auto"/>
          <w:sz w:val="48"/>
          <w:szCs w:val="48"/>
        </w:rPr>
      </w:pPr>
      <w:r>
        <w:rPr>
          <w:b/>
          <w:color w:val="auto"/>
          <w:sz w:val="48"/>
          <w:szCs w:val="48"/>
        </w:rPr>
        <w:t>（污染影响类）</w:t>
      </w:r>
    </w:p>
    <w:p w14:paraId="3A84ECA4">
      <w:pPr>
        <w:rPr>
          <w:color w:val="auto"/>
          <w:sz w:val="52"/>
          <w:szCs w:val="52"/>
        </w:rPr>
      </w:pPr>
    </w:p>
    <w:p w14:paraId="3A84ECA5">
      <w:pPr>
        <w:rPr>
          <w:color w:val="auto"/>
          <w:sz w:val="52"/>
          <w:szCs w:val="52"/>
        </w:rPr>
      </w:pPr>
    </w:p>
    <w:p w14:paraId="3A84ECA6">
      <w:pPr>
        <w:rPr>
          <w:color w:val="auto"/>
          <w:sz w:val="52"/>
          <w:szCs w:val="52"/>
        </w:rPr>
      </w:pPr>
    </w:p>
    <w:p w14:paraId="3A84ECA7">
      <w:pPr>
        <w:rPr>
          <w:color w:val="auto"/>
          <w:sz w:val="52"/>
          <w:szCs w:val="52"/>
        </w:rPr>
      </w:pPr>
    </w:p>
    <w:p w14:paraId="3A84ECA8">
      <w:pPr>
        <w:rPr>
          <w:color w:val="auto"/>
          <w:sz w:val="44"/>
          <w:szCs w:val="44"/>
        </w:rPr>
      </w:pPr>
    </w:p>
    <w:p w14:paraId="3A84ECA9">
      <w:pPr>
        <w:spacing w:line="360" w:lineRule="auto"/>
        <w:rPr>
          <w:color w:val="auto"/>
        </w:rPr>
      </w:pPr>
    </w:p>
    <w:tbl>
      <w:tblPr>
        <w:tblStyle w:val="59"/>
        <w:tblW w:w="9368" w:type="dxa"/>
        <w:jc w:val="center"/>
        <w:tblLayout w:type="autofit"/>
        <w:tblCellMar>
          <w:top w:w="0" w:type="dxa"/>
          <w:left w:w="108" w:type="dxa"/>
          <w:bottom w:w="0" w:type="dxa"/>
          <w:right w:w="108" w:type="dxa"/>
        </w:tblCellMar>
      </w:tblPr>
      <w:tblGrid>
        <w:gridCol w:w="3008"/>
        <w:gridCol w:w="6360"/>
      </w:tblGrid>
      <w:tr w14:paraId="3A84ECAC">
        <w:tblPrEx>
          <w:tblCellMar>
            <w:top w:w="0" w:type="dxa"/>
            <w:left w:w="108" w:type="dxa"/>
            <w:bottom w:w="0" w:type="dxa"/>
            <w:right w:w="108" w:type="dxa"/>
          </w:tblCellMar>
        </w:tblPrEx>
        <w:trPr>
          <w:jc w:val="center"/>
        </w:trPr>
        <w:tc>
          <w:tcPr>
            <w:tcW w:w="3008" w:type="dxa"/>
            <w:shd w:val="clear" w:color="auto" w:fill="auto"/>
            <w:vAlign w:val="center"/>
          </w:tcPr>
          <w:p w14:paraId="3A84ECAA">
            <w:pPr>
              <w:adjustRightInd w:val="0"/>
              <w:snapToGrid w:val="0"/>
              <w:jc w:val="center"/>
              <w:rPr>
                <w:color w:val="auto"/>
                <w:sz w:val="36"/>
                <w:szCs w:val="36"/>
              </w:rPr>
            </w:pPr>
            <w:r>
              <w:rPr>
                <w:rFonts w:hint="eastAsia"/>
                <w:b/>
                <w:bCs/>
                <w:color w:val="auto"/>
                <w:sz w:val="36"/>
                <w:szCs w:val="36"/>
              </w:rPr>
              <w:t>项目名称：</w:t>
            </w:r>
          </w:p>
        </w:tc>
        <w:tc>
          <w:tcPr>
            <w:tcW w:w="6360" w:type="dxa"/>
            <w:tcBorders>
              <w:bottom w:val="single" w:color="auto" w:sz="8" w:space="0"/>
            </w:tcBorders>
            <w:shd w:val="clear" w:color="auto" w:fill="auto"/>
            <w:vAlign w:val="center"/>
          </w:tcPr>
          <w:p w14:paraId="3A84ECAB">
            <w:pPr>
              <w:adjustRightInd w:val="0"/>
              <w:snapToGrid w:val="0"/>
              <w:jc w:val="center"/>
              <w:rPr>
                <w:color w:val="auto"/>
                <w:sz w:val="32"/>
                <w:szCs w:val="32"/>
              </w:rPr>
            </w:pPr>
            <w:r>
              <w:rPr>
                <w:rFonts w:hint="eastAsia"/>
                <w:color w:val="auto"/>
                <w:sz w:val="32"/>
                <w:szCs w:val="32"/>
              </w:rPr>
              <w:t>年产2000万件气体发生器生产配套项目</w:t>
            </w:r>
          </w:p>
        </w:tc>
      </w:tr>
      <w:tr w14:paraId="3A84ECAF">
        <w:tblPrEx>
          <w:tblCellMar>
            <w:top w:w="0" w:type="dxa"/>
            <w:left w:w="108" w:type="dxa"/>
            <w:bottom w:w="0" w:type="dxa"/>
            <w:right w:w="108" w:type="dxa"/>
          </w:tblCellMar>
        </w:tblPrEx>
        <w:trPr>
          <w:trHeight w:val="440" w:hRule="atLeast"/>
          <w:jc w:val="center"/>
        </w:trPr>
        <w:tc>
          <w:tcPr>
            <w:tcW w:w="3008" w:type="dxa"/>
            <w:tcBorders>
              <w:right w:val="nil"/>
            </w:tcBorders>
            <w:shd w:val="clear" w:color="auto" w:fill="auto"/>
            <w:vAlign w:val="center"/>
          </w:tcPr>
          <w:p w14:paraId="3A84ECAD">
            <w:pPr>
              <w:adjustRightInd w:val="0"/>
              <w:snapToGrid w:val="0"/>
              <w:jc w:val="center"/>
              <w:rPr>
                <w:color w:val="auto"/>
                <w:sz w:val="36"/>
                <w:szCs w:val="36"/>
              </w:rPr>
            </w:pPr>
            <w:r>
              <w:rPr>
                <w:b/>
                <w:bCs/>
                <w:color w:val="auto"/>
                <w:sz w:val="36"/>
                <w:szCs w:val="36"/>
              </w:rPr>
              <w:t>建设单位（盖章）</w:t>
            </w:r>
            <w:r>
              <w:rPr>
                <w:color w:val="auto"/>
                <w:sz w:val="36"/>
                <w:szCs w:val="36"/>
              </w:rPr>
              <w:t>：</w:t>
            </w:r>
          </w:p>
        </w:tc>
        <w:tc>
          <w:tcPr>
            <w:tcW w:w="6360" w:type="dxa"/>
            <w:tcBorders>
              <w:top w:val="single" w:color="auto" w:sz="8" w:space="0"/>
              <w:left w:val="nil"/>
              <w:bottom w:val="single" w:color="auto" w:sz="8" w:space="0"/>
              <w:right w:val="nil"/>
            </w:tcBorders>
            <w:shd w:val="clear" w:color="auto" w:fill="auto"/>
            <w:vAlign w:val="center"/>
          </w:tcPr>
          <w:p w14:paraId="3A84ECAE">
            <w:pPr>
              <w:adjustRightInd w:val="0"/>
              <w:snapToGrid w:val="0"/>
              <w:jc w:val="center"/>
              <w:rPr>
                <w:color w:val="auto"/>
                <w:sz w:val="32"/>
                <w:szCs w:val="32"/>
              </w:rPr>
            </w:pPr>
            <w:r>
              <w:rPr>
                <w:rFonts w:hint="eastAsia"/>
                <w:color w:val="auto"/>
                <w:sz w:val="32"/>
                <w:szCs w:val="32"/>
              </w:rPr>
              <w:t>奥托立夫（江苏）汽车安全零部件有限公司</w:t>
            </w:r>
          </w:p>
        </w:tc>
      </w:tr>
      <w:tr w14:paraId="3A84ECB2">
        <w:tblPrEx>
          <w:tblCellMar>
            <w:top w:w="0" w:type="dxa"/>
            <w:left w:w="108" w:type="dxa"/>
            <w:bottom w:w="0" w:type="dxa"/>
            <w:right w:w="108" w:type="dxa"/>
          </w:tblCellMar>
        </w:tblPrEx>
        <w:trPr>
          <w:jc w:val="center"/>
        </w:trPr>
        <w:tc>
          <w:tcPr>
            <w:tcW w:w="3008" w:type="dxa"/>
            <w:tcBorders>
              <w:right w:val="nil"/>
            </w:tcBorders>
            <w:shd w:val="clear" w:color="auto" w:fill="auto"/>
            <w:vAlign w:val="center"/>
          </w:tcPr>
          <w:p w14:paraId="3A84ECB0">
            <w:pPr>
              <w:adjustRightInd w:val="0"/>
              <w:snapToGrid w:val="0"/>
              <w:jc w:val="center"/>
              <w:rPr>
                <w:color w:val="auto"/>
                <w:sz w:val="36"/>
                <w:szCs w:val="36"/>
              </w:rPr>
            </w:pPr>
            <w:r>
              <w:rPr>
                <w:b/>
                <w:bCs/>
                <w:color w:val="auto"/>
                <w:sz w:val="36"/>
                <w:szCs w:val="36"/>
              </w:rPr>
              <w:t>编制日期</w:t>
            </w:r>
            <w:r>
              <w:rPr>
                <w:color w:val="auto"/>
                <w:sz w:val="36"/>
                <w:szCs w:val="36"/>
              </w:rPr>
              <w:t>：</w:t>
            </w:r>
          </w:p>
        </w:tc>
        <w:tc>
          <w:tcPr>
            <w:tcW w:w="6360" w:type="dxa"/>
            <w:tcBorders>
              <w:top w:val="single" w:color="auto" w:sz="8" w:space="0"/>
              <w:left w:val="nil"/>
              <w:bottom w:val="single" w:color="auto" w:sz="8" w:space="0"/>
              <w:right w:val="nil"/>
            </w:tcBorders>
            <w:shd w:val="clear" w:color="auto" w:fill="auto"/>
            <w:vAlign w:val="center"/>
          </w:tcPr>
          <w:p w14:paraId="3A84ECB1">
            <w:pPr>
              <w:adjustRightInd w:val="0"/>
              <w:snapToGrid w:val="0"/>
              <w:jc w:val="center"/>
              <w:rPr>
                <w:color w:val="auto"/>
                <w:sz w:val="32"/>
                <w:szCs w:val="32"/>
              </w:rPr>
            </w:pPr>
            <w:r>
              <w:rPr>
                <w:rFonts w:hint="eastAsia"/>
                <w:color w:val="auto"/>
                <w:sz w:val="32"/>
                <w:szCs w:val="32"/>
              </w:rPr>
              <w:t>2025年1月</w:t>
            </w:r>
          </w:p>
        </w:tc>
      </w:tr>
    </w:tbl>
    <w:p w14:paraId="3A84ECB3">
      <w:pPr>
        <w:adjustRightInd w:val="0"/>
        <w:snapToGrid w:val="0"/>
        <w:spacing w:line="360" w:lineRule="auto"/>
        <w:jc w:val="center"/>
        <w:rPr>
          <w:color w:val="auto"/>
          <w:sz w:val="36"/>
          <w:szCs w:val="36"/>
          <w:u w:val="single"/>
        </w:rPr>
      </w:pPr>
    </w:p>
    <w:p w14:paraId="3A84ECB4">
      <w:pPr>
        <w:adjustRightInd w:val="0"/>
        <w:snapToGrid w:val="0"/>
        <w:spacing w:line="288" w:lineRule="auto"/>
        <w:rPr>
          <w:color w:val="auto"/>
          <w:sz w:val="36"/>
          <w:szCs w:val="36"/>
          <w:u w:val="single"/>
        </w:rPr>
      </w:pPr>
    </w:p>
    <w:p w14:paraId="3A84ECB5">
      <w:pPr>
        <w:adjustRightInd w:val="0"/>
        <w:snapToGrid w:val="0"/>
        <w:spacing w:line="288" w:lineRule="auto"/>
        <w:rPr>
          <w:color w:val="auto"/>
          <w:sz w:val="36"/>
          <w:szCs w:val="36"/>
        </w:rPr>
      </w:pPr>
    </w:p>
    <w:p w14:paraId="3A84ECB6">
      <w:pPr>
        <w:adjustRightInd w:val="0"/>
        <w:snapToGrid w:val="0"/>
        <w:spacing w:line="288" w:lineRule="auto"/>
        <w:rPr>
          <w:color w:val="auto"/>
          <w:sz w:val="36"/>
          <w:szCs w:val="36"/>
        </w:rPr>
      </w:pPr>
    </w:p>
    <w:p w14:paraId="3A84ECB7">
      <w:pPr>
        <w:adjustRightInd w:val="0"/>
        <w:snapToGrid w:val="0"/>
        <w:spacing w:line="288" w:lineRule="auto"/>
        <w:rPr>
          <w:color w:val="auto"/>
          <w:sz w:val="36"/>
          <w:szCs w:val="36"/>
        </w:rPr>
      </w:pPr>
    </w:p>
    <w:p w14:paraId="3A84ECB8">
      <w:pPr>
        <w:adjustRightInd w:val="0"/>
        <w:snapToGrid w:val="0"/>
        <w:spacing w:line="288" w:lineRule="auto"/>
        <w:rPr>
          <w:color w:val="auto"/>
          <w:sz w:val="36"/>
          <w:szCs w:val="36"/>
        </w:rPr>
      </w:pPr>
    </w:p>
    <w:p w14:paraId="3A84ECB9">
      <w:pPr>
        <w:adjustRightInd w:val="0"/>
        <w:snapToGrid w:val="0"/>
        <w:spacing w:line="360" w:lineRule="auto"/>
        <w:jc w:val="center"/>
        <w:rPr>
          <w:b/>
          <w:bCs/>
          <w:color w:val="auto"/>
          <w:sz w:val="36"/>
          <w:szCs w:val="36"/>
        </w:rPr>
      </w:pPr>
      <w:bookmarkStart w:id="3" w:name="_Toc10649"/>
      <w:r>
        <w:rPr>
          <w:b/>
          <w:bCs/>
          <w:color w:val="auto"/>
          <w:sz w:val="36"/>
          <w:szCs w:val="36"/>
        </w:rPr>
        <w:t>中华人民共和国生态环境部制</w:t>
      </w:r>
      <w:bookmarkEnd w:id="3"/>
    </w:p>
    <w:p w14:paraId="3A84ECBA">
      <w:pPr>
        <w:adjustRightInd w:val="0"/>
        <w:snapToGrid w:val="0"/>
        <w:spacing w:line="288" w:lineRule="auto"/>
        <w:rPr>
          <w:color w:val="auto"/>
          <w:sz w:val="24"/>
        </w:rPr>
      </w:pPr>
    </w:p>
    <w:p w14:paraId="3A84ECBB">
      <w:pPr>
        <w:adjustRightInd w:val="0"/>
        <w:snapToGrid w:val="0"/>
        <w:spacing w:line="288" w:lineRule="auto"/>
        <w:rPr>
          <w:color w:val="auto"/>
          <w:sz w:val="24"/>
        </w:rPr>
      </w:pPr>
    </w:p>
    <w:p w14:paraId="3A84ECBC">
      <w:pPr>
        <w:pStyle w:val="23"/>
        <w:outlineLvl w:val="9"/>
        <w:rPr>
          <w:color w:val="auto"/>
        </w:rPr>
      </w:pPr>
    </w:p>
    <w:p w14:paraId="3A84ECBD">
      <w:pPr>
        <w:rPr>
          <w:color w:val="auto"/>
          <w:sz w:val="24"/>
          <w:szCs w:val="24"/>
        </w:rPr>
      </w:pPr>
    </w:p>
    <w:p w14:paraId="3A84ECBE">
      <w:pPr>
        <w:pStyle w:val="23"/>
        <w:jc w:val="center"/>
        <w:outlineLvl w:val="9"/>
        <w:rPr>
          <w:color w:val="auto"/>
        </w:rPr>
      </w:pPr>
    </w:p>
    <w:p w14:paraId="3A84ECBF">
      <w:pPr>
        <w:rPr>
          <w:color w:val="auto"/>
        </w:rPr>
      </w:pPr>
      <w:r>
        <w:rPr>
          <w:color w:val="auto"/>
        </w:rPr>
        <w:br w:type="page"/>
      </w:r>
    </w:p>
    <w:p w14:paraId="3A84ECC0">
      <w:pPr>
        <w:pStyle w:val="23"/>
        <w:jc w:val="center"/>
        <w:outlineLvl w:val="9"/>
        <w:rPr>
          <w:rFonts w:hint="eastAsia" w:ascii="宋体" w:hAnsi="宋体"/>
          <w:b/>
          <w:bCs/>
          <w:color w:val="auto"/>
          <w:sz w:val="24"/>
          <w:szCs w:val="24"/>
          <w:lang w:val="zh-CN"/>
        </w:rPr>
      </w:pPr>
      <w:r>
        <w:rPr>
          <w:color w:val="auto"/>
        </w:rPr>
        <w:drawing>
          <wp:inline distT="0" distB="0" distL="114300" distR="114300">
            <wp:extent cx="5610860" cy="7989570"/>
            <wp:effectExtent l="0" t="0" r="12700" b="11430"/>
            <wp:docPr id="19" name="图片 19" descr="2025_03_21_08_40_4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5_03_21_08_40_41_00"/>
                    <pic:cNvPicPr>
                      <a:picLocks noChangeAspect="1"/>
                    </pic:cNvPicPr>
                  </pic:nvPicPr>
                  <pic:blipFill>
                    <a:blip r:embed="rId8"/>
                    <a:stretch>
                      <a:fillRect/>
                    </a:stretch>
                  </pic:blipFill>
                  <pic:spPr>
                    <a:xfrm>
                      <a:off x="0" y="0"/>
                      <a:ext cx="5610860" cy="7989570"/>
                    </a:xfrm>
                    <a:prstGeom prst="rect">
                      <a:avLst/>
                    </a:prstGeom>
                  </pic:spPr>
                </pic:pic>
              </a:graphicData>
            </a:graphic>
          </wp:inline>
        </w:drawing>
      </w:r>
      <w:r>
        <w:rPr>
          <w:color w:val="auto"/>
        </w:rPr>
        <w:br w:type="page"/>
      </w:r>
      <w:r>
        <w:rPr>
          <w:rFonts w:hint="eastAsia" w:ascii="宋体" w:hAnsi="宋体"/>
          <w:b/>
          <w:color w:val="auto"/>
          <w:sz w:val="32"/>
          <w:szCs w:val="24"/>
        </w:rPr>
        <w:t>目录</w:t>
      </w:r>
      <w:r>
        <w:rPr>
          <w:rFonts w:ascii="宋体" w:hAnsi="宋体"/>
          <w:b/>
          <w:bCs/>
          <w:color w:val="auto"/>
          <w:lang w:val="zh-CN"/>
        </w:rPr>
        <w:fldChar w:fldCharType="begin"/>
      </w:r>
      <w:r>
        <w:rPr>
          <w:rFonts w:ascii="宋体" w:hAnsi="宋体"/>
          <w:b/>
          <w:bCs/>
          <w:color w:val="auto"/>
          <w:lang w:val="zh-CN"/>
        </w:rPr>
        <w:instrText xml:space="preserve"> TOC \o "1-3" \h \z \u </w:instrText>
      </w:r>
      <w:r>
        <w:rPr>
          <w:rFonts w:ascii="宋体" w:hAnsi="宋体"/>
          <w:b/>
          <w:bCs/>
          <w:color w:val="auto"/>
          <w:lang w:val="zh-CN"/>
        </w:rPr>
        <w:fldChar w:fldCharType="separate"/>
      </w:r>
    </w:p>
    <w:p w14:paraId="3A84ECC1">
      <w:pPr>
        <w:pStyle w:val="40"/>
        <w:tabs>
          <w:tab w:val="right" w:leader="dot" w:pos="8844"/>
          <w:tab w:val="clear" w:pos="8296"/>
        </w:tabs>
        <w:rPr>
          <w:color w:val="auto"/>
          <w:sz w:val="24"/>
          <w:szCs w:val="24"/>
        </w:rPr>
      </w:pPr>
      <w:r>
        <w:rPr>
          <w:color w:val="auto"/>
        </w:rPr>
        <w:fldChar w:fldCharType="begin"/>
      </w:r>
      <w:r>
        <w:rPr>
          <w:color w:val="auto"/>
        </w:rPr>
        <w:instrText xml:space="preserve"> HYPERLINK \l "_Toc14737" </w:instrText>
      </w:r>
      <w:r>
        <w:rPr>
          <w:color w:val="auto"/>
        </w:rPr>
        <w:fldChar w:fldCharType="separate"/>
      </w:r>
      <w:r>
        <w:rPr>
          <w:color w:val="auto"/>
          <w:sz w:val="24"/>
          <w:szCs w:val="24"/>
        </w:rPr>
        <w:t>一、建设项目基本情况</w:t>
      </w:r>
      <w:r>
        <w:rPr>
          <w:color w:val="auto"/>
          <w:sz w:val="24"/>
          <w:szCs w:val="24"/>
        </w:rPr>
        <w:tab/>
      </w:r>
      <w:r>
        <w:rPr>
          <w:color w:val="auto"/>
          <w:sz w:val="24"/>
          <w:szCs w:val="24"/>
        </w:rPr>
        <w:fldChar w:fldCharType="begin"/>
      </w:r>
      <w:r>
        <w:rPr>
          <w:color w:val="auto"/>
          <w:sz w:val="24"/>
          <w:szCs w:val="24"/>
        </w:rPr>
        <w:instrText xml:space="preserve"> PAGEREF _Toc14737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14:paraId="3A84ECC2">
      <w:pPr>
        <w:pStyle w:val="40"/>
        <w:tabs>
          <w:tab w:val="right" w:leader="dot" w:pos="8844"/>
          <w:tab w:val="clear" w:pos="8296"/>
        </w:tabs>
        <w:rPr>
          <w:color w:val="auto"/>
          <w:sz w:val="24"/>
          <w:szCs w:val="24"/>
        </w:rPr>
      </w:pPr>
      <w:r>
        <w:rPr>
          <w:color w:val="auto"/>
        </w:rPr>
        <w:fldChar w:fldCharType="begin"/>
      </w:r>
      <w:r>
        <w:rPr>
          <w:color w:val="auto"/>
        </w:rPr>
        <w:instrText xml:space="preserve"> HYPERLINK \l "_Toc14795" </w:instrText>
      </w:r>
      <w:r>
        <w:rPr>
          <w:color w:val="auto"/>
        </w:rPr>
        <w:fldChar w:fldCharType="separate"/>
      </w:r>
      <w:r>
        <w:rPr>
          <w:color w:val="auto"/>
          <w:sz w:val="24"/>
          <w:szCs w:val="24"/>
        </w:rPr>
        <w:t>二、建设项目工程分析</w:t>
      </w:r>
      <w:r>
        <w:rPr>
          <w:color w:val="auto"/>
          <w:sz w:val="24"/>
          <w:szCs w:val="24"/>
        </w:rPr>
        <w:tab/>
      </w:r>
      <w:r>
        <w:rPr>
          <w:color w:val="auto"/>
          <w:sz w:val="24"/>
          <w:szCs w:val="24"/>
        </w:rPr>
        <w:fldChar w:fldCharType="begin"/>
      </w:r>
      <w:r>
        <w:rPr>
          <w:color w:val="auto"/>
          <w:sz w:val="24"/>
          <w:szCs w:val="24"/>
        </w:rPr>
        <w:instrText xml:space="preserve"> PAGEREF _Toc14795 \h </w:instrText>
      </w:r>
      <w:r>
        <w:rPr>
          <w:color w:val="auto"/>
          <w:sz w:val="24"/>
          <w:szCs w:val="24"/>
        </w:rPr>
        <w:fldChar w:fldCharType="separate"/>
      </w:r>
      <w:r>
        <w:rPr>
          <w:color w:val="auto"/>
          <w:sz w:val="24"/>
          <w:szCs w:val="24"/>
        </w:rPr>
        <w:t>26</w:t>
      </w:r>
      <w:r>
        <w:rPr>
          <w:color w:val="auto"/>
          <w:sz w:val="24"/>
          <w:szCs w:val="24"/>
        </w:rPr>
        <w:fldChar w:fldCharType="end"/>
      </w:r>
      <w:r>
        <w:rPr>
          <w:color w:val="auto"/>
          <w:sz w:val="24"/>
          <w:szCs w:val="24"/>
        </w:rPr>
        <w:fldChar w:fldCharType="end"/>
      </w:r>
    </w:p>
    <w:p w14:paraId="3A84ECC3">
      <w:pPr>
        <w:pStyle w:val="40"/>
        <w:tabs>
          <w:tab w:val="right" w:leader="dot" w:pos="8844"/>
          <w:tab w:val="clear" w:pos="8296"/>
        </w:tabs>
        <w:rPr>
          <w:color w:val="auto"/>
          <w:sz w:val="24"/>
          <w:szCs w:val="24"/>
        </w:rPr>
      </w:pPr>
      <w:r>
        <w:rPr>
          <w:color w:val="auto"/>
        </w:rPr>
        <w:fldChar w:fldCharType="begin"/>
      </w:r>
      <w:r>
        <w:rPr>
          <w:color w:val="auto"/>
        </w:rPr>
        <w:instrText xml:space="preserve"> HYPERLINK \l "_Toc21144" </w:instrText>
      </w:r>
      <w:r>
        <w:rPr>
          <w:color w:val="auto"/>
        </w:rPr>
        <w:fldChar w:fldCharType="separate"/>
      </w:r>
      <w:r>
        <w:rPr>
          <w:color w:val="auto"/>
          <w:sz w:val="24"/>
          <w:szCs w:val="24"/>
        </w:rPr>
        <w:t>三、区域环境质量现状、环境保护目标及评价标准</w:t>
      </w:r>
      <w:r>
        <w:rPr>
          <w:color w:val="auto"/>
          <w:sz w:val="24"/>
          <w:szCs w:val="24"/>
        </w:rPr>
        <w:tab/>
      </w:r>
      <w:r>
        <w:rPr>
          <w:color w:val="auto"/>
          <w:sz w:val="24"/>
          <w:szCs w:val="24"/>
        </w:rPr>
        <w:fldChar w:fldCharType="begin"/>
      </w:r>
      <w:r>
        <w:rPr>
          <w:color w:val="auto"/>
          <w:sz w:val="24"/>
          <w:szCs w:val="24"/>
        </w:rPr>
        <w:instrText xml:space="preserve"> PAGEREF _Toc21144 \h </w:instrText>
      </w:r>
      <w:r>
        <w:rPr>
          <w:color w:val="auto"/>
          <w:sz w:val="24"/>
          <w:szCs w:val="24"/>
        </w:rPr>
        <w:fldChar w:fldCharType="separate"/>
      </w:r>
      <w:r>
        <w:rPr>
          <w:color w:val="auto"/>
          <w:sz w:val="24"/>
          <w:szCs w:val="24"/>
        </w:rPr>
        <w:t>87</w:t>
      </w:r>
      <w:r>
        <w:rPr>
          <w:color w:val="auto"/>
          <w:sz w:val="24"/>
          <w:szCs w:val="24"/>
        </w:rPr>
        <w:fldChar w:fldCharType="end"/>
      </w:r>
      <w:r>
        <w:rPr>
          <w:color w:val="auto"/>
          <w:sz w:val="24"/>
          <w:szCs w:val="24"/>
        </w:rPr>
        <w:fldChar w:fldCharType="end"/>
      </w:r>
    </w:p>
    <w:p w14:paraId="3A84ECC4">
      <w:pPr>
        <w:pStyle w:val="40"/>
        <w:tabs>
          <w:tab w:val="right" w:leader="dot" w:pos="8844"/>
          <w:tab w:val="clear" w:pos="8296"/>
        </w:tabs>
        <w:rPr>
          <w:color w:val="auto"/>
          <w:sz w:val="24"/>
          <w:szCs w:val="24"/>
        </w:rPr>
      </w:pPr>
      <w:r>
        <w:rPr>
          <w:color w:val="auto"/>
        </w:rPr>
        <w:fldChar w:fldCharType="begin"/>
      </w:r>
      <w:r>
        <w:rPr>
          <w:color w:val="auto"/>
        </w:rPr>
        <w:instrText xml:space="preserve"> HYPERLINK \l "_Toc9736" </w:instrText>
      </w:r>
      <w:r>
        <w:rPr>
          <w:color w:val="auto"/>
        </w:rPr>
        <w:fldChar w:fldCharType="separate"/>
      </w:r>
      <w:r>
        <w:rPr>
          <w:color w:val="auto"/>
          <w:sz w:val="24"/>
          <w:szCs w:val="24"/>
        </w:rPr>
        <w:t>四、主要环境影响和保护措施</w:t>
      </w:r>
      <w:r>
        <w:rPr>
          <w:color w:val="auto"/>
          <w:sz w:val="24"/>
          <w:szCs w:val="24"/>
        </w:rPr>
        <w:tab/>
      </w:r>
      <w:r>
        <w:rPr>
          <w:color w:val="auto"/>
          <w:sz w:val="24"/>
          <w:szCs w:val="24"/>
        </w:rPr>
        <w:fldChar w:fldCharType="begin"/>
      </w:r>
      <w:r>
        <w:rPr>
          <w:color w:val="auto"/>
          <w:sz w:val="24"/>
          <w:szCs w:val="24"/>
        </w:rPr>
        <w:instrText xml:space="preserve"> PAGEREF _Toc9736 \h </w:instrText>
      </w:r>
      <w:r>
        <w:rPr>
          <w:color w:val="auto"/>
          <w:sz w:val="24"/>
          <w:szCs w:val="24"/>
        </w:rPr>
        <w:fldChar w:fldCharType="separate"/>
      </w:r>
      <w:r>
        <w:rPr>
          <w:color w:val="auto"/>
          <w:sz w:val="24"/>
          <w:szCs w:val="24"/>
        </w:rPr>
        <w:t>96</w:t>
      </w:r>
      <w:r>
        <w:rPr>
          <w:color w:val="auto"/>
          <w:sz w:val="24"/>
          <w:szCs w:val="24"/>
        </w:rPr>
        <w:fldChar w:fldCharType="end"/>
      </w:r>
      <w:r>
        <w:rPr>
          <w:color w:val="auto"/>
          <w:sz w:val="24"/>
          <w:szCs w:val="24"/>
        </w:rPr>
        <w:fldChar w:fldCharType="end"/>
      </w:r>
    </w:p>
    <w:p w14:paraId="3A84ECC5">
      <w:pPr>
        <w:pStyle w:val="40"/>
        <w:tabs>
          <w:tab w:val="right" w:leader="dot" w:pos="8844"/>
          <w:tab w:val="clear" w:pos="8296"/>
        </w:tabs>
        <w:rPr>
          <w:color w:val="auto"/>
          <w:sz w:val="24"/>
          <w:szCs w:val="24"/>
        </w:rPr>
      </w:pPr>
      <w:r>
        <w:rPr>
          <w:color w:val="auto"/>
        </w:rPr>
        <w:fldChar w:fldCharType="begin"/>
      </w:r>
      <w:r>
        <w:rPr>
          <w:color w:val="auto"/>
        </w:rPr>
        <w:instrText xml:space="preserve"> HYPERLINK \l "_Toc21167" </w:instrText>
      </w:r>
      <w:r>
        <w:rPr>
          <w:color w:val="auto"/>
        </w:rPr>
        <w:fldChar w:fldCharType="separate"/>
      </w:r>
      <w:r>
        <w:rPr>
          <w:color w:val="auto"/>
          <w:sz w:val="24"/>
          <w:szCs w:val="24"/>
        </w:rPr>
        <w:t>五、环境保护措施监督检查清单</w:t>
      </w:r>
      <w:r>
        <w:rPr>
          <w:color w:val="auto"/>
          <w:sz w:val="24"/>
          <w:szCs w:val="24"/>
        </w:rPr>
        <w:tab/>
      </w:r>
      <w:r>
        <w:rPr>
          <w:color w:val="auto"/>
          <w:sz w:val="24"/>
          <w:szCs w:val="24"/>
        </w:rPr>
        <w:fldChar w:fldCharType="begin"/>
      </w:r>
      <w:r>
        <w:rPr>
          <w:color w:val="auto"/>
          <w:sz w:val="24"/>
          <w:szCs w:val="24"/>
        </w:rPr>
        <w:instrText xml:space="preserve"> PAGEREF _Toc21167 \h </w:instrText>
      </w:r>
      <w:r>
        <w:rPr>
          <w:color w:val="auto"/>
          <w:sz w:val="24"/>
          <w:szCs w:val="24"/>
        </w:rPr>
        <w:fldChar w:fldCharType="separate"/>
      </w:r>
      <w:r>
        <w:rPr>
          <w:color w:val="auto"/>
          <w:sz w:val="24"/>
          <w:szCs w:val="24"/>
        </w:rPr>
        <w:t>129</w:t>
      </w:r>
      <w:r>
        <w:rPr>
          <w:color w:val="auto"/>
          <w:sz w:val="24"/>
          <w:szCs w:val="24"/>
        </w:rPr>
        <w:fldChar w:fldCharType="end"/>
      </w:r>
      <w:r>
        <w:rPr>
          <w:color w:val="auto"/>
          <w:sz w:val="24"/>
          <w:szCs w:val="24"/>
        </w:rPr>
        <w:fldChar w:fldCharType="end"/>
      </w:r>
    </w:p>
    <w:p w14:paraId="3A84ECC6">
      <w:pPr>
        <w:pStyle w:val="40"/>
        <w:tabs>
          <w:tab w:val="right" w:leader="dot" w:pos="8844"/>
          <w:tab w:val="clear" w:pos="8296"/>
        </w:tabs>
        <w:rPr>
          <w:color w:val="auto"/>
          <w:sz w:val="24"/>
          <w:szCs w:val="24"/>
        </w:rPr>
      </w:pPr>
      <w:r>
        <w:rPr>
          <w:color w:val="auto"/>
        </w:rPr>
        <w:fldChar w:fldCharType="begin"/>
      </w:r>
      <w:r>
        <w:rPr>
          <w:color w:val="auto"/>
        </w:rPr>
        <w:instrText xml:space="preserve"> HYPERLINK \l "_Toc689" </w:instrText>
      </w:r>
      <w:r>
        <w:rPr>
          <w:color w:val="auto"/>
        </w:rPr>
        <w:fldChar w:fldCharType="separate"/>
      </w:r>
      <w:r>
        <w:rPr>
          <w:color w:val="auto"/>
          <w:sz w:val="24"/>
          <w:szCs w:val="24"/>
        </w:rPr>
        <w:t>六、结论</w:t>
      </w:r>
      <w:r>
        <w:rPr>
          <w:color w:val="auto"/>
          <w:sz w:val="24"/>
          <w:szCs w:val="24"/>
        </w:rPr>
        <w:tab/>
      </w:r>
      <w:r>
        <w:rPr>
          <w:color w:val="auto"/>
          <w:sz w:val="24"/>
          <w:szCs w:val="24"/>
        </w:rPr>
        <w:fldChar w:fldCharType="begin"/>
      </w:r>
      <w:r>
        <w:rPr>
          <w:color w:val="auto"/>
          <w:sz w:val="24"/>
          <w:szCs w:val="24"/>
        </w:rPr>
        <w:instrText xml:space="preserve"> PAGEREF _Toc689 \h </w:instrText>
      </w:r>
      <w:r>
        <w:rPr>
          <w:color w:val="auto"/>
          <w:sz w:val="24"/>
          <w:szCs w:val="24"/>
        </w:rPr>
        <w:fldChar w:fldCharType="separate"/>
      </w:r>
      <w:r>
        <w:rPr>
          <w:color w:val="auto"/>
          <w:sz w:val="24"/>
          <w:szCs w:val="24"/>
        </w:rPr>
        <w:t>131</w:t>
      </w:r>
      <w:r>
        <w:rPr>
          <w:color w:val="auto"/>
          <w:sz w:val="24"/>
          <w:szCs w:val="24"/>
        </w:rPr>
        <w:fldChar w:fldCharType="end"/>
      </w:r>
      <w:r>
        <w:rPr>
          <w:color w:val="auto"/>
          <w:sz w:val="24"/>
          <w:szCs w:val="24"/>
        </w:rPr>
        <w:fldChar w:fldCharType="end"/>
      </w:r>
    </w:p>
    <w:p w14:paraId="3A84ECC7">
      <w:pPr>
        <w:pStyle w:val="677"/>
        <w:tabs>
          <w:tab w:val="right" w:leader="dot" w:pos="8844"/>
        </w:tabs>
        <w:adjustRightInd w:val="0"/>
        <w:snapToGrid w:val="0"/>
        <w:spacing w:line="360" w:lineRule="auto"/>
        <w:jc w:val="both"/>
        <w:rPr>
          <w:color w:val="auto"/>
        </w:rPr>
      </w:pPr>
      <w:r>
        <w:rPr>
          <w:rFonts w:ascii="宋体" w:hAnsi="宋体"/>
          <w:b/>
          <w:bCs/>
          <w:color w:val="auto"/>
          <w:sz w:val="24"/>
          <w:szCs w:val="24"/>
          <w:lang w:val="zh-CN"/>
        </w:rPr>
        <w:fldChar w:fldCharType="end"/>
      </w:r>
    </w:p>
    <w:p w14:paraId="6885E9F1">
      <w:pPr>
        <w:pStyle w:val="72"/>
        <w:rPr>
          <w:color w:val="auto"/>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06BD9064">
      <w:pPr>
        <w:pStyle w:val="72"/>
        <w:rPr>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3A84ECCA">
      <w:pPr>
        <w:pStyle w:val="55"/>
        <w:rPr>
          <w:color w:val="auto"/>
        </w:rPr>
      </w:pPr>
      <w:bookmarkStart w:id="4" w:name="_Toc14737"/>
      <w:bookmarkStart w:id="5" w:name="_Toc137559019"/>
      <w:bookmarkStart w:id="6" w:name="_Toc3053"/>
      <w:r>
        <w:rPr>
          <w:color w:val="auto"/>
        </w:rPr>
        <w:t>一、建设项目基本情况</w:t>
      </w:r>
      <w:bookmarkEnd w:id="4"/>
      <w:bookmarkEnd w:id="5"/>
      <w:bookmarkEnd w:id="6"/>
    </w:p>
    <w:tbl>
      <w:tblPr>
        <w:tblStyle w:val="59"/>
        <w:tblW w:w="498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04"/>
        <w:gridCol w:w="368"/>
        <w:gridCol w:w="1722"/>
        <w:gridCol w:w="2212"/>
        <w:gridCol w:w="4066"/>
      </w:tblGrid>
      <w:tr w14:paraId="3A84EC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591" w:type="pct"/>
            <w:gridSpan w:val="2"/>
            <w:tcBorders>
              <w:bottom w:val="single" w:color="auto" w:sz="8" w:space="0"/>
              <w:right w:val="single" w:color="auto" w:sz="8" w:space="0"/>
            </w:tcBorders>
            <w:tcMar>
              <w:top w:w="16" w:type="dxa"/>
              <w:left w:w="16" w:type="dxa"/>
              <w:right w:w="16" w:type="dxa"/>
            </w:tcMar>
            <w:vAlign w:val="center"/>
          </w:tcPr>
          <w:p w14:paraId="3A84ECCB">
            <w:pPr>
              <w:overflowPunct w:val="0"/>
              <w:adjustRightInd w:val="0"/>
              <w:snapToGrid w:val="0"/>
              <w:jc w:val="center"/>
              <w:rPr>
                <w:b/>
                <w:color w:val="auto"/>
              </w:rPr>
            </w:pPr>
            <w:r>
              <w:rPr>
                <w:b/>
                <w:color w:val="auto"/>
              </w:rPr>
              <w:t>建设项目名称</w:t>
            </w:r>
          </w:p>
        </w:tc>
        <w:tc>
          <w:tcPr>
            <w:tcW w:w="4408" w:type="pct"/>
            <w:gridSpan w:val="3"/>
            <w:tcBorders>
              <w:left w:val="single" w:color="auto" w:sz="8" w:space="0"/>
              <w:bottom w:val="single" w:color="auto" w:sz="8" w:space="0"/>
            </w:tcBorders>
            <w:vAlign w:val="center"/>
          </w:tcPr>
          <w:p w14:paraId="3A84ECCC">
            <w:pPr>
              <w:widowControl/>
              <w:adjustRightInd w:val="0"/>
              <w:snapToGrid w:val="0"/>
              <w:jc w:val="center"/>
              <w:rPr>
                <w:color w:val="auto"/>
              </w:rPr>
            </w:pPr>
            <w:r>
              <w:rPr>
                <w:rFonts w:hint="eastAsia" w:cs="新宋体"/>
                <w:color w:val="auto"/>
                <w:kern w:val="0"/>
                <w:lang w:bidi="ar"/>
              </w:rPr>
              <w:t>年产2000万件气体发生器生产配套项目</w:t>
            </w:r>
          </w:p>
        </w:tc>
      </w:tr>
      <w:tr w14:paraId="3A84EC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3A84ECCE">
            <w:pPr>
              <w:overflowPunct w:val="0"/>
              <w:adjustRightInd w:val="0"/>
              <w:snapToGrid w:val="0"/>
              <w:jc w:val="center"/>
              <w:rPr>
                <w:b/>
                <w:color w:val="auto"/>
              </w:rPr>
            </w:pPr>
            <w:r>
              <w:rPr>
                <w:b/>
                <w:color w:val="auto"/>
              </w:rPr>
              <w:t>项目代码</w:t>
            </w:r>
          </w:p>
        </w:tc>
        <w:tc>
          <w:tcPr>
            <w:tcW w:w="4408" w:type="pct"/>
            <w:gridSpan w:val="3"/>
            <w:tcBorders>
              <w:top w:val="single" w:color="auto" w:sz="8" w:space="0"/>
              <w:left w:val="single" w:color="auto" w:sz="8" w:space="0"/>
              <w:bottom w:val="single" w:color="auto" w:sz="8" w:space="0"/>
            </w:tcBorders>
            <w:vAlign w:val="center"/>
          </w:tcPr>
          <w:p w14:paraId="3A84ECCF">
            <w:pPr>
              <w:overflowPunct w:val="0"/>
              <w:adjustRightInd w:val="0"/>
              <w:snapToGrid w:val="0"/>
              <w:jc w:val="center"/>
              <w:rPr>
                <w:rFonts w:hint="eastAsia" w:eastAsia="宋体"/>
                <w:color w:val="auto"/>
                <w:lang w:eastAsia="zh-CN"/>
              </w:rPr>
            </w:pPr>
            <w:r>
              <w:rPr>
                <w:rFonts w:hint="eastAsia"/>
                <w:color w:val="auto"/>
                <w:lang w:eastAsia="zh-CN"/>
              </w:rPr>
              <w:t>2301-320413-04-01-964596</w:t>
            </w:r>
          </w:p>
        </w:tc>
      </w:tr>
      <w:tr w14:paraId="3A84E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3A84ECD1">
            <w:pPr>
              <w:overflowPunct w:val="0"/>
              <w:adjustRightInd w:val="0"/>
              <w:snapToGrid w:val="0"/>
              <w:jc w:val="center"/>
              <w:rPr>
                <w:b/>
                <w:color w:val="auto"/>
              </w:rPr>
            </w:pPr>
            <w:r>
              <w:rPr>
                <w:b/>
                <w:color w:val="auto"/>
              </w:rPr>
              <w:t>建设单位联系人</w:t>
            </w:r>
          </w:p>
        </w:tc>
        <w:tc>
          <w:tcPr>
            <w:tcW w:w="949" w:type="pct"/>
            <w:tcBorders>
              <w:top w:val="single" w:color="auto" w:sz="8" w:space="0"/>
              <w:left w:val="single" w:color="auto" w:sz="8" w:space="0"/>
              <w:bottom w:val="single" w:color="auto" w:sz="8" w:space="0"/>
              <w:right w:val="single" w:color="auto" w:sz="8" w:space="0"/>
            </w:tcBorders>
            <w:vAlign w:val="center"/>
          </w:tcPr>
          <w:p w14:paraId="3A84ECD2">
            <w:pPr>
              <w:overflowPunct w:val="0"/>
              <w:adjustRightInd w:val="0"/>
              <w:snapToGrid w:val="0"/>
              <w:jc w:val="center"/>
              <w:rPr>
                <w:rFonts w:hint="eastAsia" w:eastAsia="宋体"/>
                <w:color w:val="auto"/>
                <w:lang w:val="en-US" w:eastAsia="zh-CN"/>
              </w:rPr>
            </w:pPr>
            <w:r>
              <w:rPr>
                <w:rFonts w:hint="eastAsia"/>
                <w:color w:val="auto"/>
                <w:lang w:val="en-US" w:eastAsia="zh-CN"/>
              </w:rPr>
              <w:t>陈龙</w:t>
            </w:r>
          </w:p>
        </w:tc>
        <w:tc>
          <w:tcPr>
            <w:tcW w:w="1219" w:type="pct"/>
            <w:tcBorders>
              <w:top w:val="single" w:color="auto" w:sz="8" w:space="0"/>
              <w:left w:val="single" w:color="auto" w:sz="8" w:space="0"/>
              <w:bottom w:val="single" w:color="auto" w:sz="8" w:space="0"/>
              <w:right w:val="single" w:color="auto" w:sz="8" w:space="0"/>
            </w:tcBorders>
            <w:vAlign w:val="center"/>
          </w:tcPr>
          <w:p w14:paraId="3A84ECD3">
            <w:pPr>
              <w:overflowPunct w:val="0"/>
              <w:adjustRightInd w:val="0"/>
              <w:snapToGrid w:val="0"/>
              <w:jc w:val="center"/>
              <w:rPr>
                <w:b/>
                <w:color w:val="auto"/>
              </w:rPr>
            </w:pPr>
            <w:r>
              <w:rPr>
                <w:b/>
                <w:color w:val="auto"/>
              </w:rPr>
              <w:t>联系方式</w:t>
            </w:r>
          </w:p>
        </w:tc>
        <w:tc>
          <w:tcPr>
            <w:tcW w:w="2239" w:type="pct"/>
            <w:tcBorders>
              <w:top w:val="single" w:color="auto" w:sz="8" w:space="0"/>
              <w:left w:val="single" w:color="auto" w:sz="8" w:space="0"/>
              <w:bottom w:val="single" w:color="auto" w:sz="8" w:space="0"/>
            </w:tcBorders>
            <w:vAlign w:val="center"/>
          </w:tcPr>
          <w:p w14:paraId="3A84ECD4">
            <w:pPr>
              <w:overflowPunct w:val="0"/>
              <w:adjustRightInd w:val="0"/>
              <w:jc w:val="center"/>
              <w:rPr>
                <w:rFonts w:hint="default" w:eastAsia="宋体"/>
                <w:color w:val="auto"/>
                <w:lang w:val="en-US" w:eastAsia="zh-CN"/>
              </w:rPr>
            </w:pPr>
            <w:r>
              <w:rPr>
                <w:rFonts w:hint="eastAsia"/>
                <w:color w:val="auto"/>
                <w:lang w:val="en-US" w:eastAsia="zh-CN"/>
              </w:rPr>
              <w:t>18015809370</w:t>
            </w:r>
          </w:p>
        </w:tc>
      </w:tr>
      <w:tr w14:paraId="3A84E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3A84ECD6">
            <w:pPr>
              <w:overflowPunct w:val="0"/>
              <w:adjustRightInd w:val="0"/>
              <w:snapToGrid w:val="0"/>
              <w:jc w:val="center"/>
              <w:rPr>
                <w:b/>
                <w:color w:val="auto"/>
              </w:rPr>
            </w:pPr>
            <w:r>
              <w:rPr>
                <w:b/>
                <w:color w:val="auto"/>
              </w:rPr>
              <w:t>建设地点</w:t>
            </w:r>
          </w:p>
        </w:tc>
        <w:tc>
          <w:tcPr>
            <w:tcW w:w="4408" w:type="pct"/>
            <w:gridSpan w:val="3"/>
            <w:tcBorders>
              <w:top w:val="single" w:color="auto" w:sz="8" w:space="0"/>
              <w:left w:val="single" w:color="auto" w:sz="8" w:space="0"/>
              <w:bottom w:val="single" w:color="auto" w:sz="8" w:space="0"/>
            </w:tcBorders>
            <w:vAlign w:val="center"/>
          </w:tcPr>
          <w:p w14:paraId="3A84ECD7">
            <w:pPr>
              <w:overflowPunct w:val="0"/>
              <w:adjustRightInd w:val="0"/>
              <w:jc w:val="center"/>
              <w:rPr>
                <w:color w:val="auto"/>
              </w:rPr>
            </w:pPr>
            <w:r>
              <w:rPr>
                <w:rFonts w:hint="eastAsia"/>
                <w:color w:val="auto"/>
              </w:rPr>
              <w:t>江苏省常州市金坛区薛埠镇奥托立夫大道1号</w:t>
            </w:r>
          </w:p>
        </w:tc>
      </w:tr>
      <w:tr w14:paraId="3A84EC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4"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3A84ECD9">
            <w:pPr>
              <w:overflowPunct w:val="0"/>
              <w:adjustRightInd w:val="0"/>
              <w:snapToGrid w:val="0"/>
              <w:jc w:val="center"/>
              <w:rPr>
                <w:b/>
                <w:color w:val="auto"/>
              </w:rPr>
            </w:pPr>
            <w:r>
              <w:rPr>
                <w:b/>
                <w:color w:val="auto"/>
              </w:rPr>
              <w:t>地理坐标</w:t>
            </w:r>
          </w:p>
        </w:tc>
        <w:tc>
          <w:tcPr>
            <w:tcW w:w="4408" w:type="pct"/>
            <w:gridSpan w:val="3"/>
            <w:tcBorders>
              <w:top w:val="single" w:color="auto" w:sz="8" w:space="0"/>
              <w:left w:val="single" w:color="auto" w:sz="8" w:space="0"/>
              <w:bottom w:val="single" w:color="auto" w:sz="8" w:space="0"/>
            </w:tcBorders>
            <w:vAlign w:val="center"/>
          </w:tcPr>
          <w:p w14:paraId="3A84ECDA">
            <w:pPr>
              <w:overflowPunct w:val="0"/>
              <w:adjustRightInd w:val="0"/>
              <w:jc w:val="center"/>
              <w:rPr>
                <w:color w:val="auto"/>
              </w:rPr>
            </w:pPr>
            <w:r>
              <w:rPr>
                <w:color w:val="auto"/>
              </w:rPr>
              <w:t>E：1</w:t>
            </w:r>
            <w:r>
              <w:rPr>
                <w:rFonts w:hint="eastAsia"/>
                <w:color w:val="auto"/>
              </w:rPr>
              <w:t>19</w:t>
            </w:r>
            <w:r>
              <w:rPr>
                <w:color w:val="auto"/>
              </w:rPr>
              <w:t>°</w:t>
            </w:r>
            <w:r>
              <w:rPr>
                <w:rFonts w:hint="eastAsia"/>
                <w:color w:val="auto"/>
                <w:lang w:val="en-US" w:eastAsia="zh-CN"/>
              </w:rPr>
              <w:t>20</w:t>
            </w:r>
            <w:r>
              <w:rPr>
                <w:color w:val="auto"/>
              </w:rPr>
              <w:t>′</w:t>
            </w:r>
            <w:r>
              <w:rPr>
                <w:rFonts w:hint="eastAsia"/>
                <w:color w:val="auto"/>
                <w:lang w:val="en-US" w:eastAsia="zh-CN"/>
              </w:rPr>
              <w:t>54.420</w:t>
            </w:r>
            <w:r>
              <w:rPr>
                <w:color w:val="auto"/>
              </w:rPr>
              <w:t>″，N：31°</w:t>
            </w:r>
            <w:r>
              <w:rPr>
                <w:rFonts w:hint="eastAsia"/>
                <w:color w:val="auto"/>
              </w:rPr>
              <w:t>4</w:t>
            </w:r>
            <w:r>
              <w:rPr>
                <w:rFonts w:hint="eastAsia"/>
                <w:color w:val="auto"/>
                <w:lang w:val="en-US" w:eastAsia="zh-CN"/>
              </w:rPr>
              <w:t>1</w:t>
            </w:r>
            <w:r>
              <w:rPr>
                <w:color w:val="auto"/>
              </w:rPr>
              <w:t>′</w:t>
            </w:r>
            <w:r>
              <w:rPr>
                <w:rFonts w:hint="eastAsia"/>
                <w:color w:val="auto"/>
                <w:lang w:val="en-US" w:eastAsia="zh-CN"/>
              </w:rPr>
              <w:t>46.424</w:t>
            </w:r>
            <w:r>
              <w:rPr>
                <w:color w:val="auto"/>
              </w:rPr>
              <w:t>″</w:t>
            </w:r>
          </w:p>
        </w:tc>
      </w:tr>
      <w:tr w14:paraId="3A84EC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3A84ECDC">
            <w:pPr>
              <w:overflowPunct w:val="0"/>
              <w:adjustRightInd w:val="0"/>
              <w:snapToGrid w:val="0"/>
              <w:jc w:val="center"/>
              <w:rPr>
                <w:b/>
                <w:color w:val="auto"/>
              </w:rPr>
            </w:pPr>
            <w:r>
              <w:rPr>
                <w:b/>
                <w:color w:val="auto"/>
              </w:rPr>
              <w:t>国民经济行业类别</w:t>
            </w:r>
          </w:p>
        </w:tc>
        <w:tc>
          <w:tcPr>
            <w:tcW w:w="949" w:type="pct"/>
            <w:tcBorders>
              <w:top w:val="single" w:color="auto" w:sz="8" w:space="0"/>
              <w:left w:val="single" w:color="auto" w:sz="8" w:space="0"/>
              <w:bottom w:val="single" w:color="auto" w:sz="8" w:space="0"/>
              <w:right w:val="single" w:color="auto" w:sz="8" w:space="0"/>
            </w:tcBorders>
            <w:vAlign w:val="center"/>
          </w:tcPr>
          <w:p w14:paraId="3A84ECDD">
            <w:pPr>
              <w:overflowPunct w:val="0"/>
              <w:adjustRightInd w:val="0"/>
              <w:jc w:val="center"/>
              <w:rPr>
                <w:rFonts w:hint="eastAsia" w:eastAsia="宋体"/>
                <w:color w:val="auto"/>
                <w:lang w:eastAsia="zh-CN"/>
              </w:rPr>
            </w:pPr>
            <w:r>
              <w:rPr>
                <w:rFonts w:hint="eastAsia"/>
                <w:bCs/>
                <w:color w:val="auto"/>
                <w:kern w:val="0"/>
                <w:lang w:eastAsia="zh-CN"/>
              </w:rPr>
              <w:t>C3670汽车零部件及配件制造</w:t>
            </w:r>
          </w:p>
        </w:tc>
        <w:tc>
          <w:tcPr>
            <w:tcW w:w="1219" w:type="pct"/>
            <w:tcBorders>
              <w:top w:val="single" w:color="auto" w:sz="8" w:space="0"/>
              <w:left w:val="single" w:color="auto" w:sz="8" w:space="0"/>
              <w:bottom w:val="single" w:color="auto" w:sz="8" w:space="0"/>
              <w:right w:val="single" w:color="auto" w:sz="8" w:space="0"/>
            </w:tcBorders>
            <w:vAlign w:val="center"/>
          </w:tcPr>
          <w:p w14:paraId="3A84ECDE">
            <w:pPr>
              <w:overflowPunct w:val="0"/>
              <w:jc w:val="center"/>
              <w:rPr>
                <w:b/>
                <w:color w:val="auto"/>
              </w:rPr>
            </w:pPr>
            <w:bookmarkStart w:id="7" w:name="_Hlk49843745"/>
            <w:r>
              <w:rPr>
                <w:b/>
                <w:color w:val="auto"/>
              </w:rPr>
              <w:t>建设项目</w:t>
            </w:r>
          </w:p>
          <w:p w14:paraId="3A84ECDF">
            <w:pPr>
              <w:overflowPunct w:val="0"/>
              <w:jc w:val="center"/>
              <w:rPr>
                <w:b/>
                <w:color w:val="auto"/>
              </w:rPr>
            </w:pPr>
            <w:r>
              <w:rPr>
                <w:b/>
                <w:color w:val="auto"/>
              </w:rPr>
              <w:t>行业类别</w:t>
            </w:r>
            <w:bookmarkEnd w:id="7"/>
          </w:p>
        </w:tc>
        <w:tc>
          <w:tcPr>
            <w:tcW w:w="2239" w:type="pct"/>
            <w:tcBorders>
              <w:top w:val="single" w:color="auto" w:sz="8" w:space="0"/>
              <w:left w:val="single" w:color="auto" w:sz="8" w:space="0"/>
              <w:bottom w:val="single" w:color="auto" w:sz="8" w:space="0"/>
            </w:tcBorders>
            <w:vAlign w:val="center"/>
          </w:tcPr>
          <w:p w14:paraId="3A84ECE1">
            <w:pPr>
              <w:adjustRightInd w:val="0"/>
              <w:snapToGrid w:val="0"/>
              <w:jc w:val="left"/>
              <w:rPr>
                <w:color w:val="auto"/>
              </w:rPr>
            </w:pPr>
            <w:r>
              <w:rPr>
                <w:rFonts w:hint="eastAsia"/>
                <w:color w:val="auto"/>
                <w:kern w:val="0"/>
              </w:rPr>
              <w:t>三十</w:t>
            </w:r>
            <w:r>
              <w:rPr>
                <w:rFonts w:hint="eastAsia"/>
                <w:color w:val="auto"/>
                <w:kern w:val="0"/>
                <w:lang w:val="en-US" w:eastAsia="zh-CN"/>
              </w:rPr>
              <w:t>三</w:t>
            </w:r>
            <w:r>
              <w:rPr>
                <w:color w:val="auto"/>
                <w:kern w:val="0"/>
              </w:rPr>
              <w:t>、</w:t>
            </w:r>
            <w:r>
              <w:rPr>
                <w:rFonts w:hint="eastAsia"/>
                <w:color w:val="auto"/>
                <w:kern w:val="0"/>
                <w:lang w:val="en-US" w:eastAsia="zh-CN"/>
              </w:rPr>
              <w:t>汽车制造业</w:t>
            </w:r>
            <w:r>
              <w:rPr>
                <w:rFonts w:hint="eastAsia"/>
                <w:color w:val="auto"/>
                <w:kern w:val="0"/>
              </w:rPr>
              <w:t>3</w:t>
            </w:r>
            <w:r>
              <w:rPr>
                <w:rFonts w:hint="eastAsia"/>
                <w:color w:val="auto"/>
                <w:kern w:val="0"/>
                <w:lang w:val="en-US" w:eastAsia="zh-CN"/>
              </w:rPr>
              <w:t>6</w:t>
            </w:r>
            <w:r>
              <w:rPr>
                <w:rFonts w:hint="eastAsia"/>
                <w:color w:val="auto"/>
                <w:kern w:val="0"/>
              </w:rPr>
              <w:t xml:space="preserve"> </w:t>
            </w:r>
            <w:r>
              <w:rPr>
                <w:rFonts w:hint="eastAsia"/>
                <w:color w:val="auto"/>
                <w:kern w:val="0"/>
                <w:lang w:val="en-US" w:eastAsia="zh-CN"/>
              </w:rPr>
              <w:t>汽车零部件及配件制造</w:t>
            </w:r>
            <w:r>
              <w:rPr>
                <w:rFonts w:hint="eastAsia"/>
                <w:color w:val="auto"/>
                <w:kern w:val="0"/>
              </w:rPr>
              <w:t>3</w:t>
            </w:r>
            <w:r>
              <w:rPr>
                <w:rFonts w:hint="eastAsia"/>
                <w:color w:val="auto"/>
                <w:kern w:val="0"/>
                <w:lang w:val="en-US" w:eastAsia="zh-CN"/>
              </w:rPr>
              <w:t>67</w:t>
            </w:r>
            <w:r>
              <w:rPr>
                <w:rFonts w:hint="eastAsia"/>
                <w:color w:val="auto"/>
                <w:kern w:val="0"/>
              </w:rPr>
              <w:t xml:space="preserve"> 其他（年用非溶剂型低VOCs含量涂料10吨以下的除外）</w:t>
            </w:r>
          </w:p>
        </w:tc>
      </w:tr>
      <w:tr w14:paraId="3A84EC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3A84ECE3">
            <w:pPr>
              <w:overflowPunct w:val="0"/>
              <w:adjustRightInd w:val="0"/>
              <w:snapToGrid w:val="0"/>
              <w:jc w:val="center"/>
              <w:rPr>
                <w:b/>
                <w:color w:val="auto"/>
              </w:rPr>
            </w:pPr>
            <w:r>
              <w:rPr>
                <w:b/>
                <w:color w:val="auto"/>
              </w:rPr>
              <w:t>建设性质</w:t>
            </w:r>
          </w:p>
        </w:tc>
        <w:tc>
          <w:tcPr>
            <w:tcW w:w="949" w:type="pct"/>
            <w:tcBorders>
              <w:top w:val="single" w:color="auto" w:sz="8" w:space="0"/>
              <w:left w:val="single" w:color="auto" w:sz="8" w:space="0"/>
              <w:bottom w:val="single" w:color="auto" w:sz="8" w:space="0"/>
              <w:right w:val="single" w:color="auto" w:sz="8" w:space="0"/>
            </w:tcBorders>
            <w:vAlign w:val="center"/>
          </w:tcPr>
          <w:p w14:paraId="3A84ECE4">
            <w:pPr>
              <w:overflowPunct w:val="0"/>
              <w:jc w:val="left"/>
              <w:rPr>
                <w:color w:val="auto"/>
              </w:rPr>
            </w:pPr>
            <w:r>
              <w:rPr>
                <w:rFonts w:hint="eastAsia" w:ascii="Segoe UI Symbol" w:hAnsi="Segoe UI Symbol" w:cs="Segoe UI Symbol"/>
                <w:color w:val="auto"/>
                <w:lang w:eastAsia="zh-CN"/>
              </w:rPr>
              <w:t>□</w:t>
            </w:r>
            <w:r>
              <w:rPr>
                <w:rFonts w:hint="eastAsia"/>
                <w:b w:val="0"/>
                <w:bCs w:val="0"/>
                <w:color w:val="auto"/>
              </w:rPr>
              <w:t>新建（迁建）</w:t>
            </w:r>
          </w:p>
          <w:p w14:paraId="3A84ECE5">
            <w:pPr>
              <w:overflowPunct w:val="0"/>
              <w:jc w:val="left"/>
              <w:rPr>
                <w:color w:val="auto"/>
              </w:rPr>
            </w:pPr>
            <w:r>
              <w:rPr>
                <w:rFonts w:hint="eastAsia"/>
                <w:color w:val="auto"/>
              </w:rPr>
              <w:t>□</w:t>
            </w:r>
            <w:r>
              <w:rPr>
                <w:color w:val="auto"/>
              </w:rPr>
              <w:t>改建</w:t>
            </w:r>
          </w:p>
          <w:p w14:paraId="3A84ECE6">
            <w:pPr>
              <w:overflowPunct w:val="0"/>
              <w:jc w:val="left"/>
              <w:rPr>
                <w:b/>
                <w:bCs/>
                <w:color w:val="auto"/>
              </w:rPr>
            </w:pPr>
            <w:r>
              <w:rPr>
                <w:rFonts w:hint="eastAsia"/>
                <w:b/>
                <w:bCs/>
                <w:color w:val="auto"/>
                <w:lang w:eastAsia="zh-CN"/>
              </w:rPr>
              <w:t>☑</w:t>
            </w:r>
            <w:r>
              <w:rPr>
                <w:b/>
                <w:bCs/>
                <w:color w:val="auto"/>
              </w:rPr>
              <w:t>扩建</w:t>
            </w:r>
          </w:p>
          <w:p w14:paraId="3A84ECE7">
            <w:pPr>
              <w:overflowPunct w:val="0"/>
              <w:jc w:val="left"/>
              <w:rPr>
                <w:color w:val="auto"/>
              </w:rPr>
            </w:pPr>
            <w:r>
              <w:rPr>
                <w:rFonts w:hint="eastAsia"/>
                <w:color w:val="auto"/>
              </w:rPr>
              <w:t>□</w:t>
            </w:r>
            <w:r>
              <w:rPr>
                <w:color w:val="auto"/>
              </w:rPr>
              <w:t>技术改造</w:t>
            </w:r>
          </w:p>
        </w:tc>
        <w:tc>
          <w:tcPr>
            <w:tcW w:w="1219" w:type="pct"/>
            <w:tcBorders>
              <w:top w:val="single" w:color="auto" w:sz="8" w:space="0"/>
              <w:left w:val="single" w:color="auto" w:sz="8" w:space="0"/>
              <w:bottom w:val="single" w:color="auto" w:sz="8" w:space="0"/>
              <w:right w:val="single" w:color="auto" w:sz="8" w:space="0"/>
            </w:tcBorders>
            <w:vAlign w:val="center"/>
          </w:tcPr>
          <w:p w14:paraId="3A84ECE8">
            <w:pPr>
              <w:overflowPunct w:val="0"/>
              <w:adjustRightInd w:val="0"/>
              <w:snapToGrid w:val="0"/>
              <w:jc w:val="center"/>
              <w:rPr>
                <w:b/>
                <w:color w:val="auto"/>
              </w:rPr>
            </w:pPr>
            <w:r>
              <w:rPr>
                <w:b/>
                <w:color w:val="auto"/>
              </w:rPr>
              <w:t>建设项目</w:t>
            </w:r>
          </w:p>
          <w:p w14:paraId="3A84ECE9">
            <w:pPr>
              <w:overflowPunct w:val="0"/>
              <w:adjustRightInd w:val="0"/>
              <w:snapToGrid w:val="0"/>
              <w:jc w:val="center"/>
              <w:rPr>
                <w:b/>
                <w:color w:val="auto"/>
              </w:rPr>
            </w:pPr>
            <w:r>
              <w:rPr>
                <w:b/>
                <w:color w:val="auto"/>
              </w:rPr>
              <w:t>申报情形</w:t>
            </w:r>
          </w:p>
        </w:tc>
        <w:tc>
          <w:tcPr>
            <w:tcW w:w="2239" w:type="pct"/>
            <w:tcBorders>
              <w:top w:val="single" w:color="auto" w:sz="8" w:space="0"/>
              <w:left w:val="single" w:color="auto" w:sz="8" w:space="0"/>
              <w:bottom w:val="single" w:color="auto" w:sz="8" w:space="0"/>
            </w:tcBorders>
            <w:vAlign w:val="center"/>
          </w:tcPr>
          <w:p w14:paraId="3A84ECEA">
            <w:pPr>
              <w:overflowPunct w:val="0"/>
              <w:jc w:val="left"/>
              <w:rPr>
                <w:color w:val="auto"/>
              </w:rPr>
            </w:pPr>
            <w:r>
              <w:rPr>
                <w:rFonts w:ascii="Segoe UI Symbol" w:hAnsi="Segoe UI Symbol" w:cs="Segoe UI Symbol"/>
                <w:color w:val="auto"/>
              </w:rPr>
              <w:t>☑</w:t>
            </w:r>
            <w:r>
              <w:rPr>
                <w:color w:val="auto"/>
              </w:rPr>
              <w:t>首次申报项目</w:t>
            </w:r>
          </w:p>
          <w:p w14:paraId="3A84ECEB">
            <w:pPr>
              <w:overflowPunct w:val="0"/>
              <w:jc w:val="left"/>
              <w:rPr>
                <w:color w:val="auto"/>
              </w:rPr>
            </w:pPr>
            <w:r>
              <w:rPr>
                <w:rFonts w:hint="eastAsia"/>
                <w:color w:val="auto"/>
              </w:rPr>
              <w:t>□</w:t>
            </w:r>
            <w:r>
              <w:rPr>
                <w:color w:val="auto"/>
              </w:rPr>
              <w:t>不予批准后再次申报项目</w:t>
            </w:r>
          </w:p>
          <w:p w14:paraId="3A84ECEC">
            <w:pPr>
              <w:overflowPunct w:val="0"/>
              <w:jc w:val="left"/>
              <w:rPr>
                <w:color w:val="auto"/>
              </w:rPr>
            </w:pPr>
            <w:r>
              <w:rPr>
                <w:rFonts w:hint="eastAsia"/>
                <w:color w:val="auto"/>
              </w:rPr>
              <w:t>□</w:t>
            </w:r>
            <w:r>
              <w:rPr>
                <w:color w:val="auto"/>
              </w:rPr>
              <w:t>超五年重新审核项目</w:t>
            </w:r>
          </w:p>
          <w:p w14:paraId="3A84ECED">
            <w:pPr>
              <w:overflowPunct w:val="0"/>
              <w:jc w:val="left"/>
              <w:rPr>
                <w:color w:val="auto"/>
              </w:rPr>
            </w:pPr>
            <w:r>
              <w:rPr>
                <w:rFonts w:hint="eastAsia"/>
                <w:color w:val="auto"/>
              </w:rPr>
              <w:t>□</w:t>
            </w:r>
            <w:r>
              <w:rPr>
                <w:color w:val="auto"/>
              </w:rPr>
              <w:t>重大变动重新报批项目</w:t>
            </w:r>
          </w:p>
        </w:tc>
      </w:tr>
      <w:tr w14:paraId="3A84EC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3A84ECEF">
            <w:pPr>
              <w:overflowPunct w:val="0"/>
              <w:adjustRightInd w:val="0"/>
              <w:snapToGrid w:val="0"/>
              <w:jc w:val="center"/>
              <w:rPr>
                <w:b/>
                <w:color w:val="auto"/>
              </w:rPr>
            </w:pPr>
            <w:r>
              <w:rPr>
                <w:b/>
                <w:color w:val="auto"/>
              </w:rPr>
              <w:t>项目备案部门</w:t>
            </w:r>
          </w:p>
        </w:tc>
        <w:tc>
          <w:tcPr>
            <w:tcW w:w="949" w:type="pct"/>
            <w:tcBorders>
              <w:top w:val="single" w:color="auto" w:sz="8" w:space="0"/>
              <w:left w:val="single" w:color="auto" w:sz="8" w:space="0"/>
              <w:bottom w:val="single" w:color="auto" w:sz="8" w:space="0"/>
              <w:right w:val="single" w:color="auto" w:sz="8" w:space="0"/>
            </w:tcBorders>
            <w:vAlign w:val="center"/>
          </w:tcPr>
          <w:p w14:paraId="3A84ECF0">
            <w:pPr>
              <w:overflowPunct w:val="0"/>
              <w:adjustRightInd w:val="0"/>
              <w:jc w:val="center"/>
              <w:rPr>
                <w:color w:val="auto"/>
              </w:rPr>
            </w:pPr>
            <w:r>
              <w:rPr>
                <w:rFonts w:hint="eastAsia"/>
                <w:color w:val="auto"/>
              </w:rPr>
              <w:t>常州市金坛区发展和改革局</w:t>
            </w:r>
          </w:p>
        </w:tc>
        <w:tc>
          <w:tcPr>
            <w:tcW w:w="1219" w:type="pct"/>
            <w:tcBorders>
              <w:top w:val="single" w:color="auto" w:sz="8" w:space="0"/>
              <w:left w:val="single" w:color="auto" w:sz="8" w:space="0"/>
              <w:bottom w:val="single" w:color="auto" w:sz="8" w:space="0"/>
              <w:right w:val="single" w:color="auto" w:sz="8" w:space="0"/>
            </w:tcBorders>
            <w:vAlign w:val="center"/>
          </w:tcPr>
          <w:p w14:paraId="3A84ECF1">
            <w:pPr>
              <w:overflowPunct w:val="0"/>
              <w:adjustRightInd w:val="0"/>
              <w:snapToGrid w:val="0"/>
              <w:jc w:val="center"/>
              <w:rPr>
                <w:b/>
                <w:color w:val="auto"/>
              </w:rPr>
            </w:pPr>
            <w:r>
              <w:rPr>
                <w:b/>
                <w:color w:val="auto"/>
              </w:rPr>
              <w:t>项目备案文号</w:t>
            </w:r>
          </w:p>
        </w:tc>
        <w:tc>
          <w:tcPr>
            <w:tcW w:w="2239" w:type="pct"/>
            <w:tcBorders>
              <w:top w:val="single" w:color="auto" w:sz="8" w:space="0"/>
              <w:left w:val="single" w:color="auto" w:sz="8" w:space="0"/>
              <w:bottom w:val="single" w:color="auto" w:sz="8" w:space="0"/>
            </w:tcBorders>
            <w:vAlign w:val="center"/>
          </w:tcPr>
          <w:p w14:paraId="3A84ECF2">
            <w:pPr>
              <w:overflowPunct w:val="0"/>
              <w:adjustRightInd w:val="0"/>
              <w:jc w:val="center"/>
              <w:rPr>
                <w:color w:val="auto"/>
              </w:rPr>
            </w:pPr>
            <w:r>
              <w:rPr>
                <w:rFonts w:hint="eastAsia"/>
                <w:color w:val="auto"/>
              </w:rPr>
              <w:t>坛</w:t>
            </w:r>
            <w:r>
              <w:rPr>
                <w:rFonts w:hint="eastAsia"/>
                <w:color w:val="auto"/>
                <w:lang w:val="en-US" w:eastAsia="zh-CN"/>
              </w:rPr>
              <w:t>发改备</w:t>
            </w:r>
            <w:r>
              <w:rPr>
                <w:rFonts w:hint="eastAsia"/>
                <w:color w:val="auto"/>
              </w:rPr>
              <w:t>[202</w:t>
            </w:r>
            <w:r>
              <w:rPr>
                <w:rFonts w:hint="eastAsia"/>
                <w:color w:val="auto"/>
                <w:lang w:val="en-US" w:eastAsia="zh-CN"/>
              </w:rPr>
              <w:t>3</w:t>
            </w:r>
            <w:r>
              <w:rPr>
                <w:rFonts w:hint="eastAsia"/>
                <w:color w:val="auto"/>
              </w:rPr>
              <w:t>]</w:t>
            </w:r>
            <w:r>
              <w:rPr>
                <w:rFonts w:hint="eastAsia"/>
                <w:color w:val="auto"/>
                <w:lang w:val="en-US" w:eastAsia="zh-CN"/>
              </w:rPr>
              <w:t>18</w:t>
            </w:r>
            <w:r>
              <w:rPr>
                <w:rFonts w:hint="eastAsia"/>
                <w:color w:val="auto"/>
              </w:rPr>
              <w:t>号</w:t>
            </w:r>
          </w:p>
        </w:tc>
      </w:tr>
      <w:tr w14:paraId="3A84EC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3A84ECF4">
            <w:pPr>
              <w:overflowPunct w:val="0"/>
              <w:adjustRightInd w:val="0"/>
              <w:snapToGrid w:val="0"/>
              <w:jc w:val="center"/>
              <w:rPr>
                <w:b/>
                <w:color w:val="auto"/>
              </w:rPr>
            </w:pPr>
            <w:r>
              <w:rPr>
                <w:b/>
                <w:color w:val="auto"/>
              </w:rPr>
              <w:t>总投资（万元）</w:t>
            </w:r>
          </w:p>
        </w:tc>
        <w:tc>
          <w:tcPr>
            <w:tcW w:w="949" w:type="pct"/>
            <w:tcBorders>
              <w:top w:val="single" w:color="auto" w:sz="8" w:space="0"/>
              <w:left w:val="single" w:color="auto" w:sz="8" w:space="0"/>
              <w:bottom w:val="single" w:color="auto" w:sz="8" w:space="0"/>
              <w:right w:val="single" w:color="auto" w:sz="8" w:space="0"/>
            </w:tcBorders>
            <w:vAlign w:val="center"/>
          </w:tcPr>
          <w:p w14:paraId="3A84ECF5">
            <w:pPr>
              <w:overflowPunct w:val="0"/>
              <w:adjustRightInd w:val="0"/>
              <w:jc w:val="center"/>
              <w:rPr>
                <w:rFonts w:hint="default" w:eastAsia="宋体"/>
                <w:color w:val="auto"/>
                <w:lang w:val="en-US" w:eastAsia="zh-CN"/>
              </w:rPr>
            </w:pPr>
            <w:r>
              <w:rPr>
                <w:rFonts w:hint="eastAsia"/>
                <w:color w:val="auto"/>
                <w:lang w:val="en-US" w:eastAsia="zh-CN"/>
              </w:rPr>
              <w:t>42000</w:t>
            </w:r>
          </w:p>
        </w:tc>
        <w:tc>
          <w:tcPr>
            <w:tcW w:w="1219" w:type="pct"/>
            <w:tcBorders>
              <w:top w:val="single" w:color="auto" w:sz="8" w:space="0"/>
              <w:left w:val="single" w:color="auto" w:sz="8" w:space="0"/>
              <w:bottom w:val="single" w:color="auto" w:sz="8" w:space="0"/>
              <w:right w:val="single" w:color="auto" w:sz="8" w:space="0"/>
            </w:tcBorders>
            <w:tcMar>
              <w:top w:w="16" w:type="dxa"/>
              <w:left w:w="16" w:type="dxa"/>
              <w:right w:w="16" w:type="dxa"/>
            </w:tcMar>
            <w:vAlign w:val="center"/>
          </w:tcPr>
          <w:p w14:paraId="3A84ECF6">
            <w:pPr>
              <w:overflowPunct w:val="0"/>
              <w:adjustRightInd w:val="0"/>
              <w:snapToGrid w:val="0"/>
              <w:jc w:val="center"/>
              <w:rPr>
                <w:b/>
                <w:color w:val="auto"/>
              </w:rPr>
            </w:pPr>
            <w:r>
              <w:rPr>
                <w:b/>
                <w:color w:val="auto"/>
              </w:rPr>
              <w:t>环保投资（万元）</w:t>
            </w:r>
          </w:p>
        </w:tc>
        <w:tc>
          <w:tcPr>
            <w:tcW w:w="2239" w:type="pct"/>
            <w:tcBorders>
              <w:top w:val="single" w:color="auto" w:sz="8" w:space="0"/>
              <w:left w:val="single" w:color="auto" w:sz="8" w:space="0"/>
              <w:bottom w:val="single" w:color="auto" w:sz="8" w:space="0"/>
            </w:tcBorders>
            <w:vAlign w:val="center"/>
          </w:tcPr>
          <w:p w14:paraId="3A84ECF7">
            <w:pPr>
              <w:overflowPunct w:val="0"/>
              <w:adjustRightInd w:val="0"/>
              <w:jc w:val="center"/>
              <w:rPr>
                <w:rFonts w:hint="default" w:eastAsia="宋体"/>
                <w:color w:val="auto"/>
                <w:lang w:val="en-US" w:eastAsia="zh-CN"/>
              </w:rPr>
            </w:pPr>
            <w:r>
              <w:rPr>
                <w:rFonts w:hint="eastAsia"/>
                <w:color w:val="auto"/>
                <w:lang w:val="en-US" w:eastAsia="zh-CN"/>
              </w:rPr>
              <w:t>500</w:t>
            </w:r>
          </w:p>
        </w:tc>
      </w:tr>
      <w:tr w14:paraId="3A84EC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3A84ECF9">
            <w:pPr>
              <w:overflowPunct w:val="0"/>
              <w:adjustRightInd w:val="0"/>
              <w:snapToGrid w:val="0"/>
              <w:jc w:val="center"/>
              <w:rPr>
                <w:b/>
                <w:color w:val="auto"/>
              </w:rPr>
            </w:pPr>
            <w:r>
              <w:rPr>
                <w:b/>
                <w:color w:val="auto"/>
              </w:rPr>
              <w:t>环保投资占比（%）</w:t>
            </w:r>
          </w:p>
        </w:tc>
        <w:tc>
          <w:tcPr>
            <w:tcW w:w="949" w:type="pct"/>
            <w:tcBorders>
              <w:top w:val="single" w:color="auto" w:sz="8" w:space="0"/>
              <w:left w:val="single" w:color="auto" w:sz="8" w:space="0"/>
              <w:bottom w:val="single" w:color="auto" w:sz="8" w:space="0"/>
              <w:right w:val="single" w:color="auto" w:sz="8" w:space="0"/>
            </w:tcBorders>
            <w:vAlign w:val="center"/>
          </w:tcPr>
          <w:p w14:paraId="3A84ECFA">
            <w:pPr>
              <w:overflowPunct w:val="0"/>
              <w:adjustRightInd w:val="0"/>
              <w:snapToGrid w:val="0"/>
              <w:jc w:val="center"/>
              <w:rPr>
                <w:rFonts w:hint="default" w:eastAsia="宋体"/>
                <w:color w:val="auto"/>
                <w:lang w:val="en-US" w:eastAsia="zh-CN"/>
              </w:rPr>
            </w:pPr>
            <w:r>
              <w:rPr>
                <w:rFonts w:hint="eastAsia"/>
                <w:color w:val="auto"/>
                <w:lang w:val="en-US" w:eastAsia="zh-CN"/>
              </w:rPr>
              <w:t>1.2</w:t>
            </w:r>
          </w:p>
        </w:tc>
        <w:tc>
          <w:tcPr>
            <w:tcW w:w="1219" w:type="pct"/>
            <w:tcBorders>
              <w:top w:val="single" w:color="auto" w:sz="8" w:space="0"/>
              <w:left w:val="single" w:color="auto" w:sz="8" w:space="0"/>
              <w:bottom w:val="single" w:color="auto" w:sz="8" w:space="0"/>
              <w:right w:val="single" w:color="auto" w:sz="8" w:space="0"/>
            </w:tcBorders>
            <w:tcMar>
              <w:top w:w="16" w:type="dxa"/>
              <w:left w:w="16" w:type="dxa"/>
              <w:right w:w="16" w:type="dxa"/>
            </w:tcMar>
            <w:vAlign w:val="center"/>
          </w:tcPr>
          <w:p w14:paraId="3A84ECFB">
            <w:pPr>
              <w:overflowPunct w:val="0"/>
              <w:adjustRightInd w:val="0"/>
              <w:snapToGrid w:val="0"/>
              <w:jc w:val="center"/>
              <w:rPr>
                <w:b/>
                <w:color w:val="auto"/>
              </w:rPr>
            </w:pPr>
            <w:r>
              <w:rPr>
                <w:b/>
                <w:color w:val="auto"/>
              </w:rPr>
              <w:t>施工工期</w:t>
            </w:r>
          </w:p>
        </w:tc>
        <w:tc>
          <w:tcPr>
            <w:tcW w:w="2239" w:type="pct"/>
            <w:tcBorders>
              <w:top w:val="single" w:color="auto" w:sz="8" w:space="0"/>
              <w:left w:val="single" w:color="auto" w:sz="8" w:space="0"/>
              <w:bottom w:val="single" w:color="auto" w:sz="8" w:space="0"/>
            </w:tcBorders>
            <w:vAlign w:val="center"/>
          </w:tcPr>
          <w:p w14:paraId="3A84ECFC">
            <w:pPr>
              <w:overflowPunct w:val="0"/>
              <w:adjustRightInd w:val="0"/>
              <w:snapToGrid w:val="0"/>
              <w:jc w:val="center"/>
              <w:rPr>
                <w:color w:val="auto"/>
              </w:rPr>
            </w:pPr>
            <w:r>
              <w:rPr>
                <w:color w:val="auto"/>
              </w:rPr>
              <w:t>3个月</w:t>
            </w:r>
          </w:p>
        </w:tc>
      </w:tr>
      <w:tr w14:paraId="3A84ED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3A84ECFE">
            <w:pPr>
              <w:overflowPunct w:val="0"/>
              <w:adjustRightInd w:val="0"/>
              <w:snapToGrid w:val="0"/>
              <w:jc w:val="center"/>
              <w:rPr>
                <w:b/>
                <w:color w:val="auto"/>
              </w:rPr>
            </w:pPr>
            <w:r>
              <w:rPr>
                <w:b/>
                <w:color w:val="auto"/>
              </w:rPr>
              <w:t>是否开工建设</w:t>
            </w:r>
          </w:p>
        </w:tc>
        <w:tc>
          <w:tcPr>
            <w:tcW w:w="949" w:type="pct"/>
            <w:tcBorders>
              <w:top w:val="single" w:color="auto" w:sz="8" w:space="0"/>
              <w:left w:val="single" w:color="auto" w:sz="8" w:space="0"/>
              <w:bottom w:val="single" w:color="auto" w:sz="8" w:space="0"/>
              <w:right w:val="single" w:color="auto" w:sz="8" w:space="0"/>
            </w:tcBorders>
            <w:vAlign w:val="center"/>
          </w:tcPr>
          <w:p w14:paraId="3A84ECFF">
            <w:pPr>
              <w:overflowPunct w:val="0"/>
              <w:adjustRightInd w:val="0"/>
              <w:snapToGrid w:val="0"/>
              <w:rPr>
                <w:color w:val="auto"/>
              </w:rPr>
            </w:pPr>
            <w:r>
              <w:rPr>
                <w:rFonts w:ascii="Segoe UI Symbol" w:hAnsi="Segoe UI Symbol" w:cs="Segoe UI Symbol"/>
                <w:color w:val="auto"/>
              </w:rPr>
              <w:t>☑</w:t>
            </w:r>
            <w:r>
              <w:rPr>
                <w:color w:val="auto"/>
              </w:rPr>
              <w:t>否</w:t>
            </w:r>
          </w:p>
          <w:p w14:paraId="3A84ED00">
            <w:pPr>
              <w:overflowPunct w:val="0"/>
              <w:adjustRightInd w:val="0"/>
              <w:jc w:val="left"/>
              <w:rPr>
                <w:color w:val="auto"/>
              </w:rPr>
            </w:pPr>
            <w:r>
              <w:rPr>
                <w:rFonts w:hint="eastAsia"/>
                <w:color w:val="auto"/>
              </w:rPr>
              <w:t>□</w:t>
            </w:r>
            <w:r>
              <w:rPr>
                <w:color w:val="auto"/>
              </w:rPr>
              <w:t>是：</w:t>
            </w:r>
            <w:r>
              <w:rPr>
                <w:color w:val="auto"/>
                <w:u w:val="single"/>
              </w:rPr>
              <w:t xml:space="preserve">           </w:t>
            </w:r>
          </w:p>
        </w:tc>
        <w:tc>
          <w:tcPr>
            <w:tcW w:w="1219" w:type="pct"/>
            <w:tcBorders>
              <w:top w:val="single" w:color="auto" w:sz="8" w:space="0"/>
              <w:left w:val="single" w:color="auto" w:sz="8" w:space="0"/>
              <w:bottom w:val="single" w:color="auto" w:sz="8" w:space="0"/>
              <w:right w:val="single" w:color="auto" w:sz="8" w:space="0"/>
            </w:tcBorders>
            <w:tcMar>
              <w:top w:w="16" w:type="dxa"/>
              <w:left w:w="16" w:type="dxa"/>
              <w:right w:w="16" w:type="dxa"/>
            </w:tcMar>
            <w:vAlign w:val="center"/>
          </w:tcPr>
          <w:p w14:paraId="3A84ED01">
            <w:pPr>
              <w:overflowPunct w:val="0"/>
              <w:adjustRightInd w:val="0"/>
              <w:snapToGrid w:val="0"/>
              <w:jc w:val="center"/>
              <w:rPr>
                <w:b/>
                <w:color w:val="auto"/>
              </w:rPr>
            </w:pPr>
            <w:r>
              <w:rPr>
                <w:b/>
                <w:color w:val="auto"/>
              </w:rPr>
              <w:t>用地面积（m</w:t>
            </w:r>
            <w:r>
              <w:rPr>
                <w:b/>
                <w:color w:val="auto"/>
                <w:vertAlign w:val="superscript"/>
              </w:rPr>
              <w:t>2</w:t>
            </w:r>
            <w:r>
              <w:rPr>
                <w:b/>
                <w:color w:val="auto"/>
              </w:rPr>
              <w:t>）</w:t>
            </w:r>
          </w:p>
        </w:tc>
        <w:tc>
          <w:tcPr>
            <w:tcW w:w="2239" w:type="pct"/>
            <w:tcBorders>
              <w:top w:val="single" w:color="auto" w:sz="8" w:space="0"/>
              <w:left w:val="single" w:color="auto" w:sz="8" w:space="0"/>
              <w:bottom w:val="single" w:color="auto" w:sz="8" w:space="0"/>
            </w:tcBorders>
            <w:vAlign w:val="center"/>
          </w:tcPr>
          <w:p w14:paraId="3A84ED02">
            <w:pPr>
              <w:overflowPunct w:val="0"/>
              <w:adjustRightInd w:val="0"/>
              <w:snapToGrid w:val="0"/>
              <w:jc w:val="center"/>
              <w:rPr>
                <w:b/>
                <w:color w:val="auto"/>
              </w:rPr>
            </w:pPr>
            <w:r>
              <w:rPr>
                <w:rFonts w:hint="eastAsia"/>
                <w:bCs/>
                <w:color w:val="auto"/>
                <w:lang w:val="en-US" w:eastAsia="zh-CN"/>
              </w:rPr>
              <w:t>3936</w:t>
            </w:r>
            <w:r>
              <w:rPr>
                <w:bCs/>
                <w:color w:val="auto"/>
              </w:rPr>
              <w:t>（</w:t>
            </w:r>
            <w:r>
              <w:rPr>
                <w:rFonts w:hint="eastAsia"/>
                <w:bCs/>
                <w:color w:val="auto"/>
              </w:rPr>
              <w:t>建筑面积</w:t>
            </w:r>
            <w:r>
              <w:rPr>
                <w:bCs/>
                <w:color w:val="auto"/>
              </w:rPr>
              <w:t>）</w:t>
            </w:r>
          </w:p>
        </w:tc>
      </w:tr>
      <w:tr w14:paraId="3A84ED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01" w:hRule="atLeast"/>
          <w:jc w:val="center"/>
        </w:trPr>
        <w:tc>
          <w:tcPr>
            <w:tcW w:w="591" w:type="pct"/>
            <w:gridSpan w:val="2"/>
            <w:tcBorders>
              <w:top w:val="single" w:color="auto" w:sz="8" w:space="0"/>
              <w:bottom w:val="single" w:color="auto" w:sz="8" w:space="0"/>
              <w:right w:val="single" w:color="auto" w:sz="8" w:space="0"/>
            </w:tcBorders>
            <w:vAlign w:val="center"/>
          </w:tcPr>
          <w:p w14:paraId="3A84ED04">
            <w:pPr>
              <w:overflowPunct w:val="0"/>
              <w:adjustRightInd w:val="0"/>
              <w:snapToGrid w:val="0"/>
              <w:jc w:val="center"/>
              <w:rPr>
                <w:b/>
                <w:color w:val="auto"/>
                <w:kern w:val="0"/>
              </w:rPr>
            </w:pPr>
            <w:r>
              <w:rPr>
                <w:b/>
                <w:color w:val="auto"/>
                <w:kern w:val="0"/>
              </w:rPr>
              <w:t>专项评价设置情况</w:t>
            </w:r>
          </w:p>
        </w:tc>
        <w:tc>
          <w:tcPr>
            <w:tcW w:w="4408" w:type="pct"/>
            <w:gridSpan w:val="3"/>
            <w:tcBorders>
              <w:top w:val="single" w:color="auto" w:sz="8" w:space="0"/>
              <w:left w:val="single" w:color="auto" w:sz="8" w:space="0"/>
              <w:bottom w:val="single" w:color="auto" w:sz="8" w:space="0"/>
            </w:tcBorders>
            <w:vAlign w:val="center"/>
          </w:tcPr>
          <w:tbl>
            <w:tblPr>
              <w:tblStyle w:val="59"/>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867"/>
              <w:gridCol w:w="3294"/>
              <w:gridCol w:w="2683"/>
              <w:gridCol w:w="908"/>
            </w:tblGrid>
            <w:tr w14:paraId="61ECCEE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559" w:type="pct"/>
                  <w:tcBorders>
                    <w:tl2br w:val="nil"/>
                    <w:tr2bl w:val="nil"/>
                  </w:tcBorders>
                  <w:noWrap w:val="0"/>
                  <w:vAlign w:val="center"/>
                </w:tcPr>
                <w:p w14:paraId="6FC0B8CE">
                  <w:pPr>
                    <w:keepNext w:val="0"/>
                    <w:keepLines w:val="0"/>
                    <w:pageBreakBefore w:val="0"/>
                    <w:widowControl w:val="0"/>
                    <w:kinsoku/>
                    <w:wordWrap/>
                    <w:overflowPunct/>
                    <w:topLinePunct w:val="0"/>
                    <w:autoSpaceDE w:val="0"/>
                    <w:autoSpaceDN w:val="0"/>
                    <w:bidi w:val="0"/>
                    <w:adjustRightInd w:val="0"/>
                    <w:snapToGrid w:val="0"/>
                    <w:jc w:val="center"/>
                    <w:textAlignment w:val="auto"/>
                    <w:rPr>
                      <w:b/>
                      <w:bCs/>
                      <w:color w:val="auto"/>
                      <w:kern w:val="0"/>
                      <w:sz w:val="21"/>
                      <w:szCs w:val="21"/>
                      <w:highlight w:val="none"/>
                    </w:rPr>
                  </w:pPr>
                  <w:r>
                    <w:rPr>
                      <w:b/>
                      <w:bCs/>
                      <w:color w:val="auto"/>
                      <w:kern w:val="0"/>
                      <w:sz w:val="21"/>
                      <w:szCs w:val="21"/>
                      <w:highlight w:val="none"/>
                    </w:rPr>
                    <w:t>专项评价的类别</w:t>
                  </w:r>
                </w:p>
              </w:tc>
              <w:tc>
                <w:tcPr>
                  <w:tcW w:w="2124" w:type="pct"/>
                  <w:tcBorders>
                    <w:tl2br w:val="nil"/>
                    <w:tr2bl w:val="nil"/>
                  </w:tcBorders>
                  <w:noWrap w:val="0"/>
                  <w:vAlign w:val="center"/>
                </w:tcPr>
                <w:p w14:paraId="7338DA8A">
                  <w:pPr>
                    <w:keepNext w:val="0"/>
                    <w:keepLines w:val="0"/>
                    <w:pageBreakBefore w:val="0"/>
                    <w:widowControl w:val="0"/>
                    <w:kinsoku/>
                    <w:wordWrap/>
                    <w:overflowPunct/>
                    <w:topLinePunct w:val="0"/>
                    <w:autoSpaceDE w:val="0"/>
                    <w:autoSpaceDN w:val="0"/>
                    <w:bidi w:val="0"/>
                    <w:adjustRightInd w:val="0"/>
                    <w:snapToGrid w:val="0"/>
                    <w:jc w:val="center"/>
                    <w:textAlignment w:val="auto"/>
                    <w:rPr>
                      <w:b/>
                      <w:bCs/>
                      <w:color w:val="auto"/>
                      <w:kern w:val="0"/>
                      <w:sz w:val="21"/>
                      <w:szCs w:val="21"/>
                      <w:highlight w:val="none"/>
                    </w:rPr>
                  </w:pPr>
                  <w:r>
                    <w:rPr>
                      <w:b/>
                      <w:bCs/>
                      <w:color w:val="auto"/>
                      <w:kern w:val="0"/>
                      <w:sz w:val="21"/>
                      <w:szCs w:val="21"/>
                      <w:highlight w:val="none"/>
                    </w:rPr>
                    <w:t>设置原则</w:t>
                  </w:r>
                </w:p>
              </w:tc>
              <w:tc>
                <w:tcPr>
                  <w:tcW w:w="1730" w:type="pct"/>
                  <w:tcBorders>
                    <w:tl2br w:val="nil"/>
                    <w:tr2bl w:val="nil"/>
                  </w:tcBorders>
                  <w:noWrap w:val="0"/>
                  <w:vAlign w:val="center"/>
                </w:tcPr>
                <w:p w14:paraId="2D007038">
                  <w:pPr>
                    <w:keepNext w:val="0"/>
                    <w:keepLines w:val="0"/>
                    <w:pageBreakBefore w:val="0"/>
                    <w:widowControl w:val="0"/>
                    <w:kinsoku/>
                    <w:wordWrap/>
                    <w:overflowPunct/>
                    <w:topLinePunct w:val="0"/>
                    <w:autoSpaceDE w:val="0"/>
                    <w:autoSpaceDN w:val="0"/>
                    <w:bidi w:val="0"/>
                    <w:adjustRightInd w:val="0"/>
                    <w:snapToGrid w:val="0"/>
                    <w:jc w:val="center"/>
                    <w:textAlignment w:val="auto"/>
                    <w:rPr>
                      <w:b/>
                      <w:bCs/>
                      <w:color w:val="auto"/>
                      <w:kern w:val="0"/>
                      <w:sz w:val="21"/>
                      <w:szCs w:val="21"/>
                      <w:highlight w:val="none"/>
                    </w:rPr>
                  </w:pPr>
                  <w:r>
                    <w:rPr>
                      <w:b/>
                      <w:bCs/>
                      <w:color w:val="auto"/>
                      <w:kern w:val="0"/>
                      <w:sz w:val="21"/>
                      <w:szCs w:val="21"/>
                      <w:highlight w:val="none"/>
                    </w:rPr>
                    <w:t>项目情况</w:t>
                  </w:r>
                </w:p>
              </w:tc>
              <w:tc>
                <w:tcPr>
                  <w:tcW w:w="585" w:type="pct"/>
                  <w:tcBorders>
                    <w:tl2br w:val="nil"/>
                    <w:tr2bl w:val="nil"/>
                  </w:tcBorders>
                  <w:noWrap w:val="0"/>
                  <w:vAlign w:val="center"/>
                </w:tcPr>
                <w:p w14:paraId="7FC72ADD">
                  <w:pPr>
                    <w:keepNext w:val="0"/>
                    <w:keepLines w:val="0"/>
                    <w:pageBreakBefore w:val="0"/>
                    <w:widowControl w:val="0"/>
                    <w:kinsoku/>
                    <w:wordWrap/>
                    <w:overflowPunct/>
                    <w:topLinePunct w:val="0"/>
                    <w:autoSpaceDE w:val="0"/>
                    <w:autoSpaceDN w:val="0"/>
                    <w:bidi w:val="0"/>
                    <w:adjustRightInd w:val="0"/>
                    <w:snapToGrid w:val="0"/>
                    <w:jc w:val="center"/>
                    <w:textAlignment w:val="auto"/>
                    <w:rPr>
                      <w:b/>
                      <w:bCs/>
                      <w:color w:val="auto"/>
                      <w:kern w:val="0"/>
                      <w:sz w:val="21"/>
                      <w:szCs w:val="21"/>
                      <w:highlight w:val="none"/>
                    </w:rPr>
                  </w:pPr>
                  <w:r>
                    <w:rPr>
                      <w:b/>
                      <w:bCs/>
                      <w:color w:val="auto"/>
                      <w:kern w:val="0"/>
                      <w:sz w:val="21"/>
                      <w:szCs w:val="21"/>
                      <w:highlight w:val="none"/>
                    </w:rPr>
                    <w:t>设置情况</w:t>
                  </w:r>
                </w:p>
              </w:tc>
            </w:tr>
            <w:tr w14:paraId="7341D7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9" w:type="pct"/>
                  <w:tcBorders>
                    <w:tl2br w:val="nil"/>
                    <w:tr2bl w:val="nil"/>
                  </w:tcBorders>
                  <w:noWrap w:val="0"/>
                  <w:vAlign w:val="center"/>
                </w:tcPr>
                <w:p w14:paraId="14DAC7EA">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大气</w:t>
                  </w:r>
                </w:p>
              </w:tc>
              <w:tc>
                <w:tcPr>
                  <w:tcW w:w="2124" w:type="pct"/>
                  <w:tcBorders>
                    <w:tl2br w:val="nil"/>
                    <w:tr2bl w:val="nil"/>
                  </w:tcBorders>
                  <w:noWrap w:val="0"/>
                  <w:vAlign w:val="center"/>
                </w:tcPr>
                <w:p w14:paraId="51607289">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排放废气含有毒有害污染物</w:t>
                  </w:r>
                  <w:r>
                    <w:rPr>
                      <w:color w:val="auto"/>
                      <w:kern w:val="0"/>
                      <w:sz w:val="21"/>
                      <w:szCs w:val="21"/>
                      <w:highlight w:val="none"/>
                      <w:vertAlign w:val="superscript"/>
                    </w:rPr>
                    <w:t>1</w:t>
                  </w:r>
                  <w:r>
                    <w:rPr>
                      <w:color w:val="auto"/>
                      <w:kern w:val="0"/>
                      <w:sz w:val="21"/>
                      <w:szCs w:val="21"/>
                      <w:highlight w:val="none"/>
                    </w:rPr>
                    <w:t>、二噁英、苯并[a]芘、氰化物、氯气且厂界外500米范围内有环境空气保护目标</w:t>
                  </w:r>
                  <w:r>
                    <w:rPr>
                      <w:color w:val="auto"/>
                      <w:kern w:val="0"/>
                      <w:sz w:val="21"/>
                      <w:szCs w:val="21"/>
                      <w:highlight w:val="none"/>
                      <w:vertAlign w:val="superscript"/>
                    </w:rPr>
                    <w:t>2</w:t>
                  </w:r>
                  <w:r>
                    <w:rPr>
                      <w:color w:val="auto"/>
                      <w:kern w:val="0"/>
                      <w:sz w:val="21"/>
                      <w:szCs w:val="21"/>
                      <w:highlight w:val="none"/>
                    </w:rPr>
                    <w:t>的建设项目</w:t>
                  </w:r>
                </w:p>
              </w:tc>
              <w:tc>
                <w:tcPr>
                  <w:tcW w:w="1730" w:type="pct"/>
                  <w:tcBorders>
                    <w:tl2br w:val="nil"/>
                    <w:tr2bl w:val="nil"/>
                  </w:tcBorders>
                  <w:noWrap w:val="0"/>
                  <w:vAlign w:val="center"/>
                </w:tcPr>
                <w:p w14:paraId="231F7161">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rFonts w:hint="eastAsia"/>
                      <w:color w:val="auto"/>
                      <w:kern w:val="0"/>
                      <w:sz w:val="21"/>
                      <w:szCs w:val="21"/>
                      <w:highlight w:val="none"/>
                      <w:lang w:val="en-US" w:eastAsia="zh-CN"/>
                    </w:rPr>
                    <w:t>本项目不新增有毒有害气体</w:t>
                  </w:r>
                  <w:r>
                    <w:rPr>
                      <w:color w:val="auto"/>
                      <w:kern w:val="0"/>
                      <w:sz w:val="21"/>
                      <w:szCs w:val="21"/>
                      <w:highlight w:val="none"/>
                    </w:rPr>
                    <w:t>，因此无需设置大气专项评价</w:t>
                  </w:r>
                </w:p>
              </w:tc>
              <w:tc>
                <w:tcPr>
                  <w:tcW w:w="585" w:type="pct"/>
                  <w:tcBorders>
                    <w:tl2br w:val="nil"/>
                    <w:tr2bl w:val="nil"/>
                  </w:tcBorders>
                  <w:noWrap w:val="0"/>
                  <w:vAlign w:val="center"/>
                </w:tcPr>
                <w:p w14:paraId="16AAEC91">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无</w:t>
                  </w:r>
                </w:p>
              </w:tc>
            </w:tr>
            <w:tr w14:paraId="34D892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9" w:type="pct"/>
                  <w:tcBorders>
                    <w:tl2br w:val="nil"/>
                    <w:tr2bl w:val="nil"/>
                  </w:tcBorders>
                  <w:noWrap w:val="0"/>
                  <w:vAlign w:val="center"/>
                </w:tcPr>
                <w:p w14:paraId="78BE7A8C">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地表水</w:t>
                  </w:r>
                </w:p>
              </w:tc>
              <w:tc>
                <w:tcPr>
                  <w:tcW w:w="2124" w:type="pct"/>
                  <w:tcBorders>
                    <w:tl2br w:val="nil"/>
                    <w:tr2bl w:val="nil"/>
                  </w:tcBorders>
                  <w:noWrap w:val="0"/>
                  <w:vAlign w:val="center"/>
                </w:tcPr>
                <w:p w14:paraId="470D6055">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新增工业废水直排建设项目（槽罐车外送污水处理厂的除外）；新增废水直排的污水集中处理厂</w:t>
                  </w:r>
                </w:p>
              </w:tc>
              <w:tc>
                <w:tcPr>
                  <w:tcW w:w="1730" w:type="pct"/>
                  <w:tcBorders>
                    <w:tl2br w:val="nil"/>
                    <w:tr2bl w:val="nil"/>
                  </w:tcBorders>
                  <w:noWrap w:val="0"/>
                  <w:vAlign w:val="center"/>
                </w:tcPr>
                <w:p w14:paraId="66E0954B">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项目生活污水</w:t>
                  </w:r>
                  <w:r>
                    <w:rPr>
                      <w:rFonts w:hint="eastAsia" w:eastAsia="宋体"/>
                      <w:color w:val="auto"/>
                      <w:lang w:val="en-US" w:eastAsia="zh-CN"/>
                    </w:rPr>
                    <w:t>接管至常州市金坛区茅东污水处理厂</w:t>
                  </w:r>
                  <w:r>
                    <w:rPr>
                      <w:color w:val="auto"/>
                      <w:kern w:val="0"/>
                      <w:sz w:val="21"/>
                      <w:szCs w:val="21"/>
                      <w:highlight w:val="none"/>
                    </w:rPr>
                    <w:t>，</w:t>
                  </w:r>
                  <w:r>
                    <w:rPr>
                      <w:rFonts w:hint="eastAsia"/>
                      <w:color w:val="auto"/>
                      <w:kern w:val="0"/>
                      <w:sz w:val="21"/>
                      <w:szCs w:val="21"/>
                      <w:highlight w:val="none"/>
                      <w:lang w:val="en-US" w:eastAsia="zh-CN"/>
                    </w:rPr>
                    <w:t>无生产废水外排，</w:t>
                  </w:r>
                  <w:r>
                    <w:rPr>
                      <w:color w:val="auto"/>
                      <w:kern w:val="0"/>
                      <w:sz w:val="21"/>
                      <w:szCs w:val="21"/>
                      <w:highlight w:val="none"/>
                    </w:rPr>
                    <w:t>因此无需设置地表水专项评价</w:t>
                  </w:r>
                </w:p>
              </w:tc>
              <w:tc>
                <w:tcPr>
                  <w:tcW w:w="585" w:type="pct"/>
                  <w:tcBorders>
                    <w:tl2br w:val="nil"/>
                    <w:tr2bl w:val="nil"/>
                  </w:tcBorders>
                  <w:noWrap w:val="0"/>
                  <w:vAlign w:val="center"/>
                </w:tcPr>
                <w:p w14:paraId="5E2C7CE5">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无</w:t>
                  </w:r>
                </w:p>
              </w:tc>
            </w:tr>
            <w:tr w14:paraId="6931F7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9" w:type="pct"/>
                  <w:tcBorders>
                    <w:tl2br w:val="nil"/>
                    <w:tr2bl w:val="nil"/>
                  </w:tcBorders>
                  <w:noWrap w:val="0"/>
                  <w:vAlign w:val="center"/>
                </w:tcPr>
                <w:p w14:paraId="132F7174">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环境风险</w:t>
                  </w:r>
                </w:p>
              </w:tc>
              <w:tc>
                <w:tcPr>
                  <w:tcW w:w="2124" w:type="pct"/>
                  <w:tcBorders>
                    <w:tl2br w:val="nil"/>
                    <w:tr2bl w:val="nil"/>
                  </w:tcBorders>
                  <w:noWrap w:val="0"/>
                  <w:vAlign w:val="center"/>
                </w:tcPr>
                <w:p w14:paraId="268CDC42">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有毒有害和易燃易爆危险物质存储量超过临界量</w:t>
                  </w:r>
                  <w:r>
                    <w:rPr>
                      <w:color w:val="auto"/>
                      <w:kern w:val="0"/>
                      <w:sz w:val="21"/>
                      <w:szCs w:val="21"/>
                      <w:highlight w:val="none"/>
                      <w:vertAlign w:val="superscript"/>
                    </w:rPr>
                    <w:t>3</w:t>
                  </w:r>
                  <w:r>
                    <w:rPr>
                      <w:color w:val="auto"/>
                      <w:kern w:val="0"/>
                      <w:sz w:val="21"/>
                      <w:szCs w:val="21"/>
                      <w:highlight w:val="none"/>
                    </w:rPr>
                    <w:t>的建设项目</w:t>
                  </w:r>
                </w:p>
              </w:tc>
              <w:tc>
                <w:tcPr>
                  <w:tcW w:w="1730" w:type="pct"/>
                  <w:tcBorders>
                    <w:tl2br w:val="nil"/>
                    <w:tr2bl w:val="nil"/>
                  </w:tcBorders>
                  <w:noWrap w:val="0"/>
                  <w:vAlign w:val="center"/>
                </w:tcPr>
                <w:p w14:paraId="0CD4379D">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rFonts w:hint="default" w:ascii="Times New Roman" w:hAnsi="Times New Roman" w:eastAsia="宋体" w:cs="Times New Roman"/>
                      <w:color w:val="auto"/>
                      <w:kern w:val="21"/>
                      <w:sz w:val="21"/>
                      <w:szCs w:val="21"/>
                    </w:rPr>
                    <w:t>项目</w:t>
                  </w:r>
                  <w:r>
                    <w:rPr>
                      <w:rFonts w:hint="eastAsia" w:ascii="Times New Roman" w:hAnsi="Times New Roman" w:eastAsia="宋体" w:cs="Times New Roman"/>
                      <w:color w:val="auto"/>
                      <w:kern w:val="21"/>
                      <w:sz w:val="21"/>
                      <w:szCs w:val="21"/>
                      <w:lang w:val="en-US" w:eastAsia="zh-CN"/>
                    </w:rPr>
                    <w:t>产气药属于易燃易爆危险物质，</w:t>
                  </w:r>
                  <w:r>
                    <w:rPr>
                      <w:rFonts w:hint="default" w:ascii="Times New Roman" w:hAnsi="Times New Roman" w:eastAsia="宋体" w:cs="Times New Roman"/>
                      <w:color w:val="auto"/>
                      <w:kern w:val="21"/>
                      <w:sz w:val="21"/>
                      <w:szCs w:val="21"/>
                    </w:rPr>
                    <w:t>存储量超过临界量，Q</w:t>
                  </w:r>
                  <w:r>
                    <w:rPr>
                      <w:rFonts w:hint="default" w:ascii="Times New Roman" w:hAnsi="Times New Roman" w:eastAsia="宋体" w:cs="Times New Roman"/>
                      <w:color w:val="auto"/>
                      <w:kern w:val="21"/>
                      <w:sz w:val="21"/>
                      <w:szCs w:val="21"/>
                      <w:lang w:val="en-US" w:eastAsia="zh-CN"/>
                    </w:rPr>
                    <w:t>&gt;</w:t>
                  </w:r>
                  <w:r>
                    <w:rPr>
                      <w:rFonts w:hint="default" w:ascii="Times New Roman" w:hAnsi="Times New Roman" w:eastAsia="宋体" w:cs="Times New Roman"/>
                      <w:color w:val="auto"/>
                      <w:kern w:val="21"/>
                      <w:sz w:val="21"/>
                      <w:szCs w:val="21"/>
                    </w:rPr>
                    <w:t>1，因此需设置环境风险专项评价</w:t>
                  </w:r>
                </w:p>
              </w:tc>
              <w:tc>
                <w:tcPr>
                  <w:tcW w:w="585" w:type="pct"/>
                  <w:tcBorders>
                    <w:tl2br w:val="nil"/>
                    <w:tr2bl w:val="nil"/>
                  </w:tcBorders>
                  <w:noWrap w:val="0"/>
                  <w:vAlign w:val="center"/>
                </w:tcPr>
                <w:p w14:paraId="36C03B3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有</w:t>
                  </w:r>
                </w:p>
              </w:tc>
            </w:tr>
            <w:tr w14:paraId="111462A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9" w:type="pct"/>
                  <w:tcBorders>
                    <w:tl2br w:val="nil"/>
                    <w:tr2bl w:val="nil"/>
                  </w:tcBorders>
                  <w:noWrap w:val="0"/>
                  <w:vAlign w:val="center"/>
                </w:tcPr>
                <w:p w14:paraId="63C1C15A">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生态</w:t>
                  </w:r>
                </w:p>
              </w:tc>
              <w:tc>
                <w:tcPr>
                  <w:tcW w:w="2124" w:type="pct"/>
                  <w:tcBorders>
                    <w:tl2br w:val="nil"/>
                    <w:tr2bl w:val="nil"/>
                  </w:tcBorders>
                  <w:noWrap w:val="0"/>
                  <w:vAlign w:val="center"/>
                </w:tcPr>
                <w:p w14:paraId="08A3ED6B">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取水口下游500米范围内有重要水生生物的自然产卵场、索饵场、越冬场和洄游通道的新增河道取水的污染类建设项目</w:t>
                  </w:r>
                </w:p>
              </w:tc>
              <w:tc>
                <w:tcPr>
                  <w:tcW w:w="1730" w:type="pct"/>
                  <w:tcBorders>
                    <w:tl2br w:val="nil"/>
                    <w:tr2bl w:val="nil"/>
                  </w:tcBorders>
                  <w:noWrap w:val="0"/>
                  <w:vAlign w:val="center"/>
                </w:tcPr>
                <w:p w14:paraId="0E6FF3FA">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不涉及</w:t>
                  </w:r>
                </w:p>
              </w:tc>
              <w:tc>
                <w:tcPr>
                  <w:tcW w:w="585" w:type="pct"/>
                  <w:tcBorders>
                    <w:tl2br w:val="nil"/>
                    <w:tr2bl w:val="nil"/>
                  </w:tcBorders>
                  <w:noWrap w:val="0"/>
                  <w:vAlign w:val="center"/>
                </w:tcPr>
                <w:p w14:paraId="117AEDC9">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无</w:t>
                  </w:r>
                </w:p>
              </w:tc>
            </w:tr>
            <w:tr w14:paraId="3F7107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9" w:type="pct"/>
                  <w:tcBorders>
                    <w:tl2br w:val="nil"/>
                    <w:tr2bl w:val="nil"/>
                  </w:tcBorders>
                  <w:noWrap w:val="0"/>
                  <w:vAlign w:val="center"/>
                </w:tcPr>
                <w:p w14:paraId="0427A54A">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海洋</w:t>
                  </w:r>
                </w:p>
              </w:tc>
              <w:tc>
                <w:tcPr>
                  <w:tcW w:w="2124" w:type="pct"/>
                  <w:tcBorders>
                    <w:tl2br w:val="nil"/>
                    <w:tr2bl w:val="nil"/>
                  </w:tcBorders>
                  <w:noWrap w:val="0"/>
                  <w:vAlign w:val="center"/>
                </w:tcPr>
                <w:p w14:paraId="3D58265E">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直接向海排放污染物的海洋工程建设项目</w:t>
                  </w:r>
                </w:p>
              </w:tc>
              <w:tc>
                <w:tcPr>
                  <w:tcW w:w="1730" w:type="pct"/>
                  <w:tcBorders>
                    <w:tl2br w:val="nil"/>
                    <w:tr2bl w:val="nil"/>
                  </w:tcBorders>
                  <w:noWrap w:val="0"/>
                  <w:vAlign w:val="center"/>
                </w:tcPr>
                <w:p w14:paraId="0447B1AB">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不涉及</w:t>
                  </w:r>
                </w:p>
              </w:tc>
              <w:tc>
                <w:tcPr>
                  <w:tcW w:w="585" w:type="pct"/>
                  <w:tcBorders>
                    <w:tl2br w:val="nil"/>
                    <w:tr2bl w:val="nil"/>
                  </w:tcBorders>
                  <w:noWrap w:val="0"/>
                  <w:vAlign w:val="center"/>
                </w:tcPr>
                <w:p w14:paraId="16B77F4C">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无</w:t>
                  </w:r>
                </w:p>
              </w:tc>
            </w:tr>
          </w:tbl>
          <w:p w14:paraId="0EF20B77">
            <w:pPr>
              <w:overflowPunct w:val="0"/>
              <w:adjustRightInd w:val="0"/>
              <w:snapToGrid w:val="0"/>
              <w:jc w:val="both"/>
              <w:rPr>
                <w:color w:val="auto"/>
                <w:kern w:val="0"/>
              </w:rPr>
            </w:pPr>
          </w:p>
        </w:tc>
      </w:tr>
      <w:tr w14:paraId="3A84ED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25" w:hRule="atLeast"/>
          <w:jc w:val="center"/>
        </w:trPr>
        <w:tc>
          <w:tcPr>
            <w:tcW w:w="591" w:type="pct"/>
            <w:gridSpan w:val="2"/>
            <w:tcBorders>
              <w:top w:val="single" w:color="auto" w:sz="8" w:space="0"/>
              <w:bottom w:val="single" w:color="auto" w:sz="8" w:space="0"/>
              <w:right w:val="single" w:color="auto" w:sz="8" w:space="0"/>
            </w:tcBorders>
            <w:vAlign w:val="center"/>
          </w:tcPr>
          <w:p w14:paraId="3A84ED07">
            <w:pPr>
              <w:overflowPunct w:val="0"/>
              <w:adjustRightInd w:val="0"/>
              <w:snapToGrid w:val="0"/>
              <w:jc w:val="center"/>
              <w:rPr>
                <w:b/>
                <w:color w:val="auto"/>
                <w:kern w:val="0"/>
              </w:rPr>
            </w:pPr>
            <w:r>
              <w:rPr>
                <w:b/>
                <w:color w:val="auto"/>
              </w:rPr>
              <w:t>规划情况</w:t>
            </w:r>
          </w:p>
        </w:tc>
        <w:tc>
          <w:tcPr>
            <w:tcW w:w="7998" w:type="dxa"/>
            <w:gridSpan w:val="3"/>
            <w:tcBorders>
              <w:top w:val="single" w:color="auto" w:sz="8" w:space="0"/>
              <w:left w:val="single" w:color="auto" w:sz="8" w:space="0"/>
              <w:bottom w:val="single" w:color="auto" w:sz="8" w:space="0"/>
            </w:tcBorders>
            <w:vAlign w:val="center"/>
          </w:tcPr>
          <w:p w14:paraId="73BDE5D1">
            <w:pPr>
              <w:pStyle w:val="23"/>
              <w:spacing w:line="360" w:lineRule="auto"/>
              <w:rPr>
                <w:rFonts w:ascii="Times New Roman" w:hAnsi="Times New Roman" w:eastAsia="宋体"/>
                <w:color w:val="auto"/>
                <w:sz w:val="21"/>
                <w:szCs w:val="21"/>
              </w:rPr>
            </w:pPr>
            <w:r>
              <w:rPr>
                <w:rFonts w:ascii="Times New Roman" w:hAnsi="Times New Roman" w:eastAsia="宋体"/>
                <w:color w:val="auto"/>
                <w:sz w:val="21"/>
                <w:szCs w:val="21"/>
              </w:rPr>
              <w:t>规划名称：</w:t>
            </w:r>
            <w:r>
              <w:rPr>
                <w:rFonts w:hint="eastAsia" w:ascii="Times New Roman" w:hAnsi="Times New Roman" w:eastAsia="宋体"/>
                <w:color w:val="auto"/>
                <w:sz w:val="21"/>
                <w:szCs w:val="21"/>
              </w:rPr>
              <w:t>《江苏省金坛经济开发区薛埠现代产业园/常州市金坛区薛埠产业新镇总体规划》</w:t>
            </w:r>
          </w:p>
          <w:p w14:paraId="11DFDFC9">
            <w:pPr>
              <w:autoSpaceDE w:val="0"/>
              <w:autoSpaceDN w:val="0"/>
              <w:adjustRightInd w:val="0"/>
              <w:snapToGrid w:val="0"/>
              <w:spacing w:line="360" w:lineRule="auto"/>
              <w:rPr>
                <w:rFonts w:hint="eastAsia"/>
                <w:color w:val="auto"/>
                <w:kern w:val="0"/>
                <w:szCs w:val="21"/>
              </w:rPr>
            </w:pPr>
            <w:r>
              <w:rPr>
                <w:color w:val="auto"/>
                <w:szCs w:val="21"/>
              </w:rPr>
              <w:t>审批机关：</w:t>
            </w:r>
            <w:r>
              <w:rPr>
                <w:rFonts w:hint="eastAsia"/>
                <w:color w:val="auto"/>
                <w:szCs w:val="21"/>
              </w:rPr>
              <w:t>原金坛市薛埠镇人民政府</w:t>
            </w:r>
          </w:p>
          <w:p w14:paraId="4B2E7B62">
            <w:pPr>
              <w:pStyle w:val="23"/>
              <w:spacing w:line="360" w:lineRule="auto"/>
              <w:rPr>
                <w:color w:val="auto"/>
              </w:rPr>
            </w:pPr>
            <w:r>
              <w:rPr>
                <w:rFonts w:ascii="Times New Roman" w:hAnsi="Times New Roman" w:eastAsia="宋体"/>
                <w:color w:val="auto"/>
                <w:sz w:val="21"/>
                <w:szCs w:val="21"/>
              </w:rPr>
              <w:t>审查文件名称及文号：</w:t>
            </w:r>
            <w:r>
              <w:rPr>
                <w:rFonts w:hint="eastAsia" w:ascii="Times New Roman" w:hAnsi="Times New Roman" w:eastAsia="宋体"/>
                <w:color w:val="auto"/>
                <w:sz w:val="21"/>
                <w:szCs w:val="21"/>
              </w:rPr>
              <w:t>/</w:t>
            </w:r>
          </w:p>
        </w:tc>
      </w:tr>
      <w:tr w14:paraId="3A84ED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70" w:hRule="atLeast"/>
          <w:jc w:val="center"/>
        </w:trPr>
        <w:tc>
          <w:tcPr>
            <w:tcW w:w="591" w:type="pct"/>
            <w:gridSpan w:val="2"/>
            <w:tcBorders>
              <w:top w:val="single" w:color="auto" w:sz="8" w:space="0"/>
              <w:bottom w:val="single" w:color="auto" w:sz="8" w:space="0"/>
              <w:right w:val="single" w:color="auto" w:sz="8" w:space="0"/>
            </w:tcBorders>
            <w:vAlign w:val="center"/>
          </w:tcPr>
          <w:p w14:paraId="3A84ED0C">
            <w:pPr>
              <w:overflowPunct w:val="0"/>
              <w:adjustRightInd w:val="0"/>
              <w:snapToGrid w:val="0"/>
              <w:jc w:val="center"/>
              <w:rPr>
                <w:b/>
                <w:color w:val="auto"/>
              </w:rPr>
            </w:pPr>
            <w:r>
              <w:rPr>
                <w:b/>
                <w:bCs/>
                <w:color w:val="auto"/>
              </w:rPr>
              <w:t>规划环境影响评价情况</w:t>
            </w:r>
          </w:p>
        </w:tc>
        <w:tc>
          <w:tcPr>
            <w:tcW w:w="7998" w:type="dxa"/>
            <w:gridSpan w:val="3"/>
            <w:tcBorders>
              <w:top w:val="single" w:color="auto" w:sz="8" w:space="0"/>
              <w:left w:val="single" w:color="auto" w:sz="8" w:space="0"/>
              <w:bottom w:val="single" w:color="auto" w:sz="8" w:space="0"/>
            </w:tcBorders>
            <w:vAlign w:val="center"/>
          </w:tcPr>
          <w:p w14:paraId="0BC0A99D">
            <w:pPr>
              <w:autoSpaceDE w:val="0"/>
              <w:autoSpaceDN w:val="0"/>
              <w:adjustRightInd w:val="0"/>
              <w:snapToGrid w:val="0"/>
              <w:spacing w:line="360" w:lineRule="auto"/>
              <w:rPr>
                <w:color w:val="auto"/>
                <w:szCs w:val="21"/>
              </w:rPr>
            </w:pPr>
            <w:r>
              <w:rPr>
                <w:color w:val="auto"/>
                <w:szCs w:val="21"/>
              </w:rPr>
              <w:t>规划环境影响评价文件名称</w:t>
            </w:r>
            <w:r>
              <w:rPr>
                <w:rFonts w:hint="eastAsia"/>
                <w:color w:val="auto"/>
                <w:szCs w:val="21"/>
              </w:rPr>
              <w:t>：</w:t>
            </w:r>
            <w:r>
              <w:rPr>
                <w:color w:val="auto"/>
                <w:szCs w:val="21"/>
              </w:rPr>
              <w:t>《金坛市薛埠镇工业集中区回顾性评价及规划调整（新设薛埠镇集聚产业园）环境影响报告书》</w:t>
            </w:r>
          </w:p>
          <w:p w14:paraId="27B590CA">
            <w:pPr>
              <w:autoSpaceDE w:val="0"/>
              <w:autoSpaceDN w:val="0"/>
              <w:adjustRightInd w:val="0"/>
              <w:snapToGrid w:val="0"/>
              <w:spacing w:line="360" w:lineRule="auto"/>
              <w:rPr>
                <w:color w:val="auto"/>
                <w:szCs w:val="21"/>
              </w:rPr>
            </w:pPr>
            <w:r>
              <w:rPr>
                <w:rFonts w:hint="eastAsia"/>
                <w:color w:val="auto"/>
                <w:szCs w:val="21"/>
              </w:rPr>
              <w:t>召集</w:t>
            </w:r>
            <w:r>
              <w:rPr>
                <w:color w:val="auto"/>
                <w:szCs w:val="21"/>
              </w:rPr>
              <w:t>审查机关：</w:t>
            </w:r>
            <w:r>
              <w:rPr>
                <w:rFonts w:hint="eastAsia"/>
                <w:color w:val="auto"/>
                <w:szCs w:val="21"/>
              </w:rPr>
              <w:t>常州市金坛生态环境局</w:t>
            </w:r>
          </w:p>
          <w:p w14:paraId="6E719536">
            <w:pPr>
              <w:autoSpaceDE w:val="0"/>
              <w:autoSpaceDN w:val="0"/>
              <w:adjustRightInd w:val="0"/>
              <w:snapToGrid w:val="0"/>
              <w:spacing w:line="360" w:lineRule="auto"/>
              <w:rPr>
                <w:color w:val="auto"/>
              </w:rPr>
            </w:pPr>
            <w:r>
              <w:rPr>
                <w:color w:val="auto"/>
                <w:szCs w:val="21"/>
              </w:rPr>
              <w:t>审查文件名称及文号</w:t>
            </w:r>
            <w:r>
              <w:rPr>
                <w:rFonts w:hint="eastAsia"/>
                <w:color w:val="auto"/>
                <w:szCs w:val="21"/>
              </w:rPr>
              <w:t>：《关于对金坛市薛埠镇工业集中区回顾性评价及规划调整（新设薛埠镇集聚产业园）环境影响报告书的审查意见》（坛环服复〔2015〕4号）</w:t>
            </w:r>
          </w:p>
        </w:tc>
      </w:tr>
      <w:tr w14:paraId="3A84ED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03" w:hRule="atLeast"/>
          <w:jc w:val="center"/>
        </w:trPr>
        <w:tc>
          <w:tcPr>
            <w:tcW w:w="388" w:type="pct"/>
            <w:tcBorders>
              <w:top w:val="single" w:color="auto" w:sz="8" w:space="0"/>
            </w:tcBorders>
            <w:vAlign w:val="center"/>
          </w:tcPr>
          <w:p w14:paraId="3A84ED12">
            <w:pPr>
              <w:overflowPunct w:val="0"/>
              <w:adjustRightInd w:val="0"/>
              <w:snapToGrid w:val="0"/>
              <w:jc w:val="center"/>
              <w:rPr>
                <w:b/>
                <w:color w:val="auto"/>
                <w:kern w:val="0"/>
              </w:rPr>
            </w:pPr>
            <w:r>
              <w:rPr>
                <w:rFonts w:hint="eastAsia"/>
                <w:b/>
                <w:color w:val="auto"/>
              </w:rPr>
              <w:t>规划及</w:t>
            </w:r>
            <w:r>
              <w:rPr>
                <w:b/>
                <w:color w:val="auto"/>
              </w:rPr>
              <w:t>规划环境影响评价</w:t>
            </w:r>
            <w:r>
              <w:rPr>
                <w:rFonts w:hint="eastAsia"/>
                <w:b/>
                <w:color w:val="auto"/>
              </w:rPr>
              <w:t>符合性分析</w:t>
            </w:r>
          </w:p>
        </w:tc>
        <w:tc>
          <w:tcPr>
            <w:tcW w:w="4611" w:type="pct"/>
            <w:gridSpan w:val="4"/>
            <w:tcBorders>
              <w:top w:val="single" w:color="auto" w:sz="8" w:space="0"/>
            </w:tcBorders>
            <w:vAlign w:val="center"/>
          </w:tcPr>
          <w:p w14:paraId="55BD8258">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eastAsia="宋体"/>
                <w:color w:val="auto"/>
                <w:szCs w:val="21"/>
                <w:highlight w:val="none"/>
                <w:lang w:eastAsia="zh-CN"/>
              </w:rPr>
            </w:pPr>
            <w:r>
              <w:rPr>
                <w:rFonts w:hint="eastAsia" w:ascii="Times New Roman" w:hAnsi="Times New Roman" w:eastAsia="宋体"/>
                <w:color w:val="auto"/>
                <w:sz w:val="21"/>
                <w:szCs w:val="21"/>
                <w:highlight w:val="none"/>
                <w:lang w:val="en-US" w:eastAsia="zh-CN"/>
              </w:rPr>
              <w:t>根据</w:t>
            </w:r>
            <w:r>
              <w:rPr>
                <w:rFonts w:hint="eastAsia" w:ascii="Times New Roman" w:hAnsi="Times New Roman" w:eastAsia="宋体"/>
                <w:color w:val="auto"/>
                <w:sz w:val="21"/>
                <w:szCs w:val="21"/>
                <w:highlight w:val="none"/>
              </w:rPr>
              <w:t>《江苏省金坛经济开发区薛埠现代产业园/常州市金坛区薛埠产业新镇总体规划》</w:t>
            </w:r>
            <w:r>
              <w:rPr>
                <w:rFonts w:hint="eastAsia" w:ascii="Times New Roman" w:hAnsi="Times New Roman" w:eastAsia="宋体"/>
                <w:color w:val="auto"/>
                <w:sz w:val="21"/>
                <w:szCs w:val="21"/>
                <w:highlight w:val="none"/>
                <w:lang w:eastAsia="zh-CN"/>
              </w:rPr>
              <w:t>的</w:t>
            </w:r>
            <w:r>
              <w:rPr>
                <w:rFonts w:hint="eastAsia" w:ascii="Times New Roman" w:hAnsi="Times New Roman" w:eastAsia="宋体" w:cs="Times New Roman"/>
                <w:color w:val="auto"/>
                <w:sz w:val="21"/>
                <w:szCs w:val="21"/>
                <w:highlight w:val="none"/>
              </w:rPr>
              <w:t>规划范围：规划区范围为薛埠镇域行政区范围，总面积234.76平方公里。其中，镇区规划范围为东至物流大道、南至茅山旅游大道、西至寻仙路、北至沪武高速-340省道围合的区域，总面积11.74平方公里</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和</w:t>
            </w:r>
            <w:r>
              <w:rPr>
                <w:color w:val="auto"/>
                <w:szCs w:val="21"/>
                <w:highlight w:val="none"/>
              </w:rPr>
              <w:t>《金坛市薛埠镇工业集中区回顾性评价及规划调整（新设薛埠镇集聚产业园）环境影响报告书》</w:t>
            </w:r>
            <w:r>
              <w:rPr>
                <w:rFonts w:hint="eastAsia"/>
                <w:color w:val="auto"/>
                <w:szCs w:val="21"/>
                <w:highlight w:val="none"/>
                <w:lang w:val="en-US" w:eastAsia="zh-CN"/>
              </w:rPr>
              <w:t>内容：</w:t>
            </w:r>
            <w:r>
              <w:rPr>
                <w:rFonts w:hint="eastAsia"/>
                <w:color w:val="auto"/>
                <w:szCs w:val="21"/>
                <w:highlight w:val="none"/>
              </w:rPr>
              <w:t>薛埠镇工业集中区包括镇区工业集中区、道口工业集中区两个片区，规划总面积为4.19平方公里</w:t>
            </w:r>
            <w:r>
              <w:rPr>
                <w:rFonts w:hint="eastAsia"/>
                <w:color w:val="auto"/>
                <w:szCs w:val="21"/>
                <w:highlight w:val="none"/>
                <w:lang w:eastAsia="zh-CN"/>
              </w:rPr>
              <w:t>，新设的集聚产业园规划范围主要是在薛埠镇工业集中区基础上进一步扩充，搬迁镇区其他区域工业企业，集聚产业园规划范围东至东环二路，西至东环一路，北至茅东大街，南至东环一路南延段，规划用地面积约1.81平方公里。</w:t>
            </w:r>
          </w:p>
          <w:p w14:paraId="594C4821">
            <w:pPr>
              <w:pStyle w:val="23"/>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综上，新设薛埠镇集聚产业园是包含在金坛区薛埠产业新镇范围内的，</w:t>
            </w:r>
            <w:r>
              <w:rPr>
                <w:rFonts w:hint="eastAsia" w:ascii="Times New Roman" w:hAnsi="Times New Roman" w:eastAsia="宋体"/>
                <w:color w:val="auto"/>
                <w:sz w:val="21"/>
                <w:szCs w:val="21"/>
                <w:highlight w:val="none"/>
                <w:lang w:val="en-US" w:eastAsia="zh-CN"/>
              </w:rPr>
              <w:t>在</w:t>
            </w:r>
            <w:r>
              <w:rPr>
                <w:rFonts w:hint="eastAsia" w:ascii="Times New Roman" w:hAnsi="Times New Roman" w:eastAsia="宋体" w:cs="Times New Roman"/>
                <w:color w:val="auto"/>
                <w:kern w:val="2"/>
                <w:sz w:val="21"/>
                <w:szCs w:val="21"/>
                <w:highlight w:val="none"/>
                <w:lang w:val="en-US" w:eastAsia="zh-CN" w:bidi="ar-SA"/>
              </w:rPr>
              <w:t>新设薛埠镇集聚产业园规划范围内，下文统一用“薛埠镇集聚产业园”进行表述。</w:t>
            </w:r>
          </w:p>
          <w:p w14:paraId="07D13308">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kern w:val="0"/>
                <w:szCs w:val="21"/>
              </w:rPr>
            </w:pPr>
            <w:r>
              <w:rPr>
                <w:rFonts w:hint="eastAsia"/>
                <w:b/>
                <w:bCs/>
                <w:color w:val="auto"/>
                <w:szCs w:val="21"/>
              </w:rPr>
              <w:t>1、</w:t>
            </w:r>
            <w:r>
              <w:rPr>
                <w:b/>
                <w:bCs/>
                <w:color w:val="auto"/>
                <w:szCs w:val="21"/>
              </w:rPr>
              <w:t>规划相符性</w:t>
            </w:r>
          </w:p>
          <w:p w14:paraId="197EDC5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color w:val="auto"/>
                <w:kern w:val="0"/>
                <w:szCs w:val="21"/>
              </w:rPr>
            </w:pPr>
            <w:r>
              <w:rPr>
                <w:color w:val="auto"/>
                <w:kern w:val="0"/>
                <w:szCs w:val="21"/>
              </w:rPr>
              <w:t>建设项目与《江苏省金坛经济开发区薛埠现代产业园/常州市金坛区薛埠产业新镇总体规划（2016-2030）（修编）》相符性分析。</w:t>
            </w:r>
          </w:p>
          <w:p w14:paraId="69B12DC6">
            <w:pPr>
              <w:pStyle w:val="33"/>
              <w:numPr>
                <w:ilvl w:val="0"/>
                <w:numId w:val="0"/>
              </w:numPr>
              <w:ind w:firstLine="422" w:firstLineChars="200"/>
              <w:jc w:val="center"/>
              <w:rPr>
                <w:b/>
                <w:color w:val="auto"/>
                <w:kern w:val="0"/>
                <w:szCs w:val="21"/>
              </w:rPr>
            </w:pPr>
            <w:r>
              <w:rPr>
                <w:b/>
                <w:color w:val="auto"/>
                <w:kern w:val="0"/>
                <w:szCs w:val="21"/>
              </w:rPr>
              <w:t xml:space="preserve">表1-1 </w:t>
            </w:r>
            <w:r>
              <w:rPr>
                <w:rFonts w:hint="eastAsia"/>
                <w:b/>
                <w:color w:val="auto"/>
                <w:kern w:val="0"/>
                <w:szCs w:val="21"/>
                <w:lang w:val="en-US" w:eastAsia="zh-CN"/>
              </w:rPr>
              <w:t xml:space="preserve">  </w:t>
            </w:r>
            <w:r>
              <w:rPr>
                <w:b/>
                <w:color w:val="auto"/>
                <w:kern w:val="0"/>
                <w:szCs w:val="21"/>
              </w:rPr>
              <w:t>规划相符性</w:t>
            </w:r>
          </w:p>
          <w:tbl>
            <w:tblPr>
              <w:tblStyle w:val="59"/>
              <w:tblW w:w="4998"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43"/>
              <w:gridCol w:w="2671"/>
              <w:gridCol w:w="535"/>
            </w:tblGrid>
            <w:tr w14:paraId="658EE43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32" w:type="pct"/>
                  <w:tcBorders>
                    <w:tl2br w:val="nil"/>
                    <w:tr2bl w:val="nil"/>
                  </w:tcBorders>
                  <w:noWrap w:val="0"/>
                  <w:tcMar>
                    <w:top w:w="0" w:type="dxa"/>
                    <w:left w:w="0" w:type="dxa"/>
                    <w:bottom w:w="0" w:type="dxa"/>
                    <w:right w:w="0" w:type="dxa"/>
                  </w:tcMar>
                  <w:vAlign w:val="center"/>
                </w:tcPr>
                <w:p w14:paraId="1EC5C57D">
                  <w:pPr>
                    <w:autoSpaceDE w:val="0"/>
                    <w:autoSpaceDN w:val="0"/>
                    <w:jc w:val="center"/>
                    <w:rPr>
                      <w:b/>
                      <w:color w:val="auto"/>
                      <w:kern w:val="0"/>
                      <w:szCs w:val="21"/>
                    </w:rPr>
                  </w:pPr>
                  <w:r>
                    <w:rPr>
                      <w:b/>
                      <w:color w:val="auto"/>
                      <w:kern w:val="0"/>
                      <w:szCs w:val="21"/>
                    </w:rPr>
                    <w:t>规划内容</w:t>
                  </w:r>
                </w:p>
              </w:tc>
              <w:tc>
                <w:tcPr>
                  <w:tcW w:w="1638" w:type="pct"/>
                  <w:tcBorders>
                    <w:tl2br w:val="nil"/>
                    <w:tr2bl w:val="nil"/>
                  </w:tcBorders>
                  <w:noWrap w:val="0"/>
                  <w:tcMar>
                    <w:top w:w="0" w:type="dxa"/>
                    <w:left w:w="0" w:type="dxa"/>
                    <w:bottom w:w="0" w:type="dxa"/>
                    <w:right w:w="0" w:type="dxa"/>
                  </w:tcMar>
                  <w:vAlign w:val="center"/>
                </w:tcPr>
                <w:p w14:paraId="3E1CEACF">
                  <w:pPr>
                    <w:autoSpaceDE w:val="0"/>
                    <w:autoSpaceDN w:val="0"/>
                    <w:jc w:val="center"/>
                    <w:rPr>
                      <w:rFonts w:hint="eastAsia" w:eastAsia="宋体"/>
                      <w:b/>
                      <w:color w:val="auto"/>
                      <w:kern w:val="0"/>
                      <w:szCs w:val="21"/>
                      <w:lang w:eastAsia="zh-CN"/>
                    </w:rPr>
                  </w:pPr>
                  <w:r>
                    <w:rPr>
                      <w:rFonts w:hint="eastAsia"/>
                      <w:b/>
                      <w:color w:val="auto"/>
                      <w:kern w:val="0"/>
                      <w:szCs w:val="21"/>
                      <w:lang w:val="en-US" w:eastAsia="zh-CN"/>
                    </w:rPr>
                    <w:t>本项目</w:t>
                  </w:r>
                </w:p>
              </w:tc>
              <w:tc>
                <w:tcPr>
                  <w:tcW w:w="328" w:type="pct"/>
                  <w:tcBorders>
                    <w:tl2br w:val="nil"/>
                    <w:tr2bl w:val="nil"/>
                  </w:tcBorders>
                  <w:noWrap w:val="0"/>
                  <w:tcMar>
                    <w:top w:w="0" w:type="dxa"/>
                    <w:left w:w="0" w:type="dxa"/>
                    <w:bottom w:w="0" w:type="dxa"/>
                    <w:right w:w="0" w:type="dxa"/>
                  </w:tcMar>
                  <w:vAlign w:val="center"/>
                </w:tcPr>
                <w:p w14:paraId="0660E6AB">
                  <w:pPr>
                    <w:autoSpaceDE w:val="0"/>
                    <w:autoSpaceDN w:val="0"/>
                    <w:jc w:val="center"/>
                    <w:rPr>
                      <w:b/>
                      <w:color w:val="auto"/>
                      <w:kern w:val="0"/>
                      <w:szCs w:val="21"/>
                    </w:rPr>
                  </w:pPr>
                  <w:r>
                    <w:rPr>
                      <w:b/>
                      <w:color w:val="auto"/>
                      <w:kern w:val="0"/>
                      <w:szCs w:val="21"/>
                    </w:rPr>
                    <w:t>相符性</w:t>
                  </w:r>
                </w:p>
              </w:tc>
            </w:tr>
            <w:tr w14:paraId="7EAF48F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32" w:type="pct"/>
                  <w:tcBorders>
                    <w:tl2br w:val="nil"/>
                    <w:tr2bl w:val="nil"/>
                  </w:tcBorders>
                  <w:noWrap w:val="0"/>
                  <w:tcMar>
                    <w:top w:w="0" w:type="dxa"/>
                    <w:left w:w="0" w:type="dxa"/>
                    <w:bottom w:w="0" w:type="dxa"/>
                    <w:right w:w="0" w:type="dxa"/>
                  </w:tcMar>
                  <w:vAlign w:val="center"/>
                </w:tcPr>
                <w:p w14:paraId="59085841">
                  <w:pPr>
                    <w:autoSpaceDE w:val="0"/>
                    <w:autoSpaceDN w:val="0"/>
                    <w:jc w:val="left"/>
                    <w:rPr>
                      <w:color w:val="auto"/>
                      <w:kern w:val="0"/>
                      <w:szCs w:val="21"/>
                    </w:rPr>
                  </w:pPr>
                  <w:r>
                    <w:rPr>
                      <w:color w:val="auto"/>
                      <w:kern w:val="0"/>
                      <w:szCs w:val="21"/>
                    </w:rPr>
                    <w:t>根据《江苏省金坛经济开发区薛埠现代产业园/常州市金坛区薛埠产业新镇总体规划》，薛埠城镇发展的总目标是，紧紧围绕全国重点镇和江苏省重点中心镇建设，坚持产业立镇和生态优先相结合，将薛埠建设成为国家级旅游度假区、生态宜居小城镇。</w:t>
                  </w:r>
                </w:p>
                <w:p w14:paraId="325F0B2E">
                  <w:pPr>
                    <w:autoSpaceDE w:val="0"/>
                    <w:autoSpaceDN w:val="0"/>
                    <w:jc w:val="left"/>
                    <w:rPr>
                      <w:color w:val="auto"/>
                      <w:kern w:val="0"/>
                      <w:szCs w:val="21"/>
                    </w:rPr>
                  </w:pPr>
                  <w:r>
                    <w:rPr>
                      <w:color w:val="auto"/>
                      <w:kern w:val="0"/>
                      <w:szCs w:val="21"/>
                    </w:rPr>
                    <w:t>依托区域地形地貌、资源禀赋、交通区位等因素，镇域构建</w:t>
                  </w:r>
                  <w:r>
                    <w:rPr>
                      <w:rFonts w:hint="eastAsia"/>
                      <w:color w:val="auto"/>
                      <w:kern w:val="0"/>
                      <w:szCs w:val="21"/>
                      <w:lang w:eastAsia="zh-CN"/>
                    </w:rPr>
                    <w:t>“</w:t>
                  </w:r>
                  <w:r>
                    <w:rPr>
                      <w:color w:val="auto"/>
                      <w:kern w:val="0"/>
                      <w:szCs w:val="21"/>
                    </w:rPr>
                    <w:t>一带一环多片区</w:t>
                  </w:r>
                  <w:r>
                    <w:rPr>
                      <w:rFonts w:hint="eastAsia"/>
                      <w:color w:val="auto"/>
                      <w:kern w:val="0"/>
                      <w:szCs w:val="21"/>
                      <w:lang w:eastAsia="zh-CN"/>
                    </w:rPr>
                    <w:t>”</w:t>
                  </w:r>
                  <w:r>
                    <w:rPr>
                      <w:color w:val="auto"/>
                      <w:kern w:val="0"/>
                      <w:szCs w:val="21"/>
                    </w:rPr>
                    <w:t>的空间结构。</w:t>
                  </w:r>
                </w:p>
                <w:p w14:paraId="19F27B05">
                  <w:pPr>
                    <w:autoSpaceDE w:val="0"/>
                    <w:autoSpaceDN w:val="0"/>
                    <w:jc w:val="left"/>
                    <w:rPr>
                      <w:color w:val="auto"/>
                      <w:kern w:val="0"/>
                      <w:szCs w:val="21"/>
                    </w:rPr>
                  </w:pPr>
                  <w:r>
                    <w:rPr>
                      <w:color w:val="auto"/>
                      <w:kern w:val="0"/>
                      <w:szCs w:val="21"/>
                    </w:rPr>
                    <w:t>一带：依托265省道形成纵贯全域的旅游发展带。</w:t>
                  </w:r>
                </w:p>
                <w:p w14:paraId="3AD223CF">
                  <w:pPr>
                    <w:autoSpaceDE w:val="0"/>
                    <w:autoSpaceDN w:val="0"/>
                    <w:jc w:val="left"/>
                    <w:rPr>
                      <w:color w:val="auto"/>
                      <w:kern w:val="0"/>
                      <w:szCs w:val="21"/>
                    </w:rPr>
                  </w:pPr>
                  <w:r>
                    <w:rPr>
                      <w:color w:val="auto"/>
                      <w:kern w:val="0"/>
                      <w:szCs w:val="21"/>
                    </w:rPr>
                    <w:t>一环：由白乾公路、游仙路、340省道、十里春风、上阮路、大社线和物流大道相连形成贯穿全镇的旅游环线。</w:t>
                  </w:r>
                </w:p>
                <w:p w14:paraId="2021AB76">
                  <w:pPr>
                    <w:autoSpaceDE w:val="0"/>
                    <w:autoSpaceDN w:val="0"/>
                    <w:jc w:val="left"/>
                    <w:rPr>
                      <w:color w:val="auto"/>
                      <w:kern w:val="0"/>
                      <w:szCs w:val="21"/>
                    </w:rPr>
                  </w:pPr>
                  <w:r>
                    <w:rPr>
                      <w:color w:val="auto"/>
                      <w:kern w:val="0"/>
                      <w:szCs w:val="21"/>
                    </w:rPr>
                    <w:t>多片区：结合山水文化旅游资源和城乡发展节点形成道文化体验区、康养休闲度假区、方山生态休闲区、农旅融合发展区、产城融合发展区、景镇融合发展区、茅麓茶香小镇、花山文旅小镇、仙姑美丽乡村、西旸、罗村等多个发展片区，形成各具特色、功能互补的发展格局。</w:t>
                  </w:r>
                </w:p>
                <w:p w14:paraId="0C612E61">
                  <w:pPr>
                    <w:autoSpaceDE w:val="0"/>
                    <w:autoSpaceDN w:val="0"/>
                    <w:jc w:val="left"/>
                    <w:rPr>
                      <w:color w:val="auto"/>
                      <w:kern w:val="0"/>
                      <w:szCs w:val="21"/>
                    </w:rPr>
                  </w:pPr>
                  <w:r>
                    <w:rPr>
                      <w:color w:val="auto"/>
                      <w:kern w:val="0"/>
                      <w:szCs w:val="21"/>
                    </w:rPr>
                    <w:t>产业布局：形成八大主题产业片区，分别为薛埠综合服务区，薛埠工业园区，道文化体验旅游区、茅山养生旅游度假区、方山生态休闲旅游区、上阮农业观光旅游区等四个主题旅游片区，茅麓高效农业区、罗村高效农业区等两个主题农业片区。</w:t>
                  </w:r>
                </w:p>
              </w:tc>
              <w:tc>
                <w:tcPr>
                  <w:tcW w:w="1638" w:type="pct"/>
                  <w:vMerge w:val="restart"/>
                  <w:tcBorders>
                    <w:tl2br w:val="nil"/>
                    <w:tr2bl w:val="nil"/>
                  </w:tcBorders>
                  <w:noWrap w:val="0"/>
                  <w:tcMar>
                    <w:top w:w="0" w:type="dxa"/>
                    <w:left w:w="0" w:type="dxa"/>
                    <w:bottom w:w="0" w:type="dxa"/>
                    <w:right w:w="0" w:type="dxa"/>
                  </w:tcMar>
                  <w:vAlign w:val="center"/>
                </w:tcPr>
                <w:p w14:paraId="49826C10">
                  <w:pPr>
                    <w:autoSpaceDE w:val="0"/>
                    <w:autoSpaceDN w:val="0"/>
                    <w:jc w:val="center"/>
                    <w:rPr>
                      <w:color w:val="auto"/>
                      <w:kern w:val="0"/>
                      <w:szCs w:val="21"/>
                    </w:rPr>
                  </w:pPr>
                  <w:r>
                    <w:rPr>
                      <w:rFonts w:hint="eastAsia"/>
                      <w:color w:val="auto"/>
                      <w:kern w:val="0"/>
                      <w:szCs w:val="21"/>
                    </w:rPr>
                    <w:t>鉴于奥托立夫公司主要生产安全气袋用气体发生器及配套产气药、点火具等产品，项目生产原材料及产品和半成品具有易燃和爆炸危险性，项目选址必须保证周边可以设置足够的安全距离，远离居民及其他可能诱发爆炸连锁反应的区域。因此，奥托立夫厂区选址于金坛区薛埠镇奥托立夫大道1号</w:t>
                  </w:r>
                  <w:r>
                    <w:rPr>
                      <w:rFonts w:hint="eastAsia"/>
                      <w:color w:val="auto"/>
                      <w:kern w:val="0"/>
                      <w:szCs w:val="21"/>
                      <w:lang w:eastAsia="zh-CN"/>
                    </w:rPr>
                    <w:t>，</w:t>
                  </w:r>
                  <w:r>
                    <w:rPr>
                      <w:rFonts w:hint="eastAsia"/>
                      <w:color w:val="auto"/>
                      <w:kern w:val="0"/>
                      <w:szCs w:val="21"/>
                    </w:rPr>
                    <w:t>在薛埠镇工业集中区内，项目选址距离居民等敏感点较远，厂区外围主要是林地、空地，有足够的安全屏障，满足安全距离设置要求。项目厂区用地性质为工业用地，已取得土地证，本项目在奥托立夫现有厂区建设，项目已经取得《江苏省投资项目备案证》</w:t>
                  </w:r>
                  <w:r>
                    <w:rPr>
                      <w:rFonts w:hint="eastAsia"/>
                      <w:color w:val="auto"/>
                      <w:kern w:val="0"/>
                      <w:szCs w:val="21"/>
                      <w:lang w:eastAsia="zh-CN"/>
                    </w:rPr>
                    <w:t>（</w:t>
                  </w:r>
                  <w:r>
                    <w:rPr>
                      <w:rFonts w:hint="eastAsia" w:eastAsia="宋体"/>
                      <w:b w:val="0"/>
                      <w:bCs/>
                      <w:color w:val="auto"/>
                      <w:sz w:val="21"/>
                      <w:szCs w:val="21"/>
                    </w:rPr>
                    <w:t>坛</w:t>
                  </w:r>
                  <w:r>
                    <w:rPr>
                      <w:rFonts w:hint="eastAsia" w:eastAsia="宋体"/>
                      <w:b w:val="0"/>
                      <w:bCs/>
                      <w:color w:val="auto"/>
                      <w:sz w:val="21"/>
                      <w:szCs w:val="21"/>
                      <w:lang w:val="en-US" w:eastAsia="zh-CN"/>
                    </w:rPr>
                    <w:t>发改</w:t>
                  </w:r>
                  <w:r>
                    <w:rPr>
                      <w:rFonts w:hint="eastAsia" w:eastAsia="宋体"/>
                      <w:b w:val="0"/>
                      <w:bCs/>
                      <w:color w:val="auto"/>
                      <w:sz w:val="21"/>
                      <w:szCs w:val="21"/>
                    </w:rPr>
                    <w:t>备[202</w:t>
                  </w:r>
                  <w:r>
                    <w:rPr>
                      <w:rFonts w:hint="eastAsia" w:eastAsia="宋体"/>
                      <w:b w:val="0"/>
                      <w:bCs/>
                      <w:color w:val="auto"/>
                      <w:sz w:val="21"/>
                      <w:szCs w:val="21"/>
                      <w:lang w:val="en-US" w:eastAsia="zh-CN"/>
                    </w:rPr>
                    <w:t>3</w:t>
                  </w:r>
                  <w:r>
                    <w:rPr>
                      <w:rFonts w:hint="eastAsia" w:eastAsia="宋体"/>
                      <w:b w:val="0"/>
                      <w:bCs/>
                      <w:color w:val="auto"/>
                      <w:sz w:val="21"/>
                      <w:szCs w:val="21"/>
                    </w:rPr>
                    <w:t>]</w:t>
                  </w:r>
                  <w:r>
                    <w:rPr>
                      <w:rFonts w:hint="eastAsia" w:eastAsia="宋体"/>
                      <w:b w:val="0"/>
                      <w:bCs/>
                      <w:color w:val="auto"/>
                      <w:sz w:val="21"/>
                      <w:szCs w:val="21"/>
                      <w:lang w:val="en-US" w:eastAsia="zh-CN"/>
                    </w:rPr>
                    <w:t>1</w:t>
                  </w:r>
                  <w:r>
                    <w:rPr>
                      <w:rFonts w:hint="eastAsia" w:eastAsia="宋体"/>
                      <w:b w:val="0"/>
                      <w:bCs/>
                      <w:color w:val="auto"/>
                      <w:sz w:val="21"/>
                      <w:szCs w:val="21"/>
                    </w:rPr>
                    <w:t>8号</w:t>
                  </w:r>
                  <w:r>
                    <w:rPr>
                      <w:rFonts w:hint="eastAsia"/>
                      <w:b w:val="0"/>
                      <w:bCs/>
                      <w:color w:val="auto"/>
                      <w:sz w:val="21"/>
                      <w:szCs w:val="21"/>
                      <w:lang w:eastAsia="zh-CN"/>
                    </w:rPr>
                    <w:t>，</w:t>
                  </w:r>
                  <w:r>
                    <w:rPr>
                      <w:rFonts w:eastAsia="宋体"/>
                      <w:b w:val="0"/>
                      <w:bCs/>
                      <w:color w:val="auto"/>
                      <w:sz w:val="21"/>
                      <w:szCs w:val="21"/>
                    </w:rPr>
                    <w:t>项目编号为</w:t>
                  </w:r>
                  <w:r>
                    <w:rPr>
                      <w:rFonts w:hint="eastAsia" w:eastAsia="宋体"/>
                      <w:b w:val="0"/>
                      <w:bCs/>
                      <w:color w:val="auto"/>
                      <w:sz w:val="21"/>
                      <w:szCs w:val="21"/>
                      <w:lang w:eastAsia="zh-CN"/>
                    </w:rPr>
                    <w:t>2301-320413-04-01-964596</w:t>
                  </w:r>
                  <w:r>
                    <w:rPr>
                      <w:rFonts w:hint="eastAsia"/>
                      <w:color w:val="auto"/>
                      <w:kern w:val="0"/>
                      <w:szCs w:val="21"/>
                      <w:lang w:eastAsia="zh-CN"/>
                    </w:rPr>
                    <w:t>）</w:t>
                  </w:r>
                  <w:r>
                    <w:rPr>
                      <w:rFonts w:hint="eastAsia"/>
                      <w:color w:val="auto"/>
                      <w:kern w:val="0"/>
                      <w:szCs w:val="21"/>
                    </w:rPr>
                    <w:t>，建设内容不违背薛镇总体规划要求。</w:t>
                  </w:r>
                </w:p>
              </w:tc>
              <w:tc>
                <w:tcPr>
                  <w:tcW w:w="328" w:type="pct"/>
                  <w:vMerge w:val="restart"/>
                  <w:tcBorders>
                    <w:tl2br w:val="nil"/>
                    <w:tr2bl w:val="nil"/>
                  </w:tcBorders>
                  <w:noWrap w:val="0"/>
                  <w:tcMar>
                    <w:top w:w="0" w:type="dxa"/>
                    <w:left w:w="0" w:type="dxa"/>
                    <w:bottom w:w="0" w:type="dxa"/>
                    <w:right w:w="0" w:type="dxa"/>
                  </w:tcMar>
                  <w:vAlign w:val="center"/>
                </w:tcPr>
                <w:p w14:paraId="3415ABC9">
                  <w:pPr>
                    <w:autoSpaceDE w:val="0"/>
                    <w:autoSpaceDN w:val="0"/>
                    <w:jc w:val="center"/>
                    <w:rPr>
                      <w:color w:val="auto"/>
                      <w:kern w:val="0"/>
                      <w:szCs w:val="21"/>
                    </w:rPr>
                  </w:pPr>
                  <w:r>
                    <w:rPr>
                      <w:color w:val="auto"/>
                      <w:kern w:val="0"/>
                      <w:szCs w:val="21"/>
                    </w:rPr>
                    <w:t>相符</w:t>
                  </w:r>
                </w:p>
              </w:tc>
            </w:tr>
            <w:tr w14:paraId="2D847B1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32" w:type="pct"/>
                  <w:tcBorders>
                    <w:tl2br w:val="nil"/>
                    <w:tr2bl w:val="nil"/>
                  </w:tcBorders>
                  <w:noWrap w:val="0"/>
                  <w:tcMar>
                    <w:top w:w="0" w:type="dxa"/>
                    <w:left w:w="0" w:type="dxa"/>
                    <w:bottom w:w="0" w:type="dxa"/>
                    <w:right w:w="0" w:type="dxa"/>
                  </w:tcMar>
                  <w:vAlign w:val="center"/>
                </w:tcPr>
                <w:p w14:paraId="21C4F7F4">
                  <w:pPr>
                    <w:autoSpaceDE w:val="0"/>
                    <w:autoSpaceDN w:val="0"/>
                    <w:jc w:val="left"/>
                    <w:rPr>
                      <w:color w:val="auto"/>
                      <w:kern w:val="0"/>
                      <w:szCs w:val="21"/>
                    </w:rPr>
                  </w:pPr>
                  <w:r>
                    <w:rPr>
                      <w:color w:val="auto"/>
                      <w:kern w:val="0"/>
                      <w:szCs w:val="21"/>
                    </w:rPr>
                    <w:t>规划范围：规划区范围为薛埠镇域行政区范围，总面积234.76平方公里。其中，镇区规划范围为东至物流大道、南至茅山旅游大道、西至寻仙路、北至沪武高速-340省道围合的区域，总面积11.74平方公里。</w:t>
                  </w:r>
                </w:p>
              </w:tc>
              <w:tc>
                <w:tcPr>
                  <w:tcW w:w="1638" w:type="pct"/>
                  <w:vMerge w:val="continue"/>
                  <w:tcBorders>
                    <w:tl2br w:val="nil"/>
                    <w:tr2bl w:val="nil"/>
                  </w:tcBorders>
                  <w:noWrap w:val="0"/>
                  <w:tcMar>
                    <w:top w:w="0" w:type="dxa"/>
                    <w:left w:w="0" w:type="dxa"/>
                    <w:bottom w:w="0" w:type="dxa"/>
                    <w:right w:w="0" w:type="dxa"/>
                  </w:tcMar>
                  <w:vAlign w:val="center"/>
                </w:tcPr>
                <w:p w14:paraId="2FA8F5EC">
                  <w:pPr>
                    <w:autoSpaceDE w:val="0"/>
                    <w:autoSpaceDN w:val="0"/>
                    <w:jc w:val="center"/>
                    <w:rPr>
                      <w:color w:val="auto"/>
                      <w:kern w:val="0"/>
                      <w:szCs w:val="21"/>
                    </w:rPr>
                  </w:pPr>
                </w:p>
              </w:tc>
              <w:tc>
                <w:tcPr>
                  <w:tcW w:w="328" w:type="pct"/>
                  <w:vMerge w:val="continue"/>
                  <w:tcBorders>
                    <w:tl2br w:val="nil"/>
                    <w:tr2bl w:val="nil"/>
                  </w:tcBorders>
                  <w:noWrap w:val="0"/>
                  <w:tcMar>
                    <w:top w:w="0" w:type="dxa"/>
                    <w:left w:w="0" w:type="dxa"/>
                    <w:bottom w:w="0" w:type="dxa"/>
                    <w:right w:w="0" w:type="dxa"/>
                  </w:tcMar>
                  <w:vAlign w:val="center"/>
                </w:tcPr>
                <w:p w14:paraId="65667ACF">
                  <w:pPr>
                    <w:autoSpaceDE w:val="0"/>
                    <w:autoSpaceDN w:val="0"/>
                    <w:jc w:val="center"/>
                    <w:rPr>
                      <w:color w:val="auto"/>
                      <w:kern w:val="0"/>
                      <w:szCs w:val="21"/>
                    </w:rPr>
                  </w:pPr>
                </w:p>
              </w:tc>
            </w:tr>
          </w:tbl>
          <w:p w14:paraId="6550C525">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b/>
                <w:color w:val="auto"/>
                <w:kern w:val="0"/>
                <w:szCs w:val="21"/>
              </w:rPr>
            </w:pPr>
            <w:r>
              <w:rPr>
                <w:rFonts w:hint="eastAsia"/>
                <w:color w:val="auto"/>
                <w:szCs w:val="21"/>
              </w:rPr>
              <w:t>综上，项目建设符合</w:t>
            </w:r>
            <w:r>
              <w:rPr>
                <w:color w:val="auto"/>
                <w:kern w:val="0"/>
                <w:szCs w:val="21"/>
              </w:rPr>
              <w:t>《江苏省金坛经济开发区薛埠现代产业园/常州市金坛区薛埠产业新镇总体规划（2016-2030）（修编）》</w:t>
            </w:r>
            <w:r>
              <w:rPr>
                <w:rFonts w:hint="eastAsia"/>
                <w:color w:val="auto"/>
                <w:szCs w:val="21"/>
              </w:rPr>
              <w:t>中相关要求。</w:t>
            </w:r>
          </w:p>
          <w:p w14:paraId="3A84ED1F">
            <w:pPr>
              <w:autoSpaceDE w:val="0"/>
              <w:autoSpaceDN w:val="0"/>
              <w:adjustRightInd w:val="0"/>
              <w:snapToGrid w:val="0"/>
              <w:spacing w:line="360" w:lineRule="auto"/>
              <w:ind w:firstLine="422" w:firstLineChars="200"/>
              <w:rPr>
                <w:b/>
                <w:color w:val="auto"/>
                <w:kern w:val="0"/>
              </w:rPr>
            </w:pPr>
            <w:r>
              <w:rPr>
                <w:rFonts w:hint="eastAsia"/>
                <w:b/>
                <w:color w:val="auto"/>
                <w:kern w:val="0"/>
              </w:rPr>
              <w:t>2、规划环境影响评价相符性分析</w:t>
            </w:r>
          </w:p>
          <w:p w14:paraId="13BC8D4E">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color w:val="auto"/>
                <w:kern w:val="0"/>
                <w:szCs w:val="21"/>
              </w:rPr>
            </w:pPr>
            <w:r>
              <w:rPr>
                <w:color w:val="auto"/>
                <w:kern w:val="0"/>
                <w:szCs w:val="21"/>
              </w:rPr>
              <w:t>建设项目</w:t>
            </w:r>
            <w:r>
              <w:rPr>
                <w:rFonts w:hint="eastAsia"/>
                <w:color w:val="auto"/>
                <w:kern w:val="0"/>
                <w:szCs w:val="21"/>
              </w:rPr>
              <w:t>与《关于对金坛市薛埠镇工业集中区回顾性评价及规划调整（新设薛埠镇集聚产业园）环境影响报告书的审查意见》（坛环服复〔2015〕4号）（新的规划正在编制中）要求相符性分析。在工业集中区及集聚产业园（以下简称“园区”）开发、建设和环境管理中，须认真落实报告书及审查组提出的环境保护要求和环境影响减缓措施，并须着重做好工作详见下表：</w:t>
            </w:r>
          </w:p>
          <w:p w14:paraId="7AA79DD6">
            <w:pPr>
              <w:autoSpaceDE w:val="0"/>
              <w:autoSpaceDN w:val="0"/>
              <w:adjustRightInd w:val="0"/>
              <w:snapToGrid w:val="0"/>
              <w:jc w:val="center"/>
              <w:rPr>
                <w:b/>
                <w:color w:val="auto"/>
                <w:kern w:val="0"/>
                <w:szCs w:val="21"/>
              </w:rPr>
            </w:pPr>
            <w:r>
              <w:rPr>
                <w:rFonts w:hint="eastAsia"/>
                <w:b/>
                <w:color w:val="auto"/>
                <w:kern w:val="0"/>
                <w:szCs w:val="21"/>
              </w:rPr>
              <w:t xml:space="preserve">表1-2 </w:t>
            </w:r>
            <w:r>
              <w:rPr>
                <w:rFonts w:hint="eastAsia"/>
                <w:b/>
                <w:color w:val="auto"/>
                <w:kern w:val="0"/>
                <w:szCs w:val="21"/>
                <w:lang w:val="en-US" w:eastAsia="zh-CN"/>
              </w:rPr>
              <w:t xml:space="preserve">  </w:t>
            </w:r>
            <w:r>
              <w:rPr>
                <w:rFonts w:hint="eastAsia"/>
                <w:b/>
                <w:color w:val="auto"/>
                <w:kern w:val="0"/>
                <w:szCs w:val="21"/>
              </w:rPr>
              <w:t>与薛埠镇工业集中区回顾性评价及规划调整（新设薛埠镇集聚产业园）规划环评审查意见相符性分析</w:t>
            </w:r>
          </w:p>
          <w:tbl>
            <w:tblPr>
              <w:tblStyle w:val="5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378"/>
              <w:gridCol w:w="2127"/>
              <w:gridCol w:w="644"/>
            </w:tblGrid>
            <w:tr w14:paraId="643591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299" w:type="pct"/>
                  <w:noWrap w:val="0"/>
                  <w:vAlign w:val="center"/>
                </w:tcPr>
                <w:p w14:paraId="6714CCDA">
                  <w:pPr>
                    <w:autoSpaceDE w:val="0"/>
                    <w:autoSpaceDN w:val="0"/>
                    <w:jc w:val="center"/>
                    <w:rPr>
                      <w:b/>
                      <w:color w:val="auto"/>
                      <w:kern w:val="0"/>
                      <w:szCs w:val="21"/>
                    </w:rPr>
                  </w:pPr>
                  <w:r>
                    <w:rPr>
                      <w:rFonts w:hint="eastAsia"/>
                      <w:b/>
                      <w:color w:val="auto"/>
                      <w:kern w:val="0"/>
                      <w:szCs w:val="21"/>
                    </w:rPr>
                    <w:t>相关要求</w:t>
                  </w:r>
                </w:p>
              </w:tc>
              <w:tc>
                <w:tcPr>
                  <w:tcW w:w="1305" w:type="pct"/>
                  <w:noWrap w:val="0"/>
                  <w:vAlign w:val="center"/>
                </w:tcPr>
                <w:p w14:paraId="530F965B">
                  <w:pPr>
                    <w:autoSpaceDE w:val="0"/>
                    <w:autoSpaceDN w:val="0"/>
                    <w:jc w:val="center"/>
                    <w:rPr>
                      <w:b/>
                      <w:color w:val="auto"/>
                      <w:kern w:val="0"/>
                      <w:szCs w:val="21"/>
                    </w:rPr>
                  </w:pPr>
                  <w:r>
                    <w:rPr>
                      <w:rFonts w:hint="eastAsia"/>
                      <w:b/>
                      <w:color w:val="auto"/>
                      <w:kern w:val="0"/>
                      <w:szCs w:val="21"/>
                    </w:rPr>
                    <w:t>全厂情况</w:t>
                  </w:r>
                </w:p>
              </w:tc>
              <w:tc>
                <w:tcPr>
                  <w:tcW w:w="395" w:type="pct"/>
                  <w:noWrap w:val="0"/>
                  <w:vAlign w:val="center"/>
                </w:tcPr>
                <w:p w14:paraId="56A1B382">
                  <w:pPr>
                    <w:autoSpaceDE w:val="0"/>
                    <w:autoSpaceDN w:val="0"/>
                    <w:jc w:val="center"/>
                    <w:rPr>
                      <w:b/>
                      <w:color w:val="auto"/>
                      <w:kern w:val="0"/>
                      <w:szCs w:val="21"/>
                    </w:rPr>
                  </w:pPr>
                  <w:r>
                    <w:rPr>
                      <w:rFonts w:hint="eastAsia"/>
                      <w:b/>
                      <w:color w:val="auto"/>
                      <w:kern w:val="0"/>
                      <w:szCs w:val="21"/>
                    </w:rPr>
                    <w:t>相符性</w:t>
                  </w:r>
                </w:p>
              </w:tc>
            </w:tr>
            <w:tr w14:paraId="632FCE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299" w:type="pct"/>
                  <w:noWrap w:val="0"/>
                  <w:vAlign w:val="center"/>
                </w:tcPr>
                <w:p w14:paraId="55646357">
                  <w:pPr>
                    <w:pStyle w:val="33"/>
                    <w:numPr>
                      <w:ilvl w:val="0"/>
                      <w:numId w:val="0"/>
                    </w:numPr>
                    <w:jc w:val="left"/>
                    <w:rPr>
                      <w:rFonts w:hint="eastAsia"/>
                      <w:color w:val="auto"/>
                      <w:kern w:val="0"/>
                      <w:szCs w:val="21"/>
                    </w:rPr>
                  </w:pPr>
                  <w:r>
                    <w:rPr>
                      <w:color w:val="auto"/>
                      <w:kern w:val="0"/>
                      <w:szCs w:val="21"/>
                    </w:rPr>
                    <w:t>新设的薛埠镇集聚产业园规划范围主要是在薛埠镇工业集中区基础上进一步扩充，搬迁镇区其他区域工业企业。集聚产业园规划范围东至东环二路，西至东环一路，北至茅东大街，南至东环一路南延段，规划用地面积约1.81平方公里。</w:t>
                  </w:r>
                </w:p>
              </w:tc>
              <w:tc>
                <w:tcPr>
                  <w:tcW w:w="1305" w:type="pct"/>
                  <w:noWrap w:val="0"/>
                  <w:vAlign w:val="center"/>
                </w:tcPr>
                <w:p w14:paraId="665FBA9F">
                  <w:pPr>
                    <w:pStyle w:val="33"/>
                    <w:numPr>
                      <w:ilvl w:val="0"/>
                      <w:numId w:val="0"/>
                    </w:numPr>
                    <w:jc w:val="center"/>
                    <w:rPr>
                      <w:rFonts w:hint="eastAsia"/>
                      <w:color w:val="auto"/>
                      <w:kern w:val="0"/>
                      <w:szCs w:val="21"/>
                    </w:rPr>
                  </w:pPr>
                  <w:r>
                    <w:rPr>
                      <w:color w:val="auto"/>
                      <w:kern w:val="0"/>
                      <w:szCs w:val="21"/>
                    </w:rPr>
                    <w:t>建设地址</w:t>
                  </w:r>
                  <w:r>
                    <w:rPr>
                      <w:rFonts w:hint="eastAsia"/>
                      <w:color w:val="auto"/>
                      <w:kern w:val="0"/>
                      <w:szCs w:val="21"/>
                    </w:rPr>
                    <w:t>位于</w:t>
                  </w:r>
                  <w:r>
                    <w:rPr>
                      <w:rFonts w:hint="eastAsia"/>
                      <w:color w:val="auto"/>
                    </w:rPr>
                    <w:t>常州市金坛区薛埠镇奥托立夫大道1号</w:t>
                  </w:r>
                  <w:r>
                    <w:rPr>
                      <w:color w:val="auto"/>
                      <w:kern w:val="0"/>
                      <w:szCs w:val="21"/>
                    </w:rPr>
                    <w:t>，在薛埠镇集聚产业园规划范围内。</w:t>
                  </w:r>
                </w:p>
              </w:tc>
              <w:tc>
                <w:tcPr>
                  <w:tcW w:w="395" w:type="pct"/>
                  <w:noWrap w:val="0"/>
                  <w:vAlign w:val="center"/>
                </w:tcPr>
                <w:p w14:paraId="483BF729">
                  <w:pPr>
                    <w:pStyle w:val="33"/>
                    <w:numPr>
                      <w:ilvl w:val="0"/>
                      <w:numId w:val="0"/>
                    </w:numPr>
                    <w:jc w:val="center"/>
                    <w:rPr>
                      <w:rFonts w:hint="eastAsia"/>
                      <w:color w:val="auto"/>
                      <w:kern w:val="0"/>
                      <w:szCs w:val="21"/>
                    </w:rPr>
                  </w:pPr>
                  <w:r>
                    <w:rPr>
                      <w:color w:val="auto"/>
                      <w:kern w:val="0"/>
                      <w:szCs w:val="21"/>
                    </w:rPr>
                    <w:t>相符</w:t>
                  </w:r>
                </w:p>
              </w:tc>
            </w:tr>
            <w:tr w14:paraId="6828D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299" w:type="pct"/>
                  <w:noWrap w:val="0"/>
                  <w:vAlign w:val="center"/>
                </w:tcPr>
                <w:p w14:paraId="6A75B49C">
                  <w:pPr>
                    <w:pStyle w:val="33"/>
                    <w:numPr>
                      <w:ilvl w:val="0"/>
                      <w:numId w:val="0"/>
                    </w:numPr>
                    <w:jc w:val="left"/>
                    <w:rPr>
                      <w:color w:val="auto"/>
                      <w:spacing w:val="5"/>
                      <w:szCs w:val="21"/>
                    </w:rPr>
                  </w:pPr>
                  <w:r>
                    <w:rPr>
                      <w:color w:val="auto"/>
                      <w:spacing w:val="5"/>
                      <w:szCs w:val="21"/>
                    </w:rPr>
                    <w:t>产业定位以汽车配件、智能装备、特色机械电子等高科技产业为主导、生产性服务业为补充的特色产业园区。</w:t>
                  </w:r>
                </w:p>
                <w:p w14:paraId="6C6B8B94">
                  <w:pPr>
                    <w:pStyle w:val="33"/>
                    <w:numPr>
                      <w:ilvl w:val="0"/>
                      <w:numId w:val="0"/>
                    </w:numPr>
                    <w:jc w:val="left"/>
                    <w:rPr>
                      <w:color w:val="auto"/>
                      <w:szCs w:val="21"/>
                    </w:rPr>
                  </w:pPr>
                  <w:r>
                    <w:rPr>
                      <w:color w:val="auto"/>
                      <w:szCs w:val="21"/>
                    </w:rPr>
                    <w:t>在工业集中区及集聚产业园开发、建设和环境管理中，须认真落实报告书及审查组提出的环境保护要求和环境影响减缓措施，并须着重做好以下工作：</w:t>
                  </w:r>
                </w:p>
                <w:p w14:paraId="6D1FF8F2">
                  <w:pPr>
                    <w:pStyle w:val="33"/>
                    <w:numPr>
                      <w:ilvl w:val="0"/>
                      <w:numId w:val="0"/>
                    </w:numPr>
                    <w:jc w:val="left"/>
                    <w:rPr>
                      <w:color w:val="auto"/>
                      <w:spacing w:val="3"/>
                      <w:szCs w:val="21"/>
                    </w:rPr>
                  </w:pPr>
                  <w:r>
                    <w:rPr>
                      <w:color w:val="auto"/>
                      <w:spacing w:val="5"/>
                      <w:szCs w:val="21"/>
                    </w:rPr>
                    <w:t>依据园区定位及周边环境特点，严格园区内项目环境准</w:t>
                  </w:r>
                  <w:r>
                    <w:rPr>
                      <w:color w:val="auto"/>
                      <w:spacing w:val="4"/>
                      <w:szCs w:val="21"/>
                    </w:rPr>
                    <w:t>入门</w:t>
                  </w:r>
                  <w:r>
                    <w:rPr>
                      <w:color w:val="auto"/>
                      <w:spacing w:val="2"/>
                      <w:szCs w:val="21"/>
                    </w:rPr>
                    <w:t>槛，以清洁生产和循环经济、低碳经济理念引导园区建设。着力引</w:t>
                  </w:r>
                  <w:r>
                    <w:rPr>
                      <w:color w:val="auto"/>
                      <w:spacing w:val="1"/>
                      <w:szCs w:val="21"/>
                    </w:rPr>
                    <w:t>进</w:t>
                  </w:r>
                  <w:r>
                    <w:rPr>
                      <w:color w:val="auto"/>
                      <w:spacing w:val="3"/>
                      <w:szCs w:val="21"/>
                    </w:rPr>
                    <w:t>规模企业，构建主导产业链，如机械加工、服装以及纺</w:t>
                  </w:r>
                  <w:r>
                    <w:rPr>
                      <w:color w:val="auto"/>
                      <w:spacing w:val="2"/>
                      <w:szCs w:val="21"/>
                    </w:rPr>
                    <w:t>织等行业，禁</w:t>
                  </w:r>
                  <w:r>
                    <w:rPr>
                      <w:color w:val="auto"/>
                      <w:spacing w:val="-4"/>
                      <w:szCs w:val="21"/>
                    </w:rPr>
                    <w:t>止三类工业入驻，现有三类工业规模不得扩大，并提高清洁生产水平，</w:t>
                  </w:r>
                  <w:r>
                    <w:rPr>
                      <w:color w:val="auto"/>
                      <w:spacing w:val="-3"/>
                      <w:szCs w:val="21"/>
                    </w:rPr>
                    <w:t>落实各项环境保护措施，确保企业达标排放。以高新技术企业为特色，</w:t>
                  </w:r>
                  <w:r>
                    <w:rPr>
                      <w:color w:val="auto"/>
                      <w:spacing w:val="3"/>
                      <w:szCs w:val="21"/>
                    </w:rPr>
                    <w:t>积极构建生态型产业链，增强园区工业体系的稳定</w:t>
                  </w:r>
                  <w:r>
                    <w:rPr>
                      <w:color w:val="auto"/>
                      <w:spacing w:val="2"/>
                      <w:szCs w:val="21"/>
                    </w:rPr>
                    <w:t>性和柔度。优化产</w:t>
                  </w:r>
                  <w:r>
                    <w:rPr>
                      <w:color w:val="auto"/>
                      <w:spacing w:val="3"/>
                      <w:szCs w:val="21"/>
                    </w:rPr>
                    <w:t>业结构，改善投资结构，提高科技含量，增强适应性和竞争力。</w:t>
                  </w:r>
                </w:p>
                <w:p w14:paraId="09BAC596">
                  <w:pPr>
                    <w:pStyle w:val="33"/>
                    <w:numPr>
                      <w:ilvl w:val="0"/>
                      <w:numId w:val="0"/>
                    </w:numPr>
                    <w:jc w:val="left"/>
                    <w:rPr>
                      <w:color w:val="auto"/>
                      <w:kern w:val="0"/>
                      <w:szCs w:val="21"/>
                    </w:rPr>
                  </w:pPr>
                  <w:r>
                    <w:rPr>
                      <w:color w:val="auto"/>
                      <w:kern w:val="0"/>
                      <w:szCs w:val="21"/>
                    </w:rPr>
                    <w:t>统筹规划、合理布局，加快实施园区环境保护基础设施的建设。按照江苏省太湖水污染防治条例、江苏省大气污染防治条例、江苏省固体废物污染环境防治条例及相关规划的要求，加强区域水环境、大气环境、固废废弃物、声环境综合整治，确保落实各类污染物的控制措施，满足区域污染物总量控制要求。</w:t>
                  </w:r>
                </w:p>
                <w:p w14:paraId="6427481C">
                  <w:pPr>
                    <w:pStyle w:val="33"/>
                    <w:numPr>
                      <w:ilvl w:val="0"/>
                      <w:numId w:val="0"/>
                    </w:numPr>
                    <w:jc w:val="left"/>
                    <w:rPr>
                      <w:color w:val="auto"/>
                      <w:kern w:val="0"/>
                      <w:szCs w:val="21"/>
                    </w:rPr>
                  </w:pPr>
                  <w:r>
                    <w:rPr>
                      <w:color w:val="auto"/>
                      <w:kern w:val="0"/>
                      <w:szCs w:val="21"/>
                    </w:rPr>
                    <w:t>优化用地规划并严格按规划进行开发建设，尽快落实区内居民点搬迁计划。按环评确定的内容，在工业集中区、产业园与周边各功能区之间和区内设置相应的空间防护距离和绿化隔离带，以满足环境保护要求。</w:t>
                  </w:r>
                </w:p>
                <w:p w14:paraId="70BB2EBC">
                  <w:pPr>
                    <w:pStyle w:val="33"/>
                    <w:numPr>
                      <w:ilvl w:val="0"/>
                      <w:numId w:val="0"/>
                    </w:numPr>
                    <w:jc w:val="left"/>
                    <w:rPr>
                      <w:rFonts w:hint="eastAsia"/>
                      <w:bCs/>
                      <w:color w:val="auto"/>
                      <w:kern w:val="0"/>
                      <w:szCs w:val="21"/>
                    </w:rPr>
                  </w:pPr>
                  <w:r>
                    <w:rPr>
                      <w:color w:val="auto"/>
                      <w:kern w:val="0"/>
                      <w:szCs w:val="21"/>
                    </w:rPr>
                    <w:t>加强园区环境管理机构建设，完善环境管理、监测和风险防范体系，尽快制定园区环境风险应急预案。</w:t>
                  </w:r>
                </w:p>
              </w:tc>
              <w:tc>
                <w:tcPr>
                  <w:tcW w:w="1305" w:type="pct"/>
                  <w:noWrap w:val="0"/>
                  <w:vAlign w:val="center"/>
                </w:tcPr>
                <w:p w14:paraId="4AEE929B">
                  <w:pPr>
                    <w:pStyle w:val="33"/>
                    <w:numPr>
                      <w:ilvl w:val="0"/>
                      <w:numId w:val="0"/>
                    </w:numPr>
                    <w:jc w:val="center"/>
                    <w:rPr>
                      <w:bCs/>
                      <w:color w:val="auto"/>
                      <w:kern w:val="0"/>
                      <w:szCs w:val="21"/>
                    </w:rPr>
                  </w:pPr>
                  <w:r>
                    <w:rPr>
                      <w:rFonts w:hint="eastAsia"/>
                      <w:color w:val="auto"/>
                      <w:kern w:val="0"/>
                      <w:szCs w:val="21"/>
                    </w:rPr>
                    <w:t>建设</w:t>
                  </w:r>
                  <w:r>
                    <w:rPr>
                      <w:color w:val="auto"/>
                      <w:kern w:val="0"/>
                      <w:szCs w:val="21"/>
                    </w:rPr>
                    <w:t>项目</w:t>
                  </w:r>
                  <w:r>
                    <w:rPr>
                      <w:rFonts w:hint="eastAsia"/>
                      <w:color w:val="auto"/>
                      <w:kern w:val="0"/>
                      <w:szCs w:val="21"/>
                      <w:lang w:val="en-US" w:eastAsia="zh-CN"/>
                    </w:rPr>
                    <w:t>为汽车零部件及配件制造，属于产业定位中“汽车配件”</w:t>
                  </w:r>
                  <w:r>
                    <w:rPr>
                      <w:color w:val="auto"/>
                      <w:kern w:val="0"/>
                      <w:szCs w:val="21"/>
                    </w:rPr>
                    <w:t>。项目符合循环经济理念，资源利用率高，符合园区批复要求。</w:t>
                  </w:r>
                  <w:r>
                    <w:rPr>
                      <w:rFonts w:hint="eastAsia"/>
                      <w:color w:val="auto"/>
                      <w:kern w:val="0"/>
                      <w:szCs w:val="21"/>
                      <w:lang w:val="en-US" w:eastAsia="zh-CN"/>
                    </w:rPr>
                    <w:t>扩建</w:t>
                  </w:r>
                  <w:r>
                    <w:rPr>
                      <w:rFonts w:hint="eastAsia"/>
                      <w:color w:val="auto"/>
                      <w:kern w:val="0"/>
                      <w:szCs w:val="21"/>
                    </w:rPr>
                    <w:t>后全厂</w:t>
                  </w:r>
                  <w:r>
                    <w:rPr>
                      <w:color w:val="auto"/>
                      <w:kern w:val="0"/>
                      <w:szCs w:val="21"/>
                    </w:rPr>
                    <w:t>新增生活污水排放量，无生产废水排放，废气经处理后排放量很低且稳定达标排放。项目</w:t>
                  </w:r>
                  <w:r>
                    <w:rPr>
                      <w:rFonts w:hint="eastAsia"/>
                      <w:color w:val="auto"/>
                      <w:kern w:val="0"/>
                      <w:szCs w:val="21"/>
                      <w:lang w:val="en-US" w:eastAsia="zh-CN"/>
                    </w:rPr>
                    <w:t>利用自建</w:t>
                  </w:r>
                  <w:r>
                    <w:rPr>
                      <w:color w:val="auto"/>
                      <w:kern w:val="0"/>
                      <w:szCs w:val="21"/>
                    </w:rPr>
                    <w:t>厂房建设，用地类型为工业用地，</w:t>
                  </w:r>
                  <w:r>
                    <w:rPr>
                      <w:rFonts w:hint="eastAsia"/>
                      <w:color w:val="auto"/>
                      <w:kern w:val="0"/>
                      <w:szCs w:val="21"/>
                    </w:rPr>
                    <w:t>卫生防护距离内</w:t>
                  </w:r>
                  <w:r>
                    <w:rPr>
                      <w:color w:val="auto"/>
                      <w:kern w:val="0"/>
                      <w:szCs w:val="21"/>
                    </w:rPr>
                    <w:t>无居民点。项目建成后，建设单位应及时委托专业单位修编突发环境事件应急预案；项目建成后将加强环境影响跟踪监测，建立健全各环境要素监控体系，完善并落实企业污染源监控计划。</w:t>
                  </w:r>
                </w:p>
              </w:tc>
              <w:tc>
                <w:tcPr>
                  <w:tcW w:w="395" w:type="pct"/>
                  <w:noWrap w:val="0"/>
                  <w:vAlign w:val="center"/>
                </w:tcPr>
                <w:p w14:paraId="10DA10E2">
                  <w:pPr>
                    <w:pStyle w:val="33"/>
                    <w:numPr>
                      <w:ilvl w:val="0"/>
                      <w:numId w:val="0"/>
                    </w:numPr>
                    <w:jc w:val="center"/>
                    <w:rPr>
                      <w:rFonts w:hint="eastAsia"/>
                      <w:bCs/>
                      <w:color w:val="auto"/>
                      <w:kern w:val="0"/>
                      <w:szCs w:val="21"/>
                    </w:rPr>
                  </w:pPr>
                  <w:r>
                    <w:rPr>
                      <w:color w:val="auto"/>
                      <w:kern w:val="0"/>
                      <w:szCs w:val="21"/>
                    </w:rPr>
                    <w:t>相符</w:t>
                  </w:r>
                </w:p>
              </w:tc>
            </w:tr>
          </w:tbl>
          <w:p w14:paraId="01400E6F">
            <w:pPr>
              <w:autoSpaceDE w:val="0"/>
              <w:autoSpaceDN w:val="0"/>
              <w:adjustRightInd w:val="0"/>
              <w:snapToGrid w:val="0"/>
              <w:spacing w:line="360" w:lineRule="auto"/>
              <w:ind w:firstLine="420" w:firstLineChars="200"/>
              <w:rPr>
                <w:rFonts w:hint="eastAsia"/>
                <w:color w:val="auto"/>
                <w:szCs w:val="21"/>
              </w:rPr>
            </w:pPr>
            <w:r>
              <w:rPr>
                <w:rFonts w:hint="eastAsia"/>
                <w:color w:val="auto"/>
                <w:szCs w:val="21"/>
              </w:rPr>
              <w:t>综上，项目建设符合</w:t>
            </w:r>
            <w:r>
              <w:rPr>
                <w:rFonts w:hint="eastAsia"/>
                <w:color w:val="auto"/>
                <w:kern w:val="0"/>
                <w:szCs w:val="21"/>
              </w:rPr>
              <w:t>《关于对金坛市薛埠镇工业集中区回顾性评价及规划调整（新设薛埠镇集聚产业园）环境影响报告书的审查意见》（坛环服复〔2015〕4号）（新的规划正在编制中）中</w:t>
            </w:r>
            <w:r>
              <w:rPr>
                <w:rFonts w:hint="eastAsia"/>
                <w:color w:val="auto"/>
                <w:szCs w:val="21"/>
              </w:rPr>
              <w:t>相关要求。</w:t>
            </w:r>
          </w:p>
          <w:p w14:paraId="3A84ED6A">
            <w:pPr>
              <w:adjustRightInd w:val="0"/>
              <w:snapToGrid w:val="0"/>
              <w:spacing w:line="360" w:lineRule="auto"/>
              <w:ind w:firstLine="422" w:firstLineChars="200"/>
              <w:rPr>
                <w:b/>
                <w:color w:val="auto"/>
                <w:kern w:val="0"/>
              </w:rPr>
            </w:pPr>
            <w:r>
              <w:rPr>
                <w:rFonts w:hint="eastAsia"/>
                <w:b/>
                <w:color w:val="auto"/>
                <w:kern w:val="0"/>
              </w:rPr>
              <w:t>3、国土空间规划及“三区三线”相符性分析</w:t>
            </w:r>
          </w:p>
          <w:p w14:paraId="3A84ED6B">
            <w:pPr>
              <w:adjustRightInd w:val="0"/>
              <w:snapToGrid w:val="0"/>
              <w:spacing w:line="360" w:lineRule="auto"/>
              <w:ind w:firstLine="420" w:firstLineChars="200"/>
              <w:rPr>
                <w:bCs/>
                <w:color w:val="auto"/>
                <w:kern w:val="0"/>
              </w:rPr>
            </w:pPr>
            <w:r>
              <w:rPr>
                <w:rFonts w:hint="eastAsia"/>
                <w:bCs/>
                <w:color w:val="auto"/>
                <w:kern w:val="0"/>
              </w:rPr>
              <w:t>根据《自然资源部关于在全国开展“三区三线”划定工作的函》（自然资函[2022]47号）以及《江苏省国土空间规划（2021-2035年）》，文件提出创建全国生态文明试验区，以底线约束和安全韧性为前提，优先保障生态、农业、安全等保护性空间。按照耕地和永久基本农田、生态保护红线、城镇开发边界的优先序，统筹划定“三区三线”：到2035年，江苏省耕地保有量不低于5977万亩，其中永久基本农田保护面积不低于5344万亩；生态保护红线不低于1.82万平方千米，其中海洋生态保护红线不低于0.95万平方千米；城镇开发边界扩展倍数控制在基于2020年城镇建设用地规模的1.3倍以内。加强自然资源整体保护与高效利用，统筹安排防灾减灾救灾和重大突发公共事件的应急空间，为保障粮食安全、生态安全、能源安全提供了基础保障。</w:t>
            </w:r>
          </w:p>
          <w:p w14:paraId="3A84ED6C">
            <w:pPr>
              <w:adjustRightInd w:val="0"/>
              <w:snapToGrid w:val="0"/>
              <w:spacing w:line="360" w:lineRule="auto"/>
              <w:ind w:firstLine="420" w:firstLineChars="200"/>
              <w:rPr>
                <w:color w:val="auto"/>
              </w:rPr>
            </w:pPr>
            <w:r>
              <w:rPr>
                <w:rFonts w:hint="eastAsia"/>
                <w:bCs/>
                <w:color w:val="auto"/>
                <w:kern w:val="0"/>
              </w:rPr>
              <w:t>根据《常州市国土空间总体规划（2021-2035年）》中“市域国土空间控制线规划图”和“市辖区国土空间规划分区图”可知，本项目位于工业发展区，在城镇开发边界内，且不占用耕地和永久基本农田，不涉及生态保护红线，因此本项目满足国土空间规划及“三区三线”要求。</w:t>
            </w:r>
          </w:p>
        </w:tc>
      </w:tr>
      <w:tr w14:paraId="3A84EF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61" w:hRule="atLeast"/>
          <w:jc w:val="center"/>
        </w:trPr>
        <w:tc>
          <w:tcPr>
            <w:tcW w:w="388" w:type="pct"/>
            <w:vAlign w:val="center"/>
          </w:tcPr>
          <w:p w14:paraId="3A84ED6E">
            <w:pPr>
              <w:overflowPunct w:val="0"/>
              <w:adjustRightInd w:val="0"/>
              <w:snapToGrid w:val="0"/>
              <w:jc w:val="center"/>
              <w:rPr>
                <w:b/>
                <w:bCs/>
                <w:color w:val="auto"/>
                <w:kern w:val="0"/>
              </w:rPr>
            </w:pPr>
            <w:r>
              <w:rPr>
                <w:b/>
                <w:bCs/>
                <w:color w:val="auto"/>
                <w:kern w:val="0"/>
              </w:rPr>
              <w:t>其他符合性分析</w:t>
            </w:r>
          </w:p>
        </w:tc>
        <w:tc>
          <w:tcPr>
            <w:tcW w:w="4611" w:type="pct"/>
            <w:gridSpan w:val="4"/>
            <w:vAlign w:val="center"/>
          </w:tcPr>
          <w:p w14:paraId="3A84ED6F">
            <w:pPr>
              <w:overflowPunct w:val="0"/>
              <w:adjustRightInd w:val="0"/>
              <w:snapToGrid w:val="0"/>
              <w:spacing w:line="360" w:lineRule="auto"/>
              <w:ind w:firstLine="422" w:firstLineChars="200"/>
              <w:rPr>
                <w:b/>
                <w:color w:val="auto"/>
              </w:rPr>
            </w:pPr>
            <w:r>
              <w:rPr>
                <w:b/>
                <w:color w:val="auto"/>
              </w:rPr>
              <w:t>1、产业政策相符性</w:t>
            </w:r>
            <w:r>
              <w:rPr>
                <w:rFonts w:hint="eastAsia"/>
                <w:b/>
                <w:color w:val="auto"/>
              </w:rPr>
              <w:t>分析</w:t>
            </w:r>
          </w:p>
          <w:p w14:paraId="3A84ED70">
            <w:pPr>
              <w:adjustRightInd w:val="0"/>
              <w:snapToGrid w:val="0"/>
              <w:spacing w:line="360" w:lineRule="auto"/>
              <w:ind w:firstLine="420" w:firstLineChars="200"/>
              <w:rPr>
                <w:color w:val="auto"/>
              </w:rPr>
            </w:pPr>
            <w:r>
              <w:rPr>
                <w:color w:val="auto"/>
              </w:rPr>
              <w:t>本项目属于《国民经济行业分类》（GB/T4754-2017）（国家标准第1号修改单，2019年3月29日起实施）中</w:t>
            </w:r>
            <w:r>
              <w:rPr>
                <w:rFonts w:hint="eastAsia"/>
                <w:color w:val="auto"/>
              </w:rPr>
              <w:t>“</w:t>
            </w:r>
            <w:r>
              <w:rPr>
                <w:rFonts w:hint="eastAsia"/>
                <w:color w:val="auto"/>
                <w:lang w:eastAsia="zh-CN"/>
              </w:rPr>
              <w:t>C3670汽车零部件及配件制造</w:t>
            </w:r>
            <w:r>
              <w:rPr>
                <w:rFonts w:hint="eastAsia"/>
                <w:color w:val="auto"/>
              </w:rPr>
              <w:t>”</w:t>
            </w:r>
            <w:r>
              <w:rPr>
                <w:color w:val="auto"/>
              </w:rPr>
              <w:t>，对照《产业结构调整指导目录（</w:t>
            </w:r>
            <w:r>
              <w:rPr>
                <w:rFonts w:hint="eastAsia"/>
                <w:color w:val="auto"/>
              </w:rPr>
              <w:t>2024年本</w:t>
            </w:r>
            <w:r>
              <w:rPr>
                <w:color w:val="auto"/>
              </w:rPr>
              <w:t>）》，项目不属于其限制类或淘汰类项目，属于允许建设项目；</w:t>
            </w:r>
            <w:r>
              <w:rPr>
                <w:rFonts w:hint="eastAsia"/>
                <w:color w:val="auto"/>
              </w:rPr>
              <w:t>不属于《中共江苏省委办公厅江苏省人民政府办公厅关于加快全省化工钢铁煤电行业转型升级高质量发展的实施意见》（苏办发[2018]32号）附件3中“江苏省产业结构调整限制、淘汰和禁止目录”；不属于《江苏省“两高”项目管理名录（2024年版）》中“两高”项目；不属于《江苏省太湖流域禁止和限制的产业产品目录（2024年本）》中限制类、淘汰类或禁止类项目；</w:t>
            </w:r>
            <w:r>
              <w:rPr>
                <w:color w:val="auto"/>
              </w:rPr>
              <w:t>也不属于其他相关法律法规要求淘汰和限制的项目，符合国家和地方产业政策。</w:t>
            </w:r>
          </w:p>
          <w:p w14:paraId="3A84ED71">
            <w:pPr>
              <w:widowControl/>
              <w:adjustRightInd w:val="0"/>
              <w:snapToGrid w:val="0"/>
              <w:spacing w:line="360" w:lineRule="auto"/>
              <w:ind w:firstLine="420" w:firstLineChars="200"/>
              <w:jc w:val="left"/>
              <w:rPr>
                <w:color w:val="auto"/>
              </w:rPr>
            </w:pPr>
            <w:r>
              <w:rPr>
                <w:color w:val="auto"/>
              </w:rPr>
              <w:t>与</w:t>
            </w:r>
            <w:r>
              <w:rPr>
                <w:rFonts w:hint="eastAsia"/>
                <w:color w:val="auto"/>
              </w:rPr>
              <w:t>《江苏省“两高”项目管理名录（2024年版）》符合性分析如下：</w:t>
            </w:r>
          </w:p>
          <w:p w14:paraId="3A84ED72">
            <w:pPr>
              <w:widowControl/>
              <w:adjustRightInd w:val="0"/>
              <w:snapToGrid w:val="0"/>
              <w:jc w:val="center"/>
              <w:rPr>
                <w:b/>
                <w:bCs/>
                <w:color w:val="auto"/>
                <w:kern w:val="0"/>
                <w:lang w:bidi="ar"/>
              </w:rPr>
            </w:pPr>
            <w:r>
              <w:rPr>
                <w:b/>
                <w:bCs/>
                <w:color w:val="auto"/>
                <w:kern w:val="0"/>
                <w:lang w:bidi="ar"/>
              </w:rPr>
              <w:t>表</w:t>
            </w:r>
            <w:r>
              <w:rPr>
                <w:rFonts w:hint="eastAsia"/>
                <w:b/>
                <w:bCs/>
                <w:color w:val="auto"/>
                <w:kern w:val="0"/>
                <w:lang w:bidi="ar"/>
              </w:rPr>
              <w:t>1-</w:t>
            </w:r>
            <w:r>
              <w:rPr>
                <w:rFonts w:hint="eastAsia"/>
                <w:b/>
                <w:bCs/>
                <w:color w:val="auto"/>
                <w:kern w:val="0"/>
                <w:lang w:val="en-US" w:eastAsia="zh-CN" w:bidi="ar"/>
              </w:rPr>
              <w:t>3</w:t>
            </w:r>
            <w:r>
              <w:rPr>
                <w:rFonts w:hint="eastAsia"/>
                <w:b/>
                <w:bCs/>
                <w:color w:val="auto"/>
                <w:kern w:val="0"/>
                <w:lang w:bidi="ar"/>
              </w:rPr>
              <w:t xml:space="preserve">   </w:t>
            </w:r>
            <w:r>
              <w:rPr>
                <w:b/>
                <w:bCs/>
                <w:color w:val="auto"/>
                <w:kern w:val="0"/>
                <w:lang w:bidi="ar"/>
              </w:rPr>
              <w:t>与</w:t>
            </w:r>
            <w:r>
              <w:rPr>
                <w:rFonts w:hint="eastAsia"/>
                <w:b/>
                <w:bCs/>
                <w:color w:val="auto"/>
                <w:kern w:val="0"/>
                <w:lang w:bidi="ar"/>
              </w:rPr>
              <w:t>《江苏省“两高”项目管理名录（2024年版）》</w:t>
            </w:r>
            <w:r>
              <w:rPr>
                <w:b/>
                <w:bCs/>
                <w:color w:val="auto"/>
                <w:kern w:val="0"/>
                <w:lang w:bidi="ar"/>
              </w:rPr>
              <w:t>对照分析</w:t>
            </w:r>
          </w:p>
          <w:tbl>
            <w:tblPr>
              <w:tblStyle w:val="60"/>
              <w:tblW w:w="0" w:type="auto"/>
              <w:tblInd w:w="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96"/>
              <w:gridCol w:w="2927"/>
              <w:gridCol w:w="2863"/>
              <w:gridCol w:w="1161"/>
            </w:tblGrid>
            <w:tr w14:paraId="3A84ED7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tcBorders>
                    <w:tl2br w:val="nil"/>
                    <w:tr2bl w:val="nil"/>
                  </w:tcBorders>
                  <w:vAlign w:val="center"/>
                </w:tcPr>
                <w:p w14:paraId="3A84ED73">
                  <w:pPr>
                    <w:widowControl/>
                    <w:adjustRightInd w:val="0"/>
                    <w:snapToGrid w:val="0"/>
                    <w:jc w:val="center"/>
                    <w:rPr>
                      <w:b/>
                      <w:bCs/>
                      <w:color w:val="auto"/>
                      <w:kern w:val="0"/>
                      <w:lang w:bidi="ar"/>
                    </w:rPr>
                  </w:pPr>
                  <w:r>
                    <w:rPr>
                      <w:rFonts w:hint="eastAsia"/>
                      <w:b/>
                      <w:bCs/>
                      <w:color w:val="auto"/>
                      <w:kern w:val="0"/>
                      <w:lang w:bidi="ar"/>
                    </w:rPr>
                    <w:t>行业</w:t>
                  </w:r>
                </w:p>
              </w:tc>
              <w:tc>
                <w:tcPr>
                  <w:tcW w:w="2927" w:type="dxa"/>
                  <w:tcBorders>
                    <w:tl2br w:val="nil"/>
                    <w:tr2bl w:val="nil"/>
                  </w:tcBorders>
                  <w:vAlign w:val="center"/>
                </w:tcPr>
                <w:p w14:paraId="3A84ED74">
                  <w:pPr>
                    <w:widowControl/>
                    <w:adjustRightInd w:val="0"/>
                    <w:snapToGrid w:val="0"/>
                    <w:jc w:val="center"/>
                    <w:rPr>
                      <w:b/>
                      <w:bCs/>
                      <w:color w:val="auto"/>
                      <w:kern w:val="0"/>
                      <w:lang w:bidi="ar"/>
                    </w:rPr>
                  </w:pPr>
                  <w:r>
                    <w:rPr>
                      <w:rFonts w:hint="eastAsia"/>
                      <w:b/>
                      <w:bCs/>
                      <w:color w:val="auto"/>
                      <w:kern w:val="0"/>
                      <w:lang w:bidi="ar"/>
                    </w:rPr>
                    <w:t>国民经济行业分类及代码</w:t>
                  </w:r>
                </w:p>
              </w:tc>
              <w:tc>
                <w:tcPr>
                  <w:tcW w:w="2863" w:type="dxa"/>
                  <w:tcBorders>
                    <w:tl2br w:val="nil"/>
                    <w:tr2bl w:val="nil"/>
                  </w:tcBorders>
                  <w:vAlign w:val="center"/>
                </w:tcPr>
                <w:p w14:paraId="3A84ED75">
                  <w:pPr>
                    <w:widowControl/>
                    <w:adjustRightInd w:val="0"/>
                    <w:snapToGrid w:val="0"/>
                    <w:jc w:val="center"/>
                    <w:rPr>
                      <w:b/>
                      <w:bCs/>
                      <w:color w:val="auto"/>
                      <w:kern w:val="0"/>
                      <w:lang w:bidi="ar"/>
                    </w:rPr>
                  </w:pPr>
                  <w:r>
                    <w:rPr>
                      <w:rFonts w:hint="eastAsia"/>
                      <w:b/>
                      <w:bCs/>
                      <w:color w:val="auto"/>
                      <w:kern w:val="0"/>
                      <w:lang w:bidi="ar"/>
                    </w:rPr>
                    <w:t>内容</w:t>
                  </w:r>
                </w:p>
              </w:tc>
              <w:tc>
                <w:tcPr>
                  <w:tcW w:w="1161" w:type="dxa"/>
                  <w:tcBorders>
                    <w:tl2br w:val="nil"/>
                    <w:tr2bl w:val="nil"/>
                  </w:tcBorders>
                  <w:vAlign w:val="center"/>
                </w:tcPr>
                <w:p w14:paraId="3A84ED76">
                  <w:pPr>
                    <w:widowControl/>
                    <w:adjustRightInd w:val="0"/>
                    <w:snapToGrid w:val="0"/>
                    <w:jc w:val="center"/>
                    <w:rPr>
                      <w:b/>
                      <w:bCs/>
                      <w:color w:val="auto"/>
                      <w:kern w:val="0"/>
                      <w:lang w:bidi="ar"/>
                    </w:rPr>
                  </w:pPr>
                  <w:r>
                    <w:rPr>
                      <w:rFonts w:hint="eastAsia"/>
                      <w:b/>
                      <w:bCs/>
                      <w:color w:val="auto"/>
                      <w:kern w:val="0"/>
                      <w:lang w:bidi="ar"/>
                    </w:rPr>
                    <w:t>对照分析</w:t>
                  </w:r>
                </w:p>
              </w:tc>
            </w:tr>
            <w:tr w14:paraId="3A84ED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restart"/>
                  <w:tcBorders>
                    <w:tl2br w:val="nil"/>
                    <w:tr2bl w:val="nil"/>
                  </w:tcBorders>
                  <w:vAlign w:val="center"/>
                </w:tcPr>
                <w:p w14:paraId="3A84ED78">
                  <w:pPr>
                    <w:widowControl/>
                    <w:adjustRightInd w:val="0"/>
                    <w:snapToGrid w:val="0"/>
                    <w:jc w:val="center"/>
                    <w:rPr>
                      <w:color w:val="auto"/>
                      <w:kern w:val="0"/>
                      <w:lang w:bidi="ar"/>
                    </w:rPr>
                  </w:pPr>
                  <w:r>
                    <w:rPr>
                      <w:rFonts w:hint="eastAsia"/>
                      <w:color w:val="auto"/>
                      <w:kern w:val="0"/>
                      <w:lang w:bidi="ar"/>
                    </w:rPr>
                    <w:t>石油、煤炭及其他燃料加工业</w:t>
                  </w:r>
                </w:p>
              </w:tc>
              <w:tc>
                <w:tcPr>
                  <w:tcW w:w="2927" w:type="dxa"/>
                  <w:tcBorders>
                    <w:tl2br w:val="nil"/>
                    <w:tr2bl w:val="nil"/>
                  </w:tcBorders>
                  <w:vAlign w:val="center"/>
                </w:tcPr>
                <w:p w14:paraId="3A84ED79">
                  <w:pPr>
                    <w:widowControl/>
                    <w:adjustRightInd w:val="0"/>
                    <w:snapToGrid w:val="0"/>
                    <w:jc w:val="center"/>
                    <w:rPr>
                      <w:color w:val="auto"/>
                      <w:kern w:val="0"/>
                      <w:lang w:bidi="ar"/>
                    </w:rPr>
                  </w:pPr>
                  <w:r>
                    <w:rPr>
                      <w:rFonts w:hint="eastAsia"/>
                      <w:color w:val="auto"/>
                      <w:kern w:val="0"/>
                      <w:lang w:bidi="ar"/>
                    </w:rPr>
                    <w:t>原油加工及石油制品制造（2511）</w:t>
                  </w:r>
                </w:p>
              </w:tc>
              <w:tc>
                <w:tcPr>
                  <w:tcW w:w="2863" w:type="dxa"/>
                  <w:tcBorders>
                    <w:tl2br w:val="nil"/>
                    <w:tr2bl w:val="nil"/>
                  </w:tcBorders>
                  <w:vAlign w:val="center"/>
                </w:tcPr>
                <w:p w14:paraId="3A84ED7A">
                  <w:pPr>
                    <w:widowControl/>
                    <w:adjustRightInd w:val="0"/>
                    <w:snapToGrid w:val="0"/>
                    <w:jc w:val="center"/>
                    <w:rPr>
                      <w:color w:val="auto"/>
                      <w:kern w:val="0"/>
                      <w:lang w:bidi="ar"/>
                    </w:rPr>
                  </w:pPr>
                  <w:r>
                    <w:rPr>
                      <w:rFonts w:hint="eastAsia"/>
                      <w:color w:val="auto"/>
                      <w:kern w:val="0"/>
                      <w:lang w:bidi="ar"/>
                    </w:rPr>
                    <w:t>--</w:t>
                  </w:r>
                </w:p>
              </w:tc>
              <w:tc>
                <w:tcPr>
                  <w:tcW w:w="1161" w:type="dxa"/>
                  <w:vMerge w:val="restart"/>
                  <w:tcBorders>
                    <w:tl2br w:val="nil"/>
                    <w:tr2bl w:val="nil"/>
                  </w:tcBorders>
                  <w:vAlign w:val="center"/>
                </w:tcPr>
                <w:p w14:paraId="3A84ED7B">
                  <w:pPr>
                    <w:widowControl/>
                    <w:adjustRightInd w:val="0"/>
                    <w:snapToGrid w:val="0"/>
                    <w:jc w:val="center"/>
                    <w:rPr>
                      <w:color w:val="auto"/>
                      <w:kern w:val="0"/>
                      <w:lang w:bidi="ar"/>
                    </w:rPr>
                  </w:pPr>
                  <w:r>
                    <w:rPr>
                      <w:rFonts w:hint="eastAsia"/>
                      <w:color w:val="auto"/>
                      <w:kern w:val="0"/>
                      <w:lang w:bidi="ar"/>
                    </w:rPr>
                    <w:t>本项目国民经济行业类别属于</w:t>
                  </w:r>
                  <w:r>
                    <w:rPr>
                      <w:rFonts w:hint="eastAsia"/>
                      <w:bCs/>
                      <w:color w:val="auto"/>
                      <w:kern w:val="0"/>
                      <w:lang w:eastAsia="zh-CN"/>
                    </w:rPr>
                    <w:t>C3670汽车零部件及配件制造</w:t>
                  </w:r>
                  <w:r>
                    <w:rPr>
                      <w:rFonts w:hint="eastAsia"/>
                      <w:color w:val="auto"/>
                      <w:kern w:val="0"/>
                      <w:lang w:bidi="ar"/>
                    </w:rPr>
                    <w:t>，不属于江苏省“两高”项目。</w:t>
                  </w:r>
                </w:p>
              </w:tc>
            </w:tr>
            <w:tr w14:paraId="3A84ED8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7D">
                  <w:pPr>
                    <w:widowControl/>
                    <w:adjustRightInd w:val="0"/>
                    <w:snapToGrid w:val="0"/>
                    <w:jc w:val="center"/>
                    <w:rPr>
                      <w:color w:val="auto"/>
                      <w:kern w:val="0"/>
                      <w:lang w:bidi="ar"/>
                    </w:rPr>
                  </w:pPr>
                </w:p>
              </w:tc>
              <w:tc>
                <w:tcPr>
                  <w:tcW w:w="2927" w:type="dxa"/>
                  <w:tcBorders>
                    <w:tl2br w:val="nil"/>
                    <w:tr2bl w:val="nil"/>
                  </w:tcBorders>
                  <w:vAlign w:val="center"/>
                </w:tcPr>
                <w:p w14:paraId="3A84ED7E">
                  <w:pPr>
                    <w:widowControl/>
                    <w:adjustRightInd w:val="0"/>
                    <w:snapToGrid w:val="0"/>
                    <w:jc w:val="center"/>
                    <w:rPr>
                      <w:color w:val="auto"/>
                      <w:kern w:val="0"/>
                      <w:lang w:bidi="ar"/>
                    </w:rPr>
                  </w:pPr>
                  <w:r>
                    <w:rPr>
                      <w:rFonts w:hint="eastAsia"/>
                      <w:color w:val="auto"/>
                      <w:kern w:val="0"/>
                      <w:lang w:bidi="ar"/>
                    </w:rPr>
                    <w:t>炼焦（2521）</w:t>
                  </w:r>
                </w:p>
              </w:tc>
              <w:tc>
                <w:tcPr>
                  <w:tcW w:w="2863" w:type="dxa"/>
                  <w:tcBorders>
                    <w:tl2br w:val="nil"/>
                    <w:tr2bl w:val="nil"/>
                  </w:tcBorders>
                  <w:vAlign w:val="center"/>
                </w:tcPr>
                <w:p w14:paraId="3A84ED7F">
                  <w:pPr>
                    <w:widowControl/>
                    <w:adjustRightInd w:val="0"/>
                    <w:snapToGrid w:val="0"/>
                    <w:jc w:val="center"/>
                    <w:rPr>
                      <w:color w:val="auto"/>
                      <w:kern w:val="0"/>
                      <w:lang w:bidi="ar"/>
                    </w:rPr>
                  </w:pPr>
                  <w:r>
                    <w:rPr>
                      <w:rFonts w:hint="eastAsia"/>
                      <w:color w:val="auto"/>
                      <w:kern w:val="0"/>
                      <w:lang w:bidi="ar"/>
                    </w:rPr>
                    <w:t>焦化企业废气综合利用除外。</w:t>
                  </w:r>
                </w:p>
              </w:tc>
              <w:tc>
                <w:tcPr>
                  <w:tcW w:w="1161" w:type="dxa"/>
                  <w:vMerge w:val="continue"/>
                  <w:tcBorders>
                    <w:tl2br w:val="nil"/>
                    <w:tr2bl w:val="nil"/>
                  </w:tcBorders>
                  <w:vAlign w:val="center"/>
                </w:tcPr>
                <w:p w14:paraId="3A84ED80">
                  <w:pPr>
                    <w:widowControl/>
                    <w:adjustRightInd w:val="0"/>
                    <w:snapToGrid w:val="0"/>
                    <w:jc w:val="center"/>
                    <w:rPr>
                      <w:color w:val="auto"/>
                      <w:kern w:val="0"/>
                      <w:lang w:bidi="ar"/>
                    </w:rPr>
                  </w:pPr>
                </w:p>
              </w:tc>
            </w:tr>
            <w:tr w14:paraId="3A84ED8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82">
                  <w:pPr>
                    <w:widowControl/>
                    <w:adjustRightInd w:val="0"/>
                    <w:snapToGrid w:val="0"/>
                    <w:jc w:val="center"/>
                    <w:rPr>
                      <w:color w:val="auto"/>
                      <w:kern w:val="0"/>
                      <w:lang w:bidi="ar"/>
                    </w:rPr>
                  </w:pPr>
                </w:p>
              </w:tc>
              <w:tc>
                <w:tcPr>
                  <w:tcW w:w="2927" w:type="dxa"/>
                  <w:tcBorders>
                    <w:tl2br w:val="nil"/>
                    <w:tr2bl w:val="nil"/>
                  </w:tcBorders>
                  <w:vAlign w:val="center"/>
                </w:tcPr>
                <w:p w14:paraId="3A84ED83">
                  <w:pPr>
                    <w:widowControl/>
                    <w:adjustRightInd w:val="0"/>
                    <w:snapToGrid w:val="0"/>
                    <w:jc w:val="center"/>
                    <w:rPr>
                      <w:color w:val="auto"/>
                      <w:kern w:val="0"/>
                      <w:lang w:bidi="ar"/>
                    </w:rPr>
                  </w:pPr>
                  <w:r>
                    <w:rPr>
                      <w:rFonts w:hint="eastAsia"/>
                      <w:color w:val="auto"/>
                      <w:kern w:val="0"/>
                      <w:lang w:bidi="ar"/>
                    </w:rPr>
                    <w:t>煤制合成气生产（2522）</w:t>
                  </w:r>
                </w:p>
              </w:tc>
              <w:tc>
                <w:tcPr>
                  <w:tcW w:w="2863" w:type="dxa"/>
                  <w:tcBorders>
                    <w:tl2br w:val="nil"/>
                    <w:tr2bl w:val="nil"/>
                  </w:tcBorders>
                  <w:vAlign w:val="center"/>
                </w:tcPr>
                <w:p w14:paraId="3A84ED84">
                  <w:pPr>
                    <w:widowControl/>
                    <w:adjustRightInd w:val="0"/>
                    <w:snapToGrid w:val="0"/>
                    <w:jc w:val="center"/>
                    <w:rPr>
                      <w:color w:val="auto"/>
                      <w:kern w:val="0"/>
                      <w:lang w:bidi="ar"/>
                    </w:rPr>
                  </w:pPr>
                  <w:r>
                    <w:rPr>
                      <w:rFonts w:hint="eastAsia"/>
                      <w:color w:val="auto"/>
                      <w:kern w:val="0"/>
                      <w:lang w:bidi="ar"/>
                    </w:rPr>
                    <w:t>--</w:t>
                  </w:r>
                </w:p>
              </w:tc>
              <w:tc>
                <w:tcPr>
                  <w:tcW w:w="1161" w:type="dxa"/>
                  <w:vMerge w:val="continue"/>
                  <w:tcBorders>
                    <w:tl2br w:val="nil"/>
                    <w:tr2bl w:val="nil"/>
                  </w:tcBorders>
                  <w:vAlign w:val="center"/>
                </w:tcPr>
                <w:p w14:paraId="3A84ED85">
                  <w:pPr>
                    <w:widowControl/>
                    <w:adjustRightInd w:val="0"/>
                    <w:snapToGrid w:val="0"/>
                    <w:jc w:val="center"/>
                    <w:rPr>
                      <w:color w:val="auto"/>
                      <w:kern w:val="0"/>
                      <w:lang w:bidi="ar"/>
                    </w:rPr>
                  </w:pPr>
                </w:p>
              </w:tc>
            </w:tr>
            <w:tr w14:paraId="3A84ED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87">
                  <w:pPr>
                    <w:widowControl/>
                    <w:adjustRightInd w:val="0"/>
                    <w:snapToGrid w:val="0"/>
                    <w:jc w:val="center"/>
                    <w:rPr>
                      <w:color w:val="auto"/>
                      <w:kern w:val="0"/>
                      <w:lang w:bidi="ar"/>
                    </w:rPr>
                  </w:pPr>
                </w:p>
              </w:tc>
              <w:tc>
                <w:tcPr>
                  <w:tcW w:w="2927" w:type="dxa"/>
                  <w:tcBorders>
                    <w:tl2br w:val="nil"/>
                    <w:tr2bl w:val="nil"/>
                  </w:tcBorders>
                  <w:vAlign w:val="center"/>
                </w:tcPr>
                <w:p w14:paraId="3A84ED88">
                  <w:pPr>
                    <w:widowControl/>
                    <w:adjustRightInd w:val="0"/>
                    <w:snapToGrid w:val="0"/>
                    <w:jc w:val="center"/>
                    <w:rPr>
                      <w:color w:val="auto"/>
                      <w:kern w:val="0"/>
                      <w:lang w:bidi="ar"/>
                    </w:rPr>
                  </w:pPr>
                  <w:r>
                    <w:rPr>
                      <w:rFonts w:hint="eastAsia"/>
                      <w:color w:val="auto"/>
                      <w:kern w:val="0"/>
                      <w:lang w:bidi="ar"/>
                    </w:rPr>
                    <w:t>煤制液体燃料生产（2523）</w:t>
                  </w:r>
                </w:p>
              </w:tc>
              <w:tc>
                <w:tcPr>
                  <w:tcW w:w="2863" w:type="dxa"/>
                  <w:tcBorders>
                    <w:tl2br w:val="nil"/>
                    <w:tr2bl w:val="nil"/>
                  </w:tcBorders>
                  <w:vAlign w:val="center"/>
                </w:tcPr>
                <w:p w14:paraId="3A84ED89">
                  <w:pPr>
                    <w:widowControl/>
                    <w:adjustRightInd w:val="0"/>
                    <w:snapToGrid w:val="0"/>
                    <w:jc w:val="center"/>
                    <w:rPr>
                      <w:color w:val="auto"/>
                      <w:kern w:val="0"/>
                      <w:lang w:bidi="ar"/>
                    </w:rPr>
                  </w:pPr>
                  <w:r>
                    <w:rPr>
                      <w:rFonts w:hint="eastAsia"/>
                      <w:color w:val="auto"/>
                      <w:kern w:val="0"/>
                      <w:lang w:bidi="ar"/>
                    </w:rPr>
                    <w:t>--</w:t>
                  </w:r>
                </w:p>
              </w:tc>
              <w:tc>
                <w:tcPr>
                  <w:tcW w:w="1161" w:type="dxa"/>
                  <w:vMerge w:val="continue"/>
                  <w:tcBorders>
                    <w:tl2br w:val="nil"/>
                    <w:tr2bl w:val="nil"/>
                  </w:tcBorders>
                  <w:vAlign w:val="center"/>
                </w:tcPr>
                <w:p w14:paraId="3A84ED8A">
                  <w:pPr>
                    <w:widowControl/>
                    <w:adjustRightInd w:val="0"/>
                    <w:snapToGrid w:val="0"/>
                    <w:jc w:val="center"/>
                    <w:rPr>
                      <w:color w:val="auto"/>
                      <w:kern w:val="0"/>
                      <w:lang w:bidi="ar"/>
                    </w:rPr>
                  </w:pPr>
                </w:p>
              </w:tc>
            </w:tr>
            <w:tr w14:paraId="3A84ED9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8C">
                  <w:pPr>
                    <w:widowControl/>
                    <w:adjustRightInd w:val="0"/>
                    <w:snapToGrid w:val="0"/>
                    <w:jc w:val="center"/>
                    <w:rPr>
                      <w:color w:val="auto"/>
                      <w:kern w:val="0"/>
                      <w:lang w:bidi="ar"/>
                    </w:rPr>
                  </w:pPr>
                </w:p>
              </w:tc>
              <w:tc>
                <w:tcPr>
                  <w:tcW w:w="2927" w:type="dxa"/>
                  <w:tcBorders>
                    <w:tl2br w:val="nil"/>
                    <w:tr2bl w:val="nil"/>
                  </w:tcBorders>
                  <w:vAlign w:val="center"/>
                </w:tcPr>
                <w:p w14:paraId="3A84ED8D">
                  <w:pPr>
                    <w:widowControl/>
                    <w:adjustRightInd w:val="0"/>
                    <w:snapToGrid w:val="0"/>
                    <w:jc w:val="center"/>
                    <w:rPr>
                      <w:color w:val="auto"/>
                      <w:kern w:val="0"/>
                      <w:lang w:bidi="ar"/>
                    </w:rPr>
                  </w:pPr>
                  <w:r>
                    <w:rPr>
                      <w:rFonts w:hint="eastAsia"/>
                      <w:color w:val="auto"/>
                      <w:kern w:val="0"/>
                      <w:lang w:bidi="ar"/>
                    </w:rPr>
                    <w:t>其他煤炭加工（2529）</w:t>
                  </w:r>
                </w:p>
              </w:tc>
              <w:tc>
                <w:tcPr>
                  <w:tcW w:w="2863" w:type="dxa"/>
                  <w:tcBorders>
                    <w:tl2br w:val="nil"/>
                    <w:tr2bl w:val="nil"/>
                  </w:tcBorders>
                  <w:vAlign w:val="center"/>
                </w:tcPr>
                <w:p w14:paraId="3A84ED8E">
                  <w:pPr>
                    <w:widowControl/>
                    <w:adjustRightInd w:val="0"/>
                    <w:snapToGrid w:val="0"/>
                    <w:jc w:val="center"/>
                    <w:rPr>
                      <w:color w:val="auto"/>
                      <w:kern w:val="0"/>
                      <w:lang w:bidi="ar"/>
                    </w:rPr>
                  </w:pPr>
                  <w:r>
                    <w:rPr>
                      <w:rFonts w:hint="eastAsia"/>
                      <w:color w:val="auto"/>
                      <w:kern w:val="0"/>
                      <w:lang w:bidi="ar"/>
                    </w:rPr>
                    <w:t>活性炭制造。</w:t>
                  </w:r>
                </w:p>
              </w:tc>
              <w:tc>
                <w:tcPr>
                  <w:tcW w:w="1161" w:type="dxa"/>
                  <w:vMerge w:val="continue"/>
                  <w:tcBorders>
                    <w:tl2br w:val="nil"/>
                    <w:tr2bl w:val="nil"/>
                  </w:tcBorders>
                  <w:vAlign w:val="center"/>
                </w:tcPr>
                <w:p w14:paraId="3A84ED8F">
                  <w:pPr>
                    <w:widowControl/>
                    <w:adjustRightInd w:val="0"/>
                    <w:snapToGrid w:val="0"/>
                    <w:jc w:val="center"/>
                    <w:rPr>
                      <w:color w:val="auto"/>
                      <w:kern w:val="0"/>
                      <w:lang w:bidi="ar"/>
                    </w:rPr>
                  </w:pPr>
                </w:p>
              </w:tc>
            </w:tr>
            <w:tr w14:paraId="3A84ED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restart"/>
                  <w:tcBorders>
                    <w:tl2br w:val="nil"/>
                    <w:tr2bl w:val="nil"/>
                  </w:tcBorders>
                  <w:vAlign w:val="center"/>
                </w:tcPr>
                <w:p w14:paraId="3A84ED91">
                  <w:pPr>
                    <w:widowControl/>
                    <w:adjustRightInd w:val="0"/>
                    <w:snapToGrid w:val="0"/>
                    <w:jc w:val="center"/>
                    <w:rPr>
                      <w:color w:val="auto"/>
                      <w:kern w:val="0"/>
                      <w:lang w:bidi="ar"/>
                    </w:rPr>
                  </w:pPr>
                  <w:r>
                    <w:rPr>
                      <w:rFonts w:hint="eastAsia"/>
                      <w:color w:val="auto"/>
                      <w:kern w:val="0"/>
                      <w:lang w:bidi="ar"/>
                    </w:rPr>
                    <w:t>化学原料和化学制品制造业</w:t>
                  </w:r>
                </w:p>
              </w:tc>
              <w:tc>
                <w:tcPr>
                  <w:tcW w:w="2927" w:type="dxa"/>
                  <w:tcBorders>
                    <w:tl2br w:val="nil"/>
                    <w:tr2bl w:val="nil"/>
                  </w:tcBorders>
                  <w:vAlign w:val="center"/>
                </w:tcPr>
                <w:p w14:paraId="3A84ED92">
                  <w:pPr>
                    <w:widowControl/>
                    <w:adjustRightInd w:val="0"/>
                    <w:snapToGrid w:val="0"/>
                    <w:jc w:val="center"/>
                    <w:rPr>
                      <w:color w:val="auto"/>
                      <w:kern w:val="0"/>
                      <w:lang w:bidi="ar"/>
                    </w:rPr>
                  </w:pPr>
                  <w:r>
                    <w:rPr>
                      <w:rFonts w:hint="eastAsia"/>
                      <w:color w:val="auto"/>
                      <w:kern w:val="0"/>
                      <w:lang w:bidi="ar"/>
                    </w:rPr>
                    <w:t>无机酸制造（2611）</w:t>
                  </w:r>
                </w:p>
              </w:tc>
              <w:tc>
                <w:tcPr>
                  <w:tcW w:w="2863" w:type="dxa"/>
                  <w:tcBorders>
                    <w:tl2br w:val="nil"/>
                    <w:tr2bl w:val="nil"/>
                  </w:tcBorders>
                  <w:vAlign w:val="center"/>
                </w:tcPr>
                <w:p w14:paraId="3A84ED93">
                  <w:pPr>
                    <w:widowControl/>
                    <w:adjustRightInd w:val="0"/>
                    <w:snapToGrid w:val="0"/>
                    <w:jc w:val="center"/>
                    <w:rPr>
                      <w:color w:val="auto"/>
                      <w:kern w:val="0"/>
                      <w:lang w:bidi="ar"/>
                    </w:rPr>
                  </w:pPr>
                  <w:r>
                    <w:rPr>
                      <w:rFonts w:hint="eastAsia"/>
                      <w:color w:val="auto"/>
                      <w:kern w:val="0"/>
                      <w:lang w:bidi="ar"/>
                    </w:rPr>
                    <w:t>硫酸、硝酸、盐酸、萤石法氟化氢制造。</w:t>
                  </w:r>
                </w:p>
              </w:tc>
              <w:tc>
                <w:tcPr>
                  <w:tcW w:w="1161" w:type="dxa"/>
                  <w:vMerge w:val="continue"/>
                  <w:tcBorders>
                    <w:tl2br w:val="nil"/>
                    <w:tr2bl w:val="nil"/>
                  </w:tcBorders>
                  <w:vAlign w:val="center"/>
                </w:tcPr>
                <w:p w14:paraId="3A84ED94">
                  <w:pPr>
                    <w:widowControl/>
                    <w:adjustRightInd w:val="0"/>
                    <w:snapToGrid w:val="0"/>
                    <w:jc w:val="center"/>
                    <w:rPr>
                      <w:color w:val="auto"/>
                      <w:kern w:val="0"/>
                      <w:lang w:bidi="ar"/>
                    </w:rPr>
                  </w:pPr>
                </w:p>
              </w:tc>
            </w:tr>
            <w:tr w14:paraId="3A84ED9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96">
                  <w:pPr>
                    <w:widowControl/>
                    <w:adjustRightInd w:val="0"/>
                    <w:snapToGrid w:val="0"/>
                    <w:jc w:val="center"/>
                    <w:rPr>
                      <w:color w:val="auto"/>
                      <w:kern w:val="0"/>
                      <w:lang w:bidi="ar"/>
                    </w:rPr>
                  </w:pPr>
                </w:p>
              </w:tc>
              <w:tc>
                <w:tcPr>
                  <w:tcW w:w="2927" w:type="dxa"/>
                  <w:tcBorders>
                    <w:tl2br w:val="nil"/>
                    <w:tr2bl w:val="nil"/>
                  </w:tcBorders>
                  <w:vAlign w:val="center"/>
                </w:tcPr>
                <w:p w14:paraId="3A84ED97">
                  <w:pPr>
                    <w:widowControl/>
                    <w:adjustRightInd w:val="0"/>
                    <w:snapToGrid w:val="0"/>
                    <w:jc w:val="center"/>
                    <w:rPr>
                      <w:color w:val="auto"/>
                      <w:kern w:val="0"/>
                      <w:lang w:bidi="ar"/>
                    </w:rPr>
                  </w:pPr>
                  <w:r>
                    <w:rPr>
                      <w:rFonts w:hint="eastAsia"/>
                      <w:color w:val="auto"/>
                      <w:kern w:val="0"/>
                      <w:lang w:bidi="ar"/>
                    </w:rPr>
                    <w:t>无机碱制造（2612）</w:t>
                  </w:r>
                </w:p>
              </w:tc>
              <w:tc>
                <w:tcPr>
                  <w:tcW w:w="2863" w:type="dxa"/>
                  <w:tcBorders>
                    <w:tl2br w:val="nil"/>
                    <w:tr2bl w:val="nil"/>
                  </w:tcBorders>
                  <w:vAlign w:val="center"/>
                </w:tcPr>
                <w:p w14:paraId="3A84ED98">
                  <w:pPr>
                    <w:widowControl/>
                    <w:adjustRightInd w:val="0"/>
                    <w:snapToGrid w:val="0"/>
                    <w:jc w:val="center"/>
                    <w:rPr>
                      <w:color w:val="auto"/>
                      <w:kern w:val="0"/>
                      <w:lang w:bidi="ar"/>
                    </w:rPr>
                  </w:pPr>
                  <w:r>
                    <w:rPr>
                      <w:rFonts w:hint="eastAsia"/>
                      <w:color w:val="auto"/>
                      <w:kern w:val="0"/>
                      <w:lang w:bidi="ar"/>
                    </w:rPr>
                    <w:t>烧碱、纯碱制造（采用井下循环制碱工艺的除外）。</w:t>
                  </w:r>
                </w:p>
              </w:tc>
              <w:tc>
                <w:tcPr>
                  <w:tcW w:w="1161" w:type="dxa"/>
                  <w:vMerge w:val="continue"/>
                  <w:tcBorders>
                    <w:tl2br w:val="nil"/>
                    <w:tr2bl w:val="nil"/>
                  </w:tcBorders>
                  <w:vAlign w:val="center"/>
                </w:tcPr>
                <w:p w14:paraId="3A84ED99">
                  <w:pPr>
                    <w:widowControl/>
                    <w:adjustRightInd w:val="0"/>
                    <w:snapToGrid w:val="0"/>
                    <w:jc w:val="center"/>
                    <w:rPr>
                      <w:color w:val="auto"/>
                      <w:kern w:val="0"/>
                      <w:lang w:bidi="ar"/>
                    </w:rPr>
                  </w:pPr>
                </w:p>
              </w:tc>
            </w:tr>
            <w:tr w14:paraId="3A84ED9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9B">
                  <w:pPr>
                    <w:widowControl/>
                    <w:adjustRightInd w:val="0"/>
                    <w:snapToGrid w:val="0"/>
                    <w:jc w:val="center"/>
                    <w:rPr>
                      <w:color w:val="auto"/>
                      <w:kern w:val="0"/>
                      <w:lang w:bidi="ar"/>
                    </w:rPr>
                  </w:pPr>
                </w:p>
              </w:tc>
              <w:tc>
                <w:tcPr>
                  <w:tcW w:w="2927" w:type="dxa"/>
                  <w:tcBorders>
                    <w:tl2br w:val="nil"/>
                    <w:tr2bl w:val="nil"/>
                  </w:tcBorders>
                  <w:vAlign w:val="center"/>
                </w:tcPr>
                <w:p w14:paraId="3A84ED9C">
                  <w:pPr>
                    <w:widowControl/>
                    <w:adjustRightInd w:val="0"/>
                    <w:snapToGrid w:val="0"/>
                    <w:jc w:val="center"/>
                    <w:rPr>
                      <w:color w:val="auto"/>
                      <w:kern w:val="0"/>
                      <w:lang w:bidi="ar"/>
                    </w:rPr>
                  </w:pPr>
                  <w:r>
                    <w:rPr>
                      <w:rFonts w:hint="eastAsia"/>
                      <w:color w:val="auto"/>
                      <w:kern w:val="0"/>
                      <w:lang w:bidi="ar"/>
                    </w:rPr>
                    <w:t>无机盐制造（2613）</w:t>
                  </w:r>
                </w:p>
              </w:tc>
              <w:tc>
                <w:tcPr>
                  <w:tcW w:w="2863" w:type="dxa"/>
                  <w:tcBorders>
                    <w:tl2br w:val="nil"/>
                    <w:tr2bl w:val="nil"/>
                  </w:tcBorders>
                  <w:vAlign w:val="center"/>
                </w:tcPr>
                <w:p w14:paraId="3A84ED9D">
                  <w:pPr>
                    <w:widowControl/>
                    <w:adjustRightInd w:val="0"/>
                    <w:snapToGrid w:val="0"/>
                    <w:jc w:val="center"/>
                    <w:rPr>
                      <w:color w:val="auto"/>
                      <w:kern w:val="0"/>
                      <w:lang w:bidi="ar"/>
                    </w:rPr>
                  </w:pPr>
                  <w:r>
                    <w:rPr>
                      <w:rFonts w:hint="eastAsia"/>
                      <w:color w:val="auto"/>
                      <w:kern w:val="0"/>
                      <w:lang w:bidi="ar"/>
                    </w:rPr>
                    <w:t>电石制造。</w:t>
                  </w:r>
                </w:p>
              </w:tc>
              <w:tc>
                <w:tcPr>
                  <w:tcW w:w="1161" w:type="dxa"/>
                  <w:vMerge w:val="continue"/>
                  <w:tcBorders>
                    <w:tl2br w:val="nil"/>
                    <w:tr2bl w:val="nil"/>
                  </w:tcBorders>
                  <w:vAlign w:val="center"/>
                </w:tcPr>
                <w:p w14:paraId="3A84ED9E">
                  <w:pPr>
                    <w:widowControl/>
                    <w:adjustRightInd w:val="0"/>
                    <w:snapToGrid w:val="0"/>
                    <w:jc w:val="center"/>
                    <w:rPr>
                      <w:color w:val="auto"/>
                      <w:kern w:val="0"/>
                      <w:lang w:bidi="ar"/>
                    </w:rPr>
                  </w:pPr>
                </w:p>
              </w:tc>
            </w:tr>
            <w:tr w14:paraId="3A84EDA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A0">
                  <w:pPr>
                    <w:widowControl/>
                    <w:adjustRightInd w:val="0"/>
                    <w:snapToGrid w:val="0"/>
                    <w:jc w:val="center"/>
                    <w:rPr>
                      <w:color w:val="auto"/>
                      <w:kern w:val="0"/>
                      <w:lang w:bidi="ar"/>
                    </w:rPr>
                  </w:pPr>
                </w:p>
              </w:tc>
              <w:tc>
                <w:tcPr>
                  <w:tcW w:w="2927" w:type="dxa"/>
                  <w:tcBorders>
                    <w:tl2br w:val="nil"/>
                    <w:tr2bl w:val="nil"/>
                  </w:tcBorders>
                  <w:vAlign w:val="center"/>
                </w:tcPr>
                <w:p w14:paraId="3A84EDA1">
                  <w:pPr>
                    <w:widowControl/>
                    <w:adjustRightInd w:val="0"/>
                    <w:snapToGrid w:val="0"/>
                    <w:jc w:val="center"/>
                    <w:rPr>
                      <w:color w:val="auto"/>
                      <w:kern w:val="0"/>
                      <w:lang w:bidi="ar"/>
                    </w:rPr>
                  </w:pPr>
                  <w:r>
                    <w:rPr>
                      <w:rFonts w:hint="eastAsia"/>
                      <w:color w:val="auto"/>
                      <w:kern w:val="0"/>
                      <w:lang w:bidi="ar"/>
                    </w:rPr>
                    <w:t>有机化学原料制造（2614）</w:t>
                  </w:r>
                </w:p>
              </w:tc>
              <w:tc>
                <w:tcPr>
                  <w:tcW w:w="2863" w:type="dxa"/>
                  <w:tcBorders>
                    <w:tl2br w:val="nil"/>
                    <w:tr2bl w:val="nil"/>
                  </w:tcBorders>
                  <w:vAlign w:val="center"/>
                </w:tcPr>
                <w:p w14:paraId="3A84EDA2">
                  <w:pPr>
                    <w:widowControl/>
                    <w:adjustRightInd w:val="0"/>
                    <w:snapToGrid w:val="0"/>
                    <w:jc w:val="center"/>
                    <w:rPr>
                      <w:color w:val="auto"/>
                      <w:kern w:val="0"/>
                      <w:lang w:bidi="ar"/>
                    </w:rPr>
                  </w:pPr>
                  <w:r>
                    <w:rPr>
                      <w:rFonts w:hint="eastAsia"/>
                      <w:color w:val="auto"/>
                      <w:kern w:val="0"/>
                      <w:lang w:bidi="ar"/>
                    </w:rPr>
                    <w:t>乙烯、丙烯、苯乙烯、电石法氯乙烯、对二甲苯（PX）、醋酸、甲醇、粮食法丁醇、丁二醇、粮食法丙酮、氯醇法环氧丙烷、氯醇法环氧氯丙烷、甲苯二异氰酸酯（TDI）、二苯基甲烷二异氰酸酯（MDI）、丙酮氰醇法甲基丙烯酸甲酯制造。</w:t>
                  </w:r>
                </w:p>
              </w:tc>
              <w:tc>
                <w:tcPr>
                  <w:tcW w:w="1161" w:type="dxa"/>
                  <w:vMerge w:val="continue"/>
                  <w:tcBorders>
                    <w:tl2br w:val="nil"/>
                    <w:tr2bl w:val="nil"/>
                  </w:tcBorders>
                  <w:vAlign w:val="center"/>
                </w:tcPr>
                <w:p w14:paraId="3A84EDA3">
                  <w:pPr>
                    <w:widowControl/>
                    <w:adjustRightInd w:val="0"/>
                    <w:snapToGrid w:val="0"/>
                    <w:jc w:val="center"/>
                    <w:rPr>
                      <w:color w:val="auto"/>
                      <w:kern w:val="0"/>
                      <w:lang w:bidi="ar"/>
                    </w:rPr>
                  </w:pPr>
                </w:p>
              </w:tc>
            </w:tr>
            <w:tr w14:paraId="3A84EDA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A5">
                  <w:pPr>
                    <w:widowControl/>
                    <w:adjustRightInd w:val="0"/>
                    <w:snapToGrid w:val="0"/>
                    <w:jc w:val="center"/>
                    <w:rPr>
                      <w:color w:val="auto"/>
                      <w:kern w:val="0"/>
                      <w:lang w:bidi="ar"/>
                    </w:rPr>
                  </w:pPr>
                </w:p>
              </w:tc>
              <w:tc>
                <w:tcPr>
                  <w:tcW w:w="2927" w:type="dxa"/>
                  <w:tcBorders>
                    <w:tl2br w:val="nil"/>
                    <w:tr2bl w:val="nil"/>
                  </w:tcBorders>
                  <w:vAlign w:val="center"/>
                </w:tcPr>
                <w:p w14:paraId="3A84EDA6">
                  <w:pPr>
                    <w:widowControl/>
                    <w:adjustRightInd w:val="0"/>
                    <w:snapToGrid w:val="0"/>
                    <w:jc w:val="center"/>
                    <w:rPr>
                      <w:color w:val="auto"/>
                      <w:kern w:val="0"/>
                      <w:lang w:bidi="ar"/>
                    </w:rPr>
                  </w:pPr>
                  <w:r>
                    <w:rPr>
                      <w:rFonts w:hint="eastAsia"/>
                      <w:color w:val="auto"/>
                      <w:kern w:val="0"/>
                      <w:lang w:bidi="ar"/>
                    </w:rPr>
                    <w:t>其他基础化学原料制造（2619）</w:t>
                  </w:r>
                </w:p>
              </w:tc>
              <w:tc>
                <w:tcPr>
                  <w:tcW w:w="2863" w:type="dxa"/>
                  <w:tcBorders>
                    <w:tl2br w:val="nil"/>
                    <w:tr2bl w:val="nil"/>
                  </w:tcBorders>
                  <w:vAlign w:val="center"/>
                </w:tcPr>
                <w:p w14:paraId="3A84EDA7">
                  <w:pPr>
                    <w:widowControl/>
                    <w:adjustRightInd w:val="0"/>
                    <w:snapToGrid w:val="0"/>
                    <w:jc w:val="center"/>
                    <w:rPr>
                      <w:color w:val="auto"/>
                      <w:kern w:val="0"/>
                      <w:lang w:bidi="ar"/>
                    </w:rPr>
                  </w:pPr>
                  <w:r>
                    <w:rPr>
                      <w:rFonts w:hint="eastAsia"/>
                      <w:color w:val="auto"/>
                      <w:kern w:val="0"/>
                      <w:lang w:bidi="ar"/>
                    </w:rPr>
                    <w:t>黄磷制造。</w:t>
                  </w:r>
                </w:p>
              </w:tc>
              <w:tc>
                <w:tcPr>
                  <w:tcW w:w="1161" w:type="dxa"/>
                  <w:vMerge w:val="continue"/>
                  <w:tcBorders>
                    <w:tl2br w:val="nil"/>
                    <w:tr2bl w:val="nil"/>
                  </w:tcBorders>
                  <w:vAlign w:val="center"/>
                </w:tcPr>
                <w:p w14:paraId="3A84EDA8">
                  <w:pPr>
                    <w:widowControl/>
                    <w:adjustRightInd w:val="0"/>
                    <w:snapToGrid w:val="0"/>
                    <w:jc w:val="center"/>
                    <w:rPr>
                      <w:color w:val="auto"/>
                      <w:kern w:val="0"/>
                      <w:lang w:bidi="ar"/>
                    </w:rPr>
                  </w:pPr>
                </w:p>
              </w:tc>
            </w:tr>
            <w:tr w14:paraId="3A84EDA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AA">
                  <w:pPr>
                    <w:widowControl/>
                    <w:adjustRightInd w:val="0"/>
                    <w:snapToGrid w:val="0"/>
                    <w:jc w:val="center"/>
                    <w:rPr>
                      <w:color w:val="auto"/>
                      <w:kern w:val="0"/>
                      <w:lang w:bidi="ar"/>
                    </w:rPr>
                  </w:pPr>
                </w:p>
              </w:tc>
              <w:tc>
                <w:tcPr>
                  <w:tcW w:w="2927" w:type="dxa"/>
                  <w:tcBorders>
                    <w:tl2br w:val="nil"/>
                    <w:tr2bl w:val="nil"/>
                  </w:tcBorders>
                  <w:vAlign w:val="center"/>
                </w:tcPr>
                <w:p w14:paraId="3A84EDAB">
                  <w:pPr>
                    <w:widowControl/>
                    <w:adjustRightInd w:val="0"/>
                    <w:snapToGrid w:val="0"/>
                    <w:jc w:val="center"/>
                    <w:rPr>
                      <w:color w:val="auto"/>
                      <w:kern w:val="0"/>
                      <w:lang w:bidi="ar"/>
                    </w:rPr>
                  </w:pPr>
                  <w:r>
                    <w:rPr>
                      <w:rFonts w:hint="eastAsia"/>
                      <w:color w:val="auto"/>
                      <w:kern w:val="0"/>
                      <w:lang w:bidi="ar"/>
                    </w:rPr>
                    <w:t>氮肥制造（2621）</w:t>
                  </w:r>
                </w:p>
              </w:tc>
              <w:tc>
                <w:tcPr>
                  <w:tcW w:w="2863" w:type="dxa"/>
                  <w:tcBorders>
                    <w:tl2br w:val="nil"/>
                    <w:tr2bl w:val="nil"/>
                  </w:tcBorders>
                  <w:vAlign w:val="center"/>
                </w:tcPr>
                <w:p w14:paraId="3A84EDAC">
                  <w:pPr>
                    <w:widowControl/>
                    <w:adjustRightInd w:val="0"/>
                    <w:snapToGrid w:val="0"/>
                    <w:jc w:val="center"/>
                    <w:rPr>
                      <w:color w:val="auto"/>
                      <w:kern w:val="0"/>
                      <w:lang w:bidi="ar"/>
                    </w:rPr>
                  </w:pPr>
                  <w:r>
                    <w:rPr>
                      <w:rFonts w:hint="eastAsia"/>
                      <w:color w:val="auto"/>
                      <w:kern w:val="0"/>
                      <w:lang w:bidi="ar"/>
                    </w:rPr>
                    <w:t>--</w:t>
                  </w:r>
                </w:p>
              </w:tc>
              <w:tc>
                <w:tcPr>
                  <w:tcW w:w="1161" w:type="dxa"/>
                  <w:vMerge w:val="continue"/>
                  <w:tcBorders>
                    <w:tl2br w:val="nil"/>
                    <w:tr2bl w:val="nil"/>
                  </w:tcBorders>
                  <w:vAlign w:val="center"/>
                </w:tcPr>
                <w:p w14:paraId="3A84EDAD">
                  <w:pPr>
                    <w:widowControl/>
                    <w:adjustRightInd w:val="0"/>
                    <w:snapToGrid w:val="0"/>
                    <w:jc w:val="center"/>
                    <w:rPr>
                      <w:color w:val="auto"/>
                      <w:kern w:val="0"/>
                      <w:lang w:bidi="ar"/>
                    </w:rPr>
                  </w:pPr>
                </w:p>
              </w:tc>
            </w:tr>
            <w:tr w14:paraId="3A84EDB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AF">
                  <w:pPr>
                    <w:widowControl/>
                    <w:adjustRightInd w:val="0"/>
                    <w:snapToGrid w:val="0"/>
                    <w:jc w:val="center"/>
                    <w:rPr>
                      <w:color w:val="auto"/>
                      <w:kern w:val="0"/>
                      <w:lang w:bidi="ar"/>
                    </w:rPr>
                  </w:pPr>
                </w:p>
              </w:tc>
              <w:tc>
                <w:tcPr>
                  <w:tcW w:w="2927" w:type="dxa"/>
                  <w:tcBorders>
                    <w:tl2br w:val="nil"/>
                    <w:tr2bl w:val="nil"/>
                  </w:tcBorders>
                  <w:vAlign w:val="center"/>
                </w:tcPr>
                <w:p w14:paraId="3A84EDB0">
                  <w:pPr>
                    <w:widowControl/>
                    <w:adjustRightInd w:val="0"/>
                    <w:snapToGrid w:val="0"/>
                    <w:jc w:val="center"/>
                    <w:rPr>
                      <w:color w:val="auto"/>
                      <w:kern w:val="0"/>
                      <w:lang w:bidi="ar"/>
                    </w:rPr>
                  </w:pPr>
                  <w:r>
                    <w:rPr>
                      <w:rFonts w:hint="eastAsia"/>
                      <w:color w:val="auto"/>
                      <w:kern w:val="0"/>
                      <w:lang w:bidi="ar"/>
                    </w:rPr>
                    <w:t>磷肥制造（2622）</w:t>
                  </w:r>
                </w:p>
              </w:tc>
              <w:tc>
                <w:tcPr>
                  <w:tcW w:w="2863" w:type="dxa"/>
                  <w:tcBorders>
                    <w:tl2br w:val="nil"/>
                    <w:tr2bl w:val="nil"/>
                  </w:tcBorders>
                  <w:vAlign w:val="center"/>
                </w:tcPr>
                <w:p w14:paraId="3A84EDB1">
                  <w:pPr>
                    <w:widowControl/>
                    <w:adjustRightInd w:val="0"/>
                    <w:snapToGrid w:val="0"/>
                    <w:jc w:val="center"/>
                    <w:rPr>
                      <w:color w:val="auto"/>
                      <w:kern w:val="0"/>
                      <w:lang w:bidi="ar"/>
                    </w:rPr>
                  </w:pPr>
                  <w:r>
                    <w:rPr>
                      <w:rFonts w:hint="eastAsia"/>
                      <w:color w:val="auto"/>
                      <w:kern w:val="0"/>
                      <w:lang w:bidi="ar"/>
                    </w:rPr>
                    <w:t>--</w:t>
                  </w:r>
                </w:p>
              </w:tc>
              <w:tc>
                <w:tcPr>
                  <w:tcW w:w="1161" w:type="dxa"/>
                  <w:vMerge w:val="continue"/>
                  <w:tcBorders>
                    <w:tl2br w:val="nil"/>
                    <w:tr2bl w:val="nil"/>
                  </w:tcBorders>
                  <w:vAlign w:val="center"/>
                </w:tcPr>
                <w:p w14:paraId="3A84EDB2">
                  <w:pPr>
                    <w:widowControl/>
                    <w:adjustRightInd w:val="0"/>
                    <w:snapToGrid w:val="0"/>
                    <w:jc w:val="center"/>
                    <w:rPr>
                      <w:color w:val="auto"/>
                      <w:kern w:val="0"/>
                      <w:lang w:bidi="ar"/>
                    </w:rPr>
                  </w:pPr>
                </w:p>
              </w:tc>
            </w:tr>
            <w:tr w14:paraId="3A84EDB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B4">
                  <w:pPr>
                    <w:widowControl/>
                    <w:adjustRightInd w:val="0"/>
                    <w:snapToGrid w:val="0"/>
                    <w:jc w:val="center"/>
                    <w:rPr>
                      <w:color w:val="auto"/>
                      <w:kern w:val="0"/>
                      <w:lang w:bidi="ar"/>
                    </w:rPr>
                  </w:pPr>
                </w:p>
              </w:tc>
              <w:tc>
                <w:tcPr>
                  <w:tcW w:w="2927" w:type="dxa"/>
                  <w:tcBorders>
                    <w:tl2br w:val="nil"/>
                    <w:tr2bl w:val="nil"/>
                  </w:tcBorders>
                  <w:vAlign w:val="center"/>
                </w:tcPr>
                <w:p w14:paraId="3A84EDB5">
                  <w:pPr>
                    <w:widowControl/>
                    <w:adjustRightInd w:val="0"/>
                    <w:snapToGrid w:val="0"/>
                    <w:jc w:val="center"/>
                    <w:rPr>
                      <w:color w:val="auto"/>
                      <w:kern w:val="0"/>
                      <w:lang w:bidi="ar"/>
                    </w:rPr>
                  </w:pPr>
                  <w:r>
                    <w:rPr>
                      <w:rFonts w:hint="eastAsia"/>
                      <w:color w:val="auto"/>
                      <w:kern w:val="0"/>
                      <w:lang w:bidi="ar"/>
                    </w:rPr>
                    <w:t>钾肥制造（2623）</w:t>
                  </w:r>
                </w:p>
              </w:tc>
              <w:tc>
                <w:tcPr>
                  <w:tcW w:w="2863" w:type="dxa"/>
                  <w:tcBorders>
                    <w:tl2br w:val="nil"/>
                    <w:tr2bl w:val="nil"/>
                  </w:tcBorders>
                  <w:vAlign w:val="center"/>
                </w:tcPr>
                <w:p w14:paraId="3A84EDB6">
                  <w:pPr>
                    <w:widowControl/>
                    <w:adjustRightInd w:val="0"/>
                    <w:snapToGrid w:val="0"/>
                    <w:jc w:val="center"/>
                    <w:rPr>
                      <w:color w:val="auto"/>
                      <w:kern w:val="0"/>
                      <w:lang w:bidi="ar"/>
                    </w:rPr>
                  </w:pPr>
                  <w:r>
                    <w:rPr>
                      <w:rFonts w:hint="eastAsia"/>
                      <w:color w:val="auto"/>
                      <w:kern w:val="0"/>
                      <w:lang w:bidi="ar"/>
                    </w:rPr>
                    <w:t>--</w:t>
                  </w:r>
                </w:p>
              </w:tc>
              <w:tc>
                <w:tcPr>
                  <w:tcW w:w="1161" w:type="dxa"/>
                  <w:vMerge w:val="continue"/>
                  <w:tcBorders>
                    <w:tl2br w:val="nil"/>
                    <w:tr2bl w:val="nil"/>
                  </w:tcBorders>
                  <w:vAlign w:val="center"/>
                </w:tcPr>
                <w:p w14:paraId="3A84EDB7">
                  <w:pPr>
                    <w:widowControl/>
                    <w:adjustRightInd w:val="0"/>
                    <w:snapToGrid w:val="0"/>
                    <w:jc w:val="center"/>
                    <w:rPr>
                      <w:color w:val="auto"/>
                      <w:kern w:val="0"/>
                      <w:lang w:bidi="ar"/>
                    </w:rPr>
                  </w:pPr>
                </w:p>
              </w:tc>
            </w:tr>
            <w:tr w14:paraId="3A84ED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B9">
                  <w:pPr>
                    <w:widowControl/>
                    <w:adjustRightInd w:val="0"/>
                    <w:snapToGrid w:val="0"/>
                    <w:jc w:val="center"/>
                    <w:rPr>
                      <w:color w:val="auto"/>
                      <w:kern w:val="0"/>
                      <w:lang w:bidi="ar"/>
                    </w:rPr>
                  </w:pPr>
                </w:p>
              </w:tc>
              <w:tc>
                <w:tcPr>
                  <w:tcW w:w="2927" w:type="dxa"/>
                  <w:tcBorders>
                    <w:tl2br w:val="nil"/>
                    <w:tr2bl w:val="nil"/>
                  </w:tcBorders>
                  <w:vAlign w:val="center"/>
                </w:tcPr>
                <w:p w14:paraId="3A84EDBA">
                  <w:pPr>
                    <w:widowControl/>
                    <w:adjustRightInd w:val="0"/>
                    <w:snapToGrid w:val="0"/>
                    <w:jc w:val="center"/>
                    <w:rPr>
                      <w:color w:val="auto"/>
                      <w:kern w:val="0"/>
                      <w:lang w:bidi="ar"/>
                    </w:rPr>
                  </w:pPr>
                  <w:r>
                    <w:rPr>
                      <w:rFonts w:hint="eastAsia"/>
                      <w:color w:val="auto"/>
                      <w:kern w:val="0"/>
                      <w:lang w:bidi="ar"/>
                    </w:rPr>
                    <w:t>工业颜料制造（2643）</w:t>
                  </w:r>
                </w:p>
              </w:tc>
              <w:tc>
                <w:tcPr>
                  <w:tcW w:w="2863" w:type="dxa"/>
                  <w:tcBorders>
                    <w:tl2br w:val="nil"/>
                    <w:tr2bl w:val="nil"/>
                  </w:tcBorders>
                  <w:vAlign w:val="center"/>
                </w:tcPr>
                <w:p w14:paraId="3A84EDBB">
                  <w:pPr>
                    <w:widowControl/>
                    <w:adjustRightInd w:val="0"/>
                    <w:snapToGrid w:val="0"/>
                    <w:jc w:val="center"/>
                    <w:rPr>
                      <w:color w:val="auto"/>
                      <w:kern w:val="0"/>
                      <w:lang w:bidi="ar"/>
                    </w:rPr>
                  </w:pPr>
                  <w:r>
                    <w:rPr>
                      <w:rFonts w:hint="eastAsia"/>
                      <w:color w:val="auto"/>
                      <w:kern w:val="0"/>
                      <w:lang w:bidi="ar"/>
                    </w:rPr>
                    <w:t>立德粉、钛白粉、铅铬黄、氧化铁系颜料制造。</w:t>
                  </w:r>
                </w:p>
              </w:tc>
              <w:tc>
                <w:tcPr>
                  <w:tcW w:w="1161" w:type="dxa"/>
                  <w:vMerge w:val="continue"/>
                  <w:tcBorders>
                    <w:tl2br w:val="nil"/>
                    <w:tr2bl w:val="nil"/>
                  </w:tcBorders>
                  <w:vAlign w:val="center"/>
                </w:tcPr>
                <w:p w14:paraId="3A84EDBC">
                  <w:pPr>
                    <w:widowControl/>
                    <w:adjustRightInd w:val="0"/>
                    <w:snapToGrid w:val="0"/>
                    <w:jc w:val="center"/>
                    <w:rPr>
                      <w:color w:val="auto"/>
                      <w:kern w:val="0"/>
                      <w:lang w:bidi="ar"/>
                    </w:rPr>
                  </w:pPr>
                </w:p>
              </w:tc>
            </w:tr>
            <w:tr w14:paraId="3A84EDC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BE">
                  <w:pPr>
                    <w:widowControl/>
                    <w:adjustRightInd w:val="0"/>
                    <w:snapToGrid w:val="0"/>
                    <w:jc w:val="center"/>
                    <w:rPr>
                      <w:color w:val="auto"/>
                      <w:kern w:val="0"/>
                      <w:lang w:bidi="ar"/>
                    </w:rPr>
                  </w:pPr>
                </w:p>
              </w:tc>
              <w:tc>
                <w:tcPr>
                  <w:tcW w:w="2927" w:type="dxa"/>
                  <w:tcBorders>
                    <w:tl2br w:val="nil"/>
                    <w:tr2bl w:val="nil"/>
                  </w:tcBorders>
                  <w:vAlign w:val="center"/>
                </w:tcPr>
                <w:p w14:paraId="3A84EDBF">
                  <w:pPr>
                    <w:widowControl/>
                    <w:adjustRightInd w:val="0"/>
                    <w:snapToGrid w:val="0"/>
                    <w:jc w:val="center"/>
                    <w:rPr>
                      <w:color w:val="auto"/>
                      <w:kern w:val="0"/>
                      <w:lang w:bidi="ar"/>
                    </w:rPr>
                  </w:pPr>
                  <w:r>
                    <w:rPr>
                      <w:rFonts w:hint="eastAsia"/>
                      <w:color w:val="auto"/>
                      <w:kern w:val="0"/>
                      <w:lang w:bidi="ar"/>
                    </w:rPr>
                    <w:t>初级形态塑料及合成树脂制造（2651）</w:t>
                  </w:r>
                </w:p>
              </w:tc>
              <w:tc>
                <w:tcPr>
                  <w:tcW w:w="2863" w:type="dxa"/>
                  <w:tcBorders>
                    <w:tl2br w:val="nil"/>
                    <w:tr2bl w:val="nil"/>
                  </w:tcBorders>
                  <w:vAlign w:val="center"/>
                </w:tcPr>
                <w:p w14:paraId="3A84EDC0">
                  <w:pPr>
                    <w:widowControl/>
                    <w:adjustRightInd w:val="0"/>
                    <w:snapToGrid w:val="0"/>
                    <w:jc w:val="center"/>
                    <w:rPr>
                      <w:color w:val="auto"/>
                      <w:kern w:val="0"/>
                      <w:lang w:bidi="ar"/>
                    </w:rPr>
                  </w:pPr>
                  <w:r>
                    <w:rPr>
                      <w:rFonts w:hint="eastAsia"/>
                      <w:color w:val="auto"/>
                      <w:kern w:val="0"/>
                      <w:lang w:bidi="ar"/>
                    </w:rPr>
                    <w:t>电石法聚氯乙烯制造。</w:t>
                  </w:r>
                </w:p>
              </w:tc>
              <w:tc>
                <w:tcPr>
                  <w:tcW w:w="1161" w:type="dxa"/>
                  <w:vMerge w:val="continue"/>
                  <w:tcBorders>
                    <w:tl2br w:val="nil"/>
                    <w:tr2bl w:val="nil"/>
                  </w:tcBorders>
                  <w:vAlign w:val="center"/>
                </w:tcPr>
                <w:p w14:paraId="3A84EDC1">
                  <w:pPr>
                    <w:widowControl/>
                    <w:adjustRightInd w:val="0"/>
                    <w:snapToGrid w:val="0"/>
                    <w:jc w:val="center"/>
                    <w:rPr>
                      <w:color w:val="auto"/>
                      <w:kern w:val="0"/>
                      <w:lang w:bidi="ar"/>
                    </w:rPr>
                  </w:pPr>
                </w:p>
              </w:tc>
            </w:tr>
            <w:tr w14:paraId="3A84EDC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C3">
                  <w:pPr>
                    <w:widowControl/>
                    <w:adjustRightInd w:val="0"/>
                    <w:snapToGrid w:val="0"/>
                    <w:jc w:val="center"/>
                    <w:rPr>
                      <w:color w:val="auto"/>
                      <w:kern w:val="0"/>
                      <w:lang w:bidi="ar"/>
                    </w:rPr>
                  </w:pPr>
                </w:p>
              </w:tc>
              <w:tc>
                <w:tcPr>
                  <w:tcW w:w="2927" w:type="dxa"/>
                  <w:tcBorders>
                    <w:tl2br w:val="nil"/>
                    <w:tr2bl w:val="nil"/>
                  </w:tcBorders>
                  <w:vAlign w:val="center"/>
                </w:tcPr>
                <w:p w14:paraId="3A84EDC4">
                  <w:pPr>
                    <w:widowControl/>
                    <w:adjustRightInd w:val="0"/>
                    <w:snapToGrid w:val="0"/>
                    <w:jc w:val="center"/>
                    <w:rPr>
                      <w:color w:val="auto"/>
                      <w:kern w:val="0"/>
                      <w:lang w:bidi="ar"/>
                    </w:rPr>
                  </w:pPr>
                  <w:r>
                    <w:rPr>
                      <w:rFonts w:hint="eastAsia"/>
                      <w:color w:val="auto"/>
                      <w:kern w:val="0"/>
                      <w:lang w:bidi="ar"/>
                    </w:rPr>
                    <w:t>合成橡胶制造（2652）</w:t>
                  </w:r>
                </w:p>
              </w:tc>
              <w:tc>
                <w:tcPr>
                  <w:tcW w:w="2863" w:type="dxa"/>
                  <w:tcBorders>
                    <w:tl2br w:val="nil"/>
                    <w:tr2bl w:val="nil"/>
                  </w:tcBorders>
                  <w:vAlign w:val="center"/>
                </w:tcPr>
                <w:p w14:paraId="3A84EDC5">
                  <w:pPr>
                    <w:widowControl/>
                    <w:adjustRightInd w:val="0"/>
                    <w:snapToGrid w:val="0"/>
                    <w:jc w:val="center"/>
                    <w:rPr>
                      <w:color w:val="auto"/>
                      <w:kern w:val="0"/>
                      <w:lang w:bidi="ar"/>
                    </w:rPr>
                  </w:pPr>
                  <w:r>
                    <w:rPr>
                      <w:rFonts w:hint="eastAsia"/>
                      <w:color w:val="auto"/>
                      <w:kern w:val="0"/>
                      <w:lang w:bidi="ar"/>
                    </w:rPr>
                    <w:t>四氯化碳溶剂法氯化橡胶制造。</w:t>
                  </w:r>
                </w:p>
              </w:tc>
              <w:tc>
                <w:tcPr>
                  <w:tcW w:w="1161" w:type="dxa"/>
                  <w:vMerge w:val="continue"/>
                  <w:tcBorders>
                    <w:tl2br w:val="nil"/>
                    <w:tr2bl w:val="nil"/>
                  </w:tcBorders>
                  <w:vAlign w:val="center"/>
                </w:tcPr>
                <w:p w14:paraId="3A84EDC6">
                  <w:pPr>
                    <w:widowControl/>
                    <w:adjustRightInd w:val="0"/>
                    <w:snapToGrid w:val="0"/>
                    <w:jc w:val="center"/>
                    <w:rPr>
                      <w:color w:val="auto"/>
                      <w:kern w:val="0"/>
                      <w:lang w:bidi="ar"/>
                    </w:rPr>
                  </w:pPr>
                </w:p>
              </w:tc>
            </w:tr>
            <w:tr w14:paraId="3A84ED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C8">
                  <w:pPr>
                    <w:widowControl/>
                    <w:adjustRightInd w:val="0"/>
                    <w:snapToGrid w:val="0"/>
                    <w:jc w:val="center"/>
                    <w:rPr>
                      <w:color w:val="auto"/>
                      <w:kern w:val="0"/>
                      <w:lang w:bidi="ar"/>
                    </w:rPr>
                  </w:pPr>
                </w:p>
              </w:tc>
              <w:tc>
                <w:tcPr>
                  <w:tcW w:w="2927" w:type="dxa"/>
                  <w:tcBorders>
                    <w:tl2br w:val="nil"/>
                    <w:tr2bl w:val="nil"/>
                  </w:tcBorders>
                  <w:vAlign w:val="center"/>
                </w:tcPr>
                <w:p w14:paraId="3A84EDC9">
                  <w:pPr>
                    <w:widowControl/>
                    <w:adjustRightInd w:val="0"/>
                    <w:snapToGrid w:val="0"/>
                    <w:jc w:val="center"/>
                    <w:rPr>
                      <w:color w:val="auto"/>
                      <w:kern w:val="0"/>
                      <w:lang w:bidi="ar"/>
                    </w:rPr>
                  </w:pPr>
                  <w:r>
                    <w:rPr>
                      <w:rFonts w:hint="eastAsia"/>
                      <w:color w:val="auto"/>
                      <w:kern w:val="0"/>
                      <w:lang w:bidi="ar"/>
                    </w:rPr>
                    <w:t>合成纤维单（聚合）体制造（2653）</w:t>
                  </w:r>
                </w:p>
              </w:tc>
              <w:tc>
                <w:tcPr>
                  <w:tcW w:w="2863" w:type="dxa"/>
                  <w:tcBorders>
                    <w:tl2br w:val="nil"/>
                    <w:tr2bl w:val="nil"/>
                  </w:tcBorders>
                  <w:vAlign w:val="center"/>
                </w:tcPr>
                <w:p w14:paraId="3A84EDCA">
                  <w:pPr>
                    <w:widowControl/>
                    <w:adjustRightInd w:val="0"/>
                    <w:snapToGrid w:val="0"/>
                    <w:jc w:val="center"/>
                    <w:rPr>
                      <w:color w:val="auto"/>
                      <w:kern w:val="0"/>
                      <w:lang w:bidi="ar"/>
                    </w:rPr>
                  </w:pPr>
                  <w:r>
                    <w:rPr>
                      <w:rFonts w:hint="eastAsia"/>
                      <w:color w:val="auto"/>
                      <w:kern w:val="0"/>
                      <w:lang w:bidi="ar"/>
                    </w:rPr>
                    <w:t>精对苯二甲酸（PTA）、乙二醇制造。</w:t>
                  </w:r>
                </w:p>
              </w:tc>
              <w:tc>
                <w:tcPr>
                  <w:tcW w:w="1161" w:type="dxa"/>
                  <w:vMerge w:val="continue"/>
                  <w:tcBorders>
                    <w:tl2br w:val="nil"/>
                    <w:tr2bl w:val="nil"/>
                  </w:tcBorders>
                  <w:vAlign w:val="center"/>
                </w:tcPr>
                <w:p w14:paraId="3A84EDCB">
                  <w:pPr>
                    <w:widowControl/>
                    <w:adjustRightInd w:val="0"/>
                    <w:snapToGrid w:val="0"/>
                    <w:jc w:val="center"/>
                    <w:rPr>
                      <w:color w:val="auto"/>
                      <w:kern w:val="0"/>
                      <w:lang w:bidi="ar"/>
                    </w:rPr>
                  </w:pPr>
                </w:p>
              </w:tc>
            </w:tr>
            <w:tr w14:paraId="3A84EDD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CD">
                  <w:pPr>
                    <w:widowControl/>
                    <w:adjustRightInd w:val="0"/>
                    <w:snapToGrid w:val="0"/>
                    <w:jc w:val="center"/>
                    <w:rPr>
                      <w:color w:val="auto"/>
                      <w:kern w:val="0"/>
                      <w:lang w:bidi="ar"/>
                    </w:rPr>
                  </w:pPr>
                </w:p>
              </w:tc>
              <w:tc>
                <w:tcPr>
                  <w:tcW w:w="2927" w:type="dxa"/>
                  <w:tcBorders>
                    <w:tl2br w:val="nil"/>
                    <w:tr2bl w:val="nil"/>
                  </w:tcBorders>
                  <w:vAlign w:val="center"/>
                </w:tcPr>
                <w:p w14:paraId="3A84EDCE">
                  <w:pPr>
                    <w:widowControl/>
                    <w:adjustRightInd w:val="0"/>
                    <w:snapToGrid w:val="0"/>
                    <w:jc w:val="center"/>
                    <w:rPr>
                      <w:color w:val="auto"/>
                      <w:kern w:val="0"/>
                      <w:lang w:bidi="ar"/>
                    </w:rPr>
                  </w:pPr>
                  <w:r>
                    <w:rPr>
                      <w:rFonts w:hint="eastAsia"/>
                      <w:color w:val="auto"/>
                      <w:kern w:val="0"/>
                      <w:lang w:bidi="ar"/>
                    </w:rPr>
                    <w:t>化学试剂和助剂制造（2661）</w:t>
                  </w:r>
                </w:p>
              </w:tc>
              <w:tc>
                <w:tcPr>
                  <w:tcW w:w="2863" w:type="dxa"/>
                  <w:tcBorders>
                    <w:tl2br w:val="nil"/>
                    <w:tr2bl w:val="nil"/>
                  </w:tcBorders>
                  <w:vAlign w:val="center"/>
                </w:tcPr>
                <w:p w14:paraId="3A84EDCF">
                  <w:pPr>
                    <w:widowControl/>
                    <w:adjustRightInd w:val="0"/>
                    <w:snapToGrid w:val="0"/>
                    <w:jc w:val="center"/>
                    <w:rPr>
                      <w:color w:val="auto"/>
                      <w:kern w:val="0"/>
                      <w:lang w:bidi="ar"/>
                    </w:rPr>
                  </w:pPr>
                  <w:r>
                    <w:rPr>
                      <w:rFonts w:hint="eastAsia"/>
                      <w:color w:val="auto"/>
                      <w:kern w:val="0"/>
                      <w:lang w:bidi="ar"/>
                    </w:rPr>
                    <w:t>炭黑制造。</w:t>
                  </w:r>
                </w:p>
              </w:tc>
              <w:tc>
                <w:tcPr>
                  <w:tcW w:w="1161" w:type="dxa"/>
                  <w:vMerge w:val="continue"/>
                  <w:tcBorders>
                    <w:tl2br w:val="nil"/>
                    <w:tr2bl w:val="nil"/>
                  </w:tcBorders>
                  <w:vAlign w:val="center"/>
                </w:tcPr>
                <w:p w14:paraId="3A84EDD0">
                  <w:pPr>
                    <w:widowControl/>
                    <w:adjustRightInd w:val="0"/>
                    <w:snapToGrid w:val="0"/>
                    <w:jc w:val="center"/>
                    <w:rPr>
                      <w:color w:val="auto"/>
                      <w:kern w:val="0"/>
                      <w:lang w:bidi="ar"/>
                    </w:rPr>
                  </w:pPr>
                </w:p>
              </w:tc>
            </w:tr>
            <w:tr w14:paraId="3A84EDD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restart"/>
                  <w:tcBorders>
                    <w:tl2br w:val="nil"/>
                    <w:tr2bl w:val="nil"/>
                  </w:tcBorders>
                  <w:vAlign w:val="center"/>
                </w:tcPr>
                <w:p w14:paraId="3A84EDD2">
                  <w:pPr>
                    <w:widowControl/>
                    <w:adjustRightInd w:val="0"/>
                    <w:snapToGrid w:val="0"/>
                    <w:jc w:val="center"/>
                    <w:rPr>
                      <w:color w:val="auto"/>
                      <w:kern w:val="0"/>
                      <w:lang w:bidi="ar"/>
                    </w:rPr>
                  </w:pPr>
                  <w:r>
                    <w:rPr>
                      <w:rFonts w:hint="eastAsia"/>
                      <w:color w:val="auto"/>
                      <w:kern w:val="0"/>
                      <w:lang w:bidi="ar"/>
                    </w:rPr>
                    <w:t>非金属矿物制品业</w:t>
                  </w:r>
                </w:p>
              </w:tc>
              <w:tc>
                <w:tcPr>
                  <w:tcW w:w="2927" w:type="dxa"/>
                  <w:tcBorders>
                    <w:tl2br w:val="nil"/>
                    <w:tr2bl w:val="nil"/>
                  </w:tcBorders>
                  <w:vAlign w:val="center"/>
                </w:tcPr>
                <w:p w14:paraId="3A84EDD3">
                  <w:pPr>
                    <w:widowControl/>
                    <w:adjustRightInd w:val="0"/>
                    <w:snapToGrid w:val="0"/>
                    <w:jc w:val="center"/>
                    <w:rPr>
                      <w:color w:val="auto"/>
                      <w:kern w:val="0"/>
                      <w:lang w:bidi="ar"/>
                    </w:rPr>
                  </w:pPr>
                  <w:r>
                    <w:rPr>
                      <w:rFonts w:hint="eastAsia"/>
                      <w:color w:val="auto"/>
                      <w:kern w:val="0"/>
                      <w:lang w:bidi="ar"/>
                    </w:rPr>
                    <w:t>水泥制造（3011）</w:t>
                  </w:r>
                </w:p>
              </w:tc>
              <w:tc>
                <w:tcPr>
                  <w:tcW w:w="2863" w:type="dxa"/>
                  <w:tcBorders>
                    <w:tl2br w:val="nil"/>
                    <w:tr2bl w:val="nil"/>
                  </w:tcBorders>
                  <w:vAlign w:val="center"/>
                </w:tcPr>
                <w:p w14:paraId="3A84EDD4">
                  <w:pPr>
                    <w:widowControl/>
                    <w:adjustRightInd w:val="0"/>
                    <w:snapToGrid w:val="0"/>
                    <w:jc w:val="center"/>
                    <w:rPr>
                      <w:color w:val="auto"/>
                      <w:kern w:val="0"/>
                      <w:lang w:bidi="ar"/>
                    </w:rPr>
                  </w:pPr>
                  <w:r>
                    <w:rPr>
                      <w:rFonts w:hint="eastAsia"/>
                      <w:color w:val="auto"/>
                      <w:kern w:val="0"/>
                      <w:lang w:bidi="ar"/>
                    </w:rPr>
                    <w:t>水泥熟料制造。</w:t>
                  </w:r>
                </w:p>
              </w:tc>
              <w:tc>
                <w:tcPr>
                  <w:tcW w:w="1161" w:type="dxa"/>
                  <w:vMerge w:val="continue"/>
                  <w:tcBorders>
                    <w:tl2br w:val="nil"/>
                    <w:tr2bl w:val="nil"/>
                  </w:tcBorders>
                  <w:vAlign w:val="center"/>
                </w:tcPr>
                <w:p w14:paraId="3A84EDD5">
                  <w:pPr>
                    <w:widowControl/>
                    <w:adjustRightInd w:val="0"/>
                    <w:snapToGrid w:val="0"/>
                    <w:jc w:val="center"/>
                    <w:rPr>
                      <w:color w:val="auto"/>
                      <w:kern w:val="0"/>
                      <w:lang w:bidi="ar"/>
                    </w:rPr>
                  </w:pPr>
                </w:p>
              </w:tc>
            </w:tr>
            <w:tr w14:paraId="3A84EDD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D7">
                  <w:pPr>
                    <w:widowControl/>
                    <w:adjustRightInd w:val="0"/>
                    <w:snapToGrid w:val="0"/>
                    <w:jc w:val="center"/>
                    <w:rPr>
                      <w:color w:val="auto"/>
                      <w:kern w:val="0"/>
                      <w:lang w:bidi="ar"/>
                    </w:rPr>
                  </w:pPr>
                </w:p>
              </w:tc>
              <w:tc>
                <w:tcPr>
                  <w:tcW w:w="2927" w:type="dxa"/>
                  <w:tcBorders>
                    <w:tl2br w:val="nil"/>
                    <w:tr2bl w:val="nil"/>
                  </w:tcBorders>
                  <w:vAlign w:val="center"/>
                </w:tcPr>
                <w:p w14:paraId="3A84EDD8">
                  <w:pPr>
                    <w:widowControl/>
                    <w:adjustRightInd w:val="0"/>
                    <w:snapToGrid w:val="0"/>
                    <w:jc w:val="center"/>
                    <w:rPr>
                      <w:color w:val="auto"/>
                      <w:kern w:val="0"/>
                      <w:lang w:bidi="ar"/>
                    </w:rPr>
                  </w:pPr>
                  <w:r>
                    <w:rPr>
                      <w:rFonts w:hint="eastAsia"/>
                      <w:color w:val="auto"/>
                      <w:kern w:val="0"/>
                      <w:lang w:bidi="ar"/>
                    </w:rPr>
                    <w:t>石灰和石膏制造（3012）</w:t>
                  </w:r>
                </w:p>
              </w:tc>
              <w:tc>
                <w:tcPr>
                  <w:tcW w:w="2863" w:type="dxa"/>
                  <w:tcBorders>
                    <w:tl2br w:val="nil"/>
                    <w:tr2bl w:val="nil"/>
                  </w:tcBorders>
                  <w:vAlign w:val="center"/>
                </w:tcPr>
                <w:p w14:paraId="3A84EDD9">
                  <w:pPr>
                    <w:widowControl/>
                    <w:adjustRightInd w:val="0"/>
                    <w:snapToGrid w:val="0"/>
                    <w:jc w:val="center"/>
                    <w:rPr>
                      <w:color w:val="auto"/>
                      <w:kern w:val="0"/>
                      <w:lang w:bidi="ar"/>
                    </w:rPr>
                  </w:pPr>
                  <w:r>
                    <w:rPr>
                      <w:rFonts w:hint="eastAsia"/>
                      <w:color w:val="auto"/>
                      <w:kern w:val="0"/>
                      <w:lang w:bidi="ar"/>
                    </w:rPr>
                    <w:t>石灰、建筑石膏制造。</w:t>
                  </w:r>
                </w:p>
              </w:tc>
              <w:tc>
                <w:tcPr>
                  <w:tcW w:w="1161" w:type="dxa"/>
                  <w:vMerge w:val="continue"/>
                  <w:tcBorders>
                    <w:tl2br w:val="nil"/>
                    <w:tr2bl w:val="nil"/>
                  </w:tcBorders>
                  <w:vAlign w:val="center"/>
                </w:tcPr>
                <w:p w14:paraId="3A84EDDA">
                  <w:pPr>
                    <w:widowControl/>
                    <w:adjustRightInd w:val="0"/>
                    <w:snapToGrid w:val="0"/>
                    <w:jc w:val="center"/>
                    <w:rPr>
                      <w:color w:val="auto"/>
                      <w:kern w:val="0"/>
                      <w:lang w:bidi="ar"/>
                    </w:rPr>
                  </w:pPr>
                </w:p>
              </w:tc>
            </w:tr>
            <w:tr w14:paraId="3A84EDE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DC">
                  <w:pPr>
                    <w:widowControl/>
                    <w:adjustRightInd w:val="0"/>
                    <w:snapToGrid w:val="0"/>
                    <w:jc w:val="center"/>
                    <w:rPr>
                      <w:color w:val="auto"/>
                      <w:kern w:val="0"/>
                      <w:lang w:bidi="ar"/>
                    </w:rPr>
                  </w:pPr>
                </w:p>
              </w:tc>
              <w:tc>
                <w:tcPr>
                  <w:tcW w:w="2927" w:type="dxa"/>
                  <w:tcBorders>
                    <w:tl2br w:val="nil"/>
                    <w:tr2bl w:val="nil"/>
                  </w:tcBorders>
                  <w:vAlign w:val="center"/>
                </w:tcPr>
                <w:p w14:paraId="3A84EDDD">
                  <w:pPr>
                    <w:widowControl/>
                    <w:adjustRightInd w:val="0"/>
                    <w:snapToGrid w:val="0"/>
                    <w:jc w:val="center"/>
                    <w:rPr>
                      <w:color w:val="auto"/>
                      <w:kern w:val="0"/>
                      <w:lang w:bidi="ar"/>
                    </w:rPr>
                  </w:pPr>
                  <w:r>
                    <w:rPr>
                      <w:rFonts w:hint="eastAsia"/>
                      <w:color w:val="auto"/>
                      <w:kern w:val="0"/>
                      <w:lang w:bidi="ar"/>
                    </w:rPr>
                    <w:t>粘土砖瓦及建筑砌块制造（3031）</w:t>
                  </w:r>
                </w:p>
              </w:tc>
              <w:tc>
                <w:tcPr>
                  <w:tcW w:w="2863" w:type="dxa"/>
                  <w:tcBorders>
                    <w:tl2br w:val="nil"/>
                    <w:tr2bl w:val="nil"/>
                  </w:tcBorders>
                  <w:vAlign w:val="center"/>
                </w:tcPr>
                <w:p w14:paraId="3A84EDDE">
                  <w:pPr>
                    <w:widowControl/>
                    <w:adjustRightInd w:val="0"/>
                    <w:snapToGrid w:val="0"/>
                    <w:jc w:val="center"/>
                    <w:rPr>
                      <w:color w:val="auto"/>
                      <w:kern w:val="0"/>
                      <w:lang w:bidi="ar"/>
                    </w:rPr>
                  </w:pPr>
                  <w:r>
                    <w:rPr>
                      <w:rFonts w:hint="eastAsia"/>
                      <w:color w:val="auto"/>
                      <w:kern w:val="0"/>
                      <w:lang w:bidi="ar"/>
                    </w:rPr>
                    <w:t>烧结砖瓦制造。</w:t>
                  </w:r>
                </w:p>
              </w:tc>
              <w:tc>
                <w:tcPr>
                  <w:tcW w:w="1161" w:type="dxa"/>
                  <w:vMerge w:val="continue"/>
                  <w:tcBorders>
                    <w:tl2br w:val="nil"/>
                    <w:tr2bl w:val="nil"/>
                  </w:tcBorders>
                  <w:vAlign w:val="center"/>
                </w:tcPr>
                <w:p w14:paraId="3A84EDDF">
                  <w:pPr>
                    <w:widowControl/>
                    <w:adjustRightInd w:val="0"/>
                    <w:snapToGrid w:val="0"/>
                    <w:jc w:val="center"/>
                    <w:rPr>
                      <w:color w:val="auto"/>
                      <w:kern w:val="0"/>
                      <w:lang w:bidi="ar"/>
                    </w:rPr>
                  </w:pPr>
                </w:p>
              </w:tc>
            </w:tr>
            <w:tr w14:paraId="3A84EDE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E1">
                  <w:pPr>
                    <w:widowControl/>
                    <w:adjustRightInd w:val="0"/>
                    <w:snapToGrid w:val="0"/>
                    <w:jc w:val="center"/>
                    <w:rPr>
                      <w:color w:val="auto"/>
                      <w:kern w:val="0"/>
                      <w:lang w:bidi="ar"/>
                    </w:rPr>
                  </w:pPr>
                </w:p>
              </w:tc>
              <w:tc>
                <w:tcPr>
                  <w:tcW w:w="2927" w:type="dxa"/>
                  <w:tcBorders>
                    <w:tl2br w:val="nil"/>
                    <w:tr2bl w:val="nil"/>
                  </w:tcBorders>
                  <w:vAlign w:val="center"/>
                </w:tcPr>
                <w:p w14:paraId="3A84EDE2">
                  <w:pPr>
                    <w:widowControl/>
                    <w:adjustRightInd w:val="0"/>
                    <w:snapToGrid w:val="0"/>
                    <w:jc w:val="center"/>
                    <w:rPr>
                      <w:color w:val="auto"/>
                      <w:kern w:val="0"/>
                      <w:lang w:bidi="ar"/>
                    </w:rPr>
                  </w:pPr>
                  <w:r>
                    <w:rPr>
                      <w:rFonts w:hint="eastAsia"/>
                      <w:color w:val="auto"/>
                      <w:kern w:val="0"/>
                      <w:lang w:bidi="ar"/>
                    </w:rPr>
                    <w:t>隔热和隔音材料制造（3034）</w:t>
                  </w:r>
                </w:p>
              </w:tc>
              <w:tc>
                <w:tcPr>
                  <w:tcW w:w="2863" w:type="dxa"/>
                  <w:tcBorders>
                    <w:tl2br w:val="nil"/>
                    <w:tr2bl w:val="nil"/>
                  </w:tcBorders>
                  <w:vAlign w:val="center"/>
                </w:tcPr>
                <w:p w14:paraId="3A84EDE3">
                  <w:pPr>
                    <w:widowControl/>
                    <w:adjustRightInd w:val="0"/>
                    <w:snapToGrid w:val="0"/>
                    <w:jc w:val="center"/>
                    <w:rPr>
                      <w:color w:val="auto"/>
                      <w:kern w:val="0"/>
                      <w:lang w:bidi="ar"/>
                    </w:rPr>
                  </w:pPr>
                  <w:r>
                    <w:rPr>
                      <w:rFonts w:hint="eastAsia"/>
                      <w:color w:val="auto"/>
                      <w:kern w:val="0"/>
                      <w:lang w:bidi="ar"/>
                    </w:rPr>
                    <w:t>烧结墙体材料、泡沫玻璃制造。</w:t>
                  </w:r>
                </w:p>
              </w:tc>
              <w:tc>
                <w:tcPr>
                  <w:tcW w:w="1161" w:type="dxa"/>
                  <w:vMerge w:val="continue"/>
                  <w:tcBorders>
                    <w:tl2br w:val="nil"/>
                    <w:tr2bl w:val="nil"/>
                  </w:tcBorders>
                  <w:vAlign w:val="center"/>
                </w:tcPr>
                <w:p w14:paraId="3A84EDE4">
                  <w:pPr>
                    <w:widowControl/>
                    <w:adjustRightInd w:val="0"/>
                    <w:snapToGrid w:val="0"/>
                    <w:jc w:val="center"/>
                    <w:rPr>
                      <w:color w:val="auto"/>
                      <w:kern w:val="0"/>
                      <w:lang w:bidi="ar"/>
                    </w:rPr>
                  </w:pPr>
                </w:p>
              </w:tc>
            </w:tr>
            <w:tr w14:paraId="3A84EDE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E6">
                  <w:pPr>
                    <w:widowControl/>
                    <w:adjustRightInd w:val="0"/>
                    <w:snapToGrid w:val="0"/>
                    <w:jc w:val="center"/>
                    <w:rPr>
                      <w:color w:val="auto"/>
                      <w:kern w:val="0"/>
                      <w:lang w:bidi="ar"/>
                    </w:rPr>
                  </w:pPr>
                </w:p>
              </w:tc>
              <w:tc>
                <w:tcPr>
                  <w:tcW w:w="2927" w:type="dxa"/>
                  <w:tcBorders>
                    <w:tl2br w:val="nil"/>
                    <w:tr2bl w:val="nil"/>
                  </w:tcBorders>
                  <w:vAlign w:val="center"/>
                </w:tcPr>
                <w:p w14:paraId="3A84EDE7">
                  <w:pPr>
                    <w:widowControl/>
                    <w:adjustRightInd w:val="0"/>
                    <w:snapToGrid w:val="0"/>
                    <w:jc w:val="center"/>
                    <w:rPr>
                      <w:color w:val="auto"/>
                      <w:kern w:val="0"/>
                      <w:lang w:bidi="ar"/>
                    </w:rPr>
                  </w:pPr>
                  <w:r>
                    <w:rPr>
                      <w:rFonts w:hint="eastAsia"/>
                      <w:color w:val="auto"/>
                      <w:kern w:val="0"/>
                      <w:lang w:bidi="ar"/>
                    </w:rPr>
                    <w:t>平板玻璃制造（3041）</w:t>
                  </w:r>
                </w:p>
              </w:tc>
              <w:tc>
                <w:tcPr>
                  <w:tcW w:w="2863" w:type="dxa"/>
                  <w:tcBorders>
                    <w:tl2br w:val="nil"/>
                    <w:tr2bl w:val="nil"/>
                  </w:tcBorders>
                  <w:vAlign w:val="center"/>
                </w:tcPr>
                <w:p w14:paraId="3A84EDE8">
                  <w:pPr>
                    <w:widowControl/>
                    <w:adjustRightInd w:val="0"/>
                    <w:snapToGrid w:val="0"/>
                    <w:jc w:val="center"/>
                    <w:rPr>
                      <w:color w:val="auto"/>
                      <w:kern w:val="0"/>
                      <w:lang w:bidi="ar"/>
                    </w:rPr>
                  </w:pPr>
                  <w:r>
                    <w:rPr>
                      <w:rFonts w:hint="eastAsia"/>
                      <w:color w:val="auto"/>
                      <w:kern w:val="0"/>
                      <w:lang w:bidi="ar"/>
                    </w:rPr>
                    <w:t>仅切割、打磨、成型的除外；光伏玻璃制造、基板玻璃制造除外。</w:t>
                  </w:r>
                </w:p>
              </w:tc>
              <w:tc>
                <w:tcPr>
                  <w:tcW w:w="1161" w:type="dxa"/>
                  <w:vMerge w:val="continue"/>
                  <w:tcBorders>
                    <w:tl2br w:val="nil"/>
                    <w:tr2bl w:val="nil"/>
                  </w:tcBorders>
                  <w:vAlign w:val="center"/>
                </w:tcPr>
                <w:p w14:paraId="3A84EDE9">
                  <w:pPr>
                    <w:widowControl/>
                    <w:adjustRightInd w:val="0"/>
                    <w:snapToGrid w:val="0"/>
                    <w:jc w:val="center"/>
                    <w:rPr>
                      <w:color w:val="auto"/>
                      <w:kern w:val="0"/>
                      <w:lang w:bidi="ar"/>
                    </w:rPr>
                  </w:pPr>
                </w:p>
              </w:tc>
            </w:tr>
            <w:tr w14:paraId="3A84EDE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EB">
                  <w:pPr>
                    <w:widowControl/>
                    <w:adjustRightInd w:val="0"/>
                    <w:snapToGrid w:val="0"/>
                    <w:jc w:val="center"/>
                    <w:rPr>
                      <w:color w:val="auto"/>
                      <w:kern w:val="0"/>
                      <w:lang w:bidi="ar"/>
                    </w:rPr>
                  </w:pPr>
                </w:p>
              </w:tc>
              <w:tc>
                <w:tcPr>
                  <w:tcW w:w="2927" w:type="dxa"/>
                  <w:tcBorders>
                    <w:tl2br w:val="nil"/>
                    <w:tr2bl w:val="nil"/>
                  </w:tcBorders>
                  <w:vAlign w:val="center"/>
                </w:tcPr>
                <w:p w14:paraId="3A84EDEC">
                  <w:pPr>
                    <w:widowControl/>
                    <w:adjustRightInd w:val="0"/>
                    <w:snapToGrid w:val="0"/>
                    <w:jc w:val="center"/>
                    <w:rPr>
                      <w:color w:val="auto"/>
                      <w:kern w:val="0"/>
                      <w:lang w:bidi="ar"/>
                    </w:rPr>
                  </w:pPr>
                  <w:r>
                    <w:rPr>
                      <w:rFonts w:hint="eastAsia"/>
                      <w:color w:val="auto"/>
                      <w:kern w:val="0"/>
                      <w:lang w:bidi="ar"/>
                    </w:rPr>
                    <w:t>玻璃纤维及制品制造（3061）</w:t>
                  </w:r>
                </w:p>
              </w:tc>
              <w:tc>
                <w:tcPr>
                  <w:tcW w:w="2863" w:type="dxa"/>
                  <w:tcBorders>
                    <w:tl2br w:val="nil"/>
                    <w:tr2bl w:val="nil"/>
                  </w:tcBorders>
                  <w:vAlign w:val="center"/>
                </w:tcPr>
                <w:p w14:paraId="3A84EDED">
                  <w:pPr>
                    <w:widowControl/>
                    <w:adjustRightInd w:val="0"/>
                    <w:snapToGrid w:val="0"/>
                    <w:jc w:val="center"/>
                    <w:rPr>
                      <w:color w:val="auto"/>
                      <w:kern w:val="0"/>
                      <w:lang w:bidi="ar"/>
                    </w:rPr>
                  </w:pPr>
                  <w:r>
                    <w:rPr>
                      <w:rFonts w:hint="eastAsia"/>
                      <w:color w:val="auto"/>
                      <w:kern w:val="0"/>
                      <w:lang w:bidi="ar"/>
                    </w:rPr>
                    <w:t>《产业结构调整指导目录（2024年本）》中鼓励类池窑拉丝、高性能及特种玻璃纤维制造除外；玻璃纤维制品制造除外。</w:t>
                  </w:r>
                </w:p>
              </w:tc>
              <w:tc>
                <w:tcPr>
                  <w:tcW w:w="1161" w:type="dxa"/>
                  <w:vMerge w:val="continue"/>
                  <w:tcBorders>
                    <w:tl2br w:val="nil"/>
                    <w:tr2bl w:val="nil"/>
                  </w:tcBorders>
                  <w:vAlign w:val="center"/>
                </w:tcPr>
                <w:p w14:paraId="3A84EDEE">
                  <w:pPr>
                    <w:widowControl/>
                    <w:adjustRightInd w:val="0"/>
                    <w:snapToGrid w:val="0"/>
                    <w:jc w:val="center"/>
                    <w:rPr>
                      <w:color w:val="auto"/>
                      <w:kern w:val="0"/>
                      <w:lang w:bidi="ar"/>
                    </w:rPr>
                  </w:pPr>
                </w:p>
              </w:tc>
            </w:tr>
            <w:tr w14:paraId="3A84EDF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F0">
                  <w:pPr>
                    <w:widowControl/>
                    <w:adjustRightInd w:val="0"/>
                    <w:snapToGrid w:val="0"/>
                    <w:jc w:val="center"/>
                    <w:rPr>
                      <w:color w:val="auto"/>
                      <w:kern w:val="0"/>
                      <w:lang w:bidi="ar"/>
                    </w:rPr>
                  </w:pPr>
                </w:p>
              </w:tc>
              <w:tc>
                <w:tcPr>
                  <w:tcW w:w="2927" w:type="dxa"/>
                  <w:tcBorders>
                    <w:tl2br w:val="nil"/>
                    <w:tr2bl w:val="nil"/>
                  </w:tcBorders>
                  <w:vAlign w:val="center"/>
                </w:tcPr>
                <w:p w14:paraId="3A84EDF1">
                  <w:pPr>
                    <w:widowControl/>
                    <w:adjustRightInd w:val="0"/>
                    <w:snapToGrid w:val="0"/>
                    <w:jc w:val="center"/>
                    <w:rPr>
                      <w:color w:val="auto"/>
                      <w:kern w:val="0"/>
                      <w:lang w:bidi="ar"/>
                    </w:rPr>
                  </w:pPr>
                  <w:r>
                    <w:rPr>
                      <w:rFonts w:hint="eastAsia"/>
                      <w:color w:val="auto"/>
                      <w:kern w:val="0"/>
                      <w:lang w:bidi="ar"/>
                    </w:rPr>
                    <w:t>建筑陶瓷制品制造（3071）</w:t>
                  </w:r>
                </w:p>
              </w:tc>
              <w:tc>
                <w:tcPr>
                  <w:tcW w:w="2863" w:type="dxa"/>
                  <w:tcBorders>
                    <w:tl2br w:val="nil"/>
                    <w:tr2bl w:val="nil"/>
                  </w:tcBorders>
                  <w:vAlign w:val="center"/>
                </w:tcPr>
                <w:p w14:paraId="3A84EDF2">
                  <w:pPr>
                    <w:widowControl/>
                    <w:adjustRightInd w:val="0"/>
                    <w:snapToGrid w:val="0"/>
                    <w:jc w:val="center"/>
                    <w:rPr>
                      <w:color w:val="auto"/>
                      <w:kern w:val="0"/>
                      <w:lang w:bidi="ar"/>
                    </w:rPr>
                  </w:pPr>
                  <w:r>
                    <w:rPr>
                      <w:rFonts w:hint="eastAsia"/>
                      <w:color w:val="auto"/>
                      <w:kern w:val="0"/>
                      <w:lang w:bidi="ar"/>
                    </w:rPr>
                    <w:t>未经高温烧结的发泡陶瓷板制造除外。</w:t>
                  </w:r>
                </w:p>
              </w:tc>
              <w:tc>
                <w:tcPr>
                  <w:tcW w:w="1161" w:type="dxa"/>
                  <w:vMerge w:val="continue"/>
                  <w:tcBorders>
                    <w:tl2br w:val="nil"/>
                    <w:tr2bl w:val="nil"/>
                  </w:tcBorders>
                  <w:vAlign w:val="center"/>
                </w:tcPr>
                <w:p w14:paraId="3A84EDF3">
                  <w:pPr>
                    <w:widowControl/>
                    <w:adjustRightInd w:val="0"/>
                    <w:snapToGrid w:val="0"/>
                    <w:jc w:val="center"/>
                    <w:rPr>
                      <w:color w:val="auto"/>
                      <w:kern w:val="0"/>
                      <w:lang w:bidi="ar"/>
                    </w:rPr>
                  </w:pPr>
                </w:p>
              </w:tc>
            </w:tr>
            <w:tr w14:paraId="3A84ED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F5">
                  <w:pPr>
                    <w:widowControl/>
                    <w:adjustRightInd w:val="0"/>
                    <w:snapToGrid w:val="0"/>
                    <w:jc w:val="center"/>
                    <w:rPr>
                      <w:color w:val="auto"/>
                      <w:kern w:val="0"/>
                      <w:lang w:bidi="ar"/>
                    </w:rPr>
                  </w:pPr>
                </w:p>
              </w:tc>
              <w:tc>
                <w:tcPr>
                  <w:tcW w:w="2927" w:type="dxa"/>
                  <w:tcBorders>
                    <w:tl2br w:val="nil"/>
                    <w:tr2bl w:val="nil"/>
                  </w:tcBorders>
                  <w:vAlign w:val="center"/>
                </w:tcPr>
                <w:p w14:paraId="3A84EDF6">
                  <w:pPr>
                    <w:widowControl/>
                    <w:adjustRightInd w:val="0"/>
                    <w:snapToGrid w:val="0"/>
                    <w:jc w:val="center"/>
                    <w:rPr>
                      <w:color w:val="auto"/>
                      <w:kern w:val="0"/>
                      <w:lang w:bidi="ar"/>
                    </w:rPr>
                  </w:pPr>
                  <w:r>
                    <w:rPr>
                      <w:rFonts w:hint="eastAsia"/>
                      <w:color w:val="auto"/>
                      <w:kern w:val="0"/>
                      <w:lang w:bidi="ar"/>
                    </w:rPr>
                    <w:t>卫生陶瓷制品制造（3072）</w:t>
                  </w:r>
                </w:p>
              </w:tc>
              <w:tc>
                <w:tcPr>
                  <w:tcW w:w="2863" w:type="dxa"/>
                  <w:tcBorders>
                    <w:tl2br w:val="nil"/>
                    <w:tr2bl w:val="nil"/>
                  </w:tcBorders>
                  <w:vAlign w:val="center"/>
                </w:tcPr>
                <w:p w14:paraId="3A84EDF7">
                  <w:pPr>
                    <w:widowControl/>
                    <w:adjustRightInd w:val="0"/>
                    <w:snapToGrid w:val="0"/>
                    <w:jc w:val="center"/>
                    <w:rPr>
                      <w:color w:val="auto"/>
                      <w:kern w:val="0"/>
                      <w:lang w:bidi="ar"/>
                    </w:rPr>
                  </w:pPr>
                  <w:r>
                    <w:rPr>
                      <w:rFonts w:hint="eastAsia"/>
                      <w:color w:val="auto"/>
                      <w:kern w:val="0"/>
                      <w:lang w:bidi="ar"/>
                    </w:rPr>
                    <w:t>卫生陶瓷制造。</w:t>
                  </w:r>
                </w:p>
              </w:tc>
              <w:tc>
                <w:tcPr>
                  <w:tcW w:w="1161" w:type="dxa"/>
                  <w:vMerge w:val="continue"/>
                  <w:tcBorders>
                    <w:tl2br w:val="nil"/>
                    <w:tr2bl w:val="nil"/>
                  </w:tcBorders>
                  <w:vAlign w:val="center"/>
                </w:tcPr>
                <w:p w14:paraId="3A84EDF8">
                  <w:pPr>
                    <w:widowControl/>
                    <w:adjustRightInd w:val="0"/>
                    <w:snapToGrid w:val="0"/>
                    <w:jc w:val="center"/>
                    <w:rPr>
                      <w:color w:val="auto"/>
                      <w:kern w:val="0"/>
                      <w:lang w:bidi="ar"/>
                    </w:rPr>
                  </w:pPr>
                </w:p>
              </w:tc>
            </w:tr>
            <w:tr w14:paraId="3A84EDF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FA">
                  <w:pPr>
                    <w:widowControl/>
                    <w:adjustRightInd w:val="0"/>
                    <w:snapToGrid w:val="0"/>
                    <w:jc w:val="center"/>
                    <w:rPr>
                      <w:color w:val="auto"/>
                      <w:kern w:val="0"/>
                      <w:lang w:bidi="ar"/>
                    </w:rPr>
                  </w:pPr>
                </w:p>
              </w:tc>
              <w:tc>
                <w:tcPr>
                  <w:tcW w:w="2927" w:type="dxa"/>
                  <w:tcBorders>
                    <w:tl2br w:val="nil"/>
                    <w:tr2bl w:val="nil"/>
                  </w:tcBorders>
                  <w:vAlign w:val="center"/>
                </w:tcPr>
                <w:p w14:paraId="3A84EDFB">
                  <w:pPr>
                    <w:widowControl/>
                    <w:adjustRightInd w:val="0"/>
                    <w:snapToGrid w:val="0"/>
                    <w:jc w:val="center"/>
                    <w:rPr>
                      <w:color w:val="auto"/>
                      <w:kern w:val="0"/>
                      <w:lang w:bidi="ar"/>
                    </w:rPr>
                  </w:pPr>
                  <w:r>
                    <w:rPr>
                      <w:rFonts w:hint="eastAsia"/>
                      <w:color w:val="auto"/>
                      <w:kern w:val="0"/>
                      <w:lang w:bidi="ar"/>
                    </w:rPr>
                    <w:t>耐火陶瓷制品及其他耐火材料制造（3089）</w:t>
                  </w:r>
                </w:p>
              </w:tc>
              <w:tc>
                <w:tcPr>
                  <w:tcW w:w="2863" w:type="dxa"/>
                  <w:tcBorders>
                    <w:tl2br w:val="nil"/>
                    <w:tr2bl w:val="nil"/>
                  </w:tcBorders>
                  <w:vAlign w:val="center"/>
                </w:tcPr>
                <w:p w14:paraId="3A84EDFC">
                  <w:pPr>
                    <w:widowControl/>
                    <w:adjustRightInd w:val="0"/>
                    <w:snapToGrid w:val="0"/>
                    <w:jc w:val="center"/>
                    <w:rPr>
                      <w:color w:val="auto"/>
                      <w:kern w:val="0"/>
                      <w:lang w:bidi="ar"/>
                    </w:rPr>
                  </w:pPr>
                  <w:r>
                    <w:rPr>
                      <w:rFonts w:hint="eastAsia"/>
                      <w:color w:val="auto"/>
                      <w:kern w:val="0"/>
                      <w:lang w:bidi="ar"/>
                    </w:rPr>
                    <w:t>烧结粘土砖、烧结镁质砖、烧结高铝砖、烧结硅砖制造。</w:t>
                  </w:r>
                </w:p>
              </w:tc>
              <w:tc>
                <w:tcPr>
                  <w:tcW w:w="1161" w:type="dxa"/>
                  <w:vMerge w:val="continue"/>
                  <w:tcBorders>
                    <w:tl2br w:val="nil"/>
                    <w:tr2bl w:val="nil"/>
                  </w:tcBorders>
                  <w:vAlign w:val="center"/>
                </w:tcPr>
                <w:p w14:paraId="3A84EDFD">
                  <w:pPr>
                    <w:widowControl/>
                    <w:adjustRightInd w:val="0"/>
                    <w:snapToGrid w:val="0"/>
                    <w:jc w:val="center"/>
                    <w:rPr>
                      <w:color w:val="auto"/>
                      <w:kern w:val="0"/>
                      <w:lang w:bidi="ar"/>
                    </w:rPr>
                  </w:pPr>
                </w:p>
              </w:tc>
            </w:tr>
            <w:tr w14:paraId="3A84EE0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DFF">
                  <w:pPr>
                    <w:widowControl/>
                    <w:adjustRightInd w:val="0"/>
                    <w:snapToGrid w:val="0"/>
                    <w:jc w:val="center"/>
                    <w:rPr>
                      <w:color w:val="auto"/>
                      <w:kern w:val="0"/>
                      <w:lang w:bidi="ar"/>
                    </w:rPr>
                  </w:pPr>
                </w:p>
              </w:tc>
              <w:tc>
                <w:tcPr>
                  <w:tcW w:w="2927" w:type="dxa"/>
                  <w:tcBorders>
                    <w:tl2br w:val="nil"/>
                    <w:tr2bl w:val="nil"/>
                  </w:tcBorders>
                  <w:vAlign w:val="center"/>
                </w:tcPr>
                <w:p w14:paraId="3A84EE00">
                  <w:pPr>
                    <w:widowControl/>
                    <w:adjustRightInd w:val="0"/>
                    <w:snapToGrid w:val="0"/>
                    <w:jc w:val="center"/>
                    <w:rPr>
                      <w:color w:val="auto"/>
                      <w:kern w:val="0"/>
                      <w:lang w:bidi="ar"/>
                    </w:rPr>
                  </w:pPr>
                  <w:r>
                    <w:rPr>
                      <w:rFonts w:hint="eastAsia"/>
                      <w:color w:val="auto"/>
                      <w:kern w:val="0"/>
                      <w:lang w:bidi="ar"/>
                    </w:rPr>
                    <w:t>石墨及碳素制品制造（3091）</w:t>
                  </w:r>
                </w:p>
              </w:tc>
              <w:tc>
                <w:tcPr>
                  <w:tcW w:w="2863" w:type="dxa"/>
                  <w:tcBorders>
                    <w:tl2br w:val="nil"/>
                    <w:tr2bl w:val="nil"/>
                  </w:tcBorders>
                  <w:vAlign w:val="center"/>
                </w:tcPr>
                <w:p w14:paraId="3A84EE01">
                  <w:pPr>
                    <w:widowControl/>
                    <w:adjustRightInd w:val="0"/>
                    <w:snapToGrid w:val="0"/>
                    <w:jc w:val="center"/>
                    <w:rPr>
                      <w:color w:val="auto"/>
                      <w:kern w:val="0"/>
                      <w:lang w:bidi="ar"/>
                    </w:rPr>
                  </w:pPr>
                  <w:r>
                    <w:rPr>
                      <w:rFonts w:hint="eastAsia"/>
                      <w:color w:val="auto"/>
                      <w:kern w:val="0"/>
                      <w:lang w:bidi="ar"/>
                    </w:rPr>
                    <w:t>碳块、碳电极、碳糊、铝用碳素制造。</w:t>
                  </w:r>
                </w:p>
              </w:tc>
              <w:tc>
                <w:tcPr>
                  <w:tcW w:w="1161" w:type="dxa"/>
                  <w:vMerge w:val="continue"/>
                  <w:tcBorders>
                    <w:tl2br w:val="nil"/>
                    <w:tr2bl w:val="nil"/>
                  </w:tcBorders>
                  <w:vAlign w:val="center"/>
                </w:tcPr>
                <w:p w14:paraId="3A84EE02">
                  <w:pPr>
                    <w:widowControl/>
                    <w:adjustRightInd w:val="0"/>
                    <w:snapToGrid w:val="0"/>
                    <w:jc w:val="center"/>
                    <w:rPr>
                      <w:color w:val="auto"/>
                      <w:kern w:val="0"/>
                      <w:lang w:bidi="ar"/>
                    </w:rPr>
                  </w:pPr>
                </w:p>
              </w:tc>
            </w:tr>
            <w:tr w14:paraId="3A84EE0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restart"/>
                  <w:tcBorders>
                    <w:tl2br w:val="nil"/>
                    <w:tr2bl w:val="nil"/>
                  </w:tcBorders>
                  <w:vAlign w:val="center"/>
                </w:tcPr>
                <w:p w14:paraId="3A84EE04">
                  <w:pPr>
                    <w:widowControl/>
                    <w:adjustRightInd w:val="0"/>
                    <w:snapToGrid w:val="0"/>
                    <w:jc w:val="center"/>
                    <w:rPr>
                      <w:color w:val="auto"/>
                      <w:kern w:val="0"/>
                      <w:lang w:bidi="ar"/>
                    </w:rPr>
                  </w:pPr>
                  <w:r>
                    <w:rPr>
                      <w:rFonts w:hint="eastAsia"/>
                      <w:color w:val="auto"/>
                      <w:kern w:val="0"/>
                      <w:lang w:bidi="ar"/>
                    </w:rPr>
                    <w:t>黑色金属冶炼和压延加工业</w:t>
                  </w:r>
                </w:p>
              </w:tc>
              <w:tc>
                <w:tcPr>
                  <w:tcW w:w="2927" w:type="dxa"/>
                  <w:tcBorders>
                    <w:tl2br w:val="nil"/>
                    <w:tr2bl w:val="nil"/>
                  </w:tcBorders>
                  <w:vAlign w:val="center"/>
                </w:tcPr>
                <w:p w14:paraId="3A84EE05">
                  <w:pPr>
                    <w:widowControl/>
                    <w:adjustRightInd w:val="0"/>
                    <w:snapToGrid w:val="0"/>
                    <w:jc w:val="center"/>
                    <w:rPr>
                      <w:color w:val="auto"/>
                      <w:kern w:val="0"/>
                      <w:lang w:bidi="ar"/>
                    </w:rPr>
                  </w:pPr>
                  <w:r>
                    <w:rPr>
                      <w:rFonts w:hint="eastAsia"/>
                      <w:color w:val="auto"/>
                      <w:kern w:val="0"/>
                      <w:lang w:bidi="ar"/>
                    </w:rPr>
                    <w:t>炼铁（3110）</w:t>
                  </w:r>
                </w:p>
              </w:tc>
              <w:tc>
                <w:tcPr>
                  <w:tcW w:w="2863" w:type="dxa"/>
                  <w:tcBorders>
                    <w:tl2br w:val="nil"/>
                    <w:tr2bl w:val="nil"/>
                  </w:tcBorders>
                  <w:vAlign w:val="center"/>
                </w:tcPr>
                <w:p w14:paraId="3A84EE06">
                  <w:pPr>
                    <w:widowControl/>
                    <w:adjustRightInd w:val="0"/>
                    <w:snapToGrid w:val="0"/>
                    <w:jc w:val="center"/>
                    <w:rPr>
                      <w:color w:val="auto"/>
                      <w:kern w:val="0"/>
                      <w:lang w:bidi="ar"/>
                    </w:rPr>
                  </w:pPr>
                  <w:r>
                    <w:rPr>
                      <w:rFonts w:hint="eastAsia"/>
                      <w:color w:val="auto"/>
                      <w:kern w:val="0"/>
                      <w:lang w:bidi="ar"/>
                    </w:rPr>
                    <w:t>带式焙烧等高效球团矿生产及高炉高比例球团冶炼除外；气基直接还原低碳炼铁（不含煤制气）、高炉富氢喷吹冶炼除外；4N级以上高纯铁制造除外。</w:t>
                  </w:r>
                </w:p>
              </w:tc>
              <w:tc>
                <w:tcPr>
                  <w:tcW w:w="1161" w:type="dxa"/>
                  <w:vMerge w:val="continue"/>
                  <w:tcBorders>
                    <w:tl2br w:val="nil"/>
                    <w:tr2bl w:val="nil"/>
                  </w:tcBorders>
                  <w:vAlign w:val="center"/>
                </w:tcPr>
                <w:p w14:paraId="3A84EE07">
                  <w:pPr>
                    <w:widowControl/>
                    <w:adjustRightInd w:val="0"/>
                    <w:snapToGrid w:val="0"/>
                    <w:jc w:val="center"/>
                    <w:rPr>
                      <w:color w:val="auto"/>
                      <w:kern w:val="0"/>
                      <w:lang w:bidi="ar"/>
                    </w:rPr>
                  </w:pPr>
                </w:p>
              </w:tc>
            </w:tr>
            <w:tr w14:paraId="3A84EE0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E09">
                  <w:pPr>
                    <w:widowControl/>
                    <w:adjustRightInd w:val="0"/>
                    <w:snapToGrid w:val="0"/>
                    <w:jc w:val="center"/>
                    <w:rPr>
                      <w:color w:val="auto"/>
                      <w:kern w:val="0"/>
                      <w:lang w:bidi="ar"/>
                    </w:rPr>
                  </w:pPr>
                </w:p>
              </w:tc>
              <w:tc>
                <w:tcPr>
                  <w:tcW w:w="2927" w:type="dxa"/>
                  <w:tcBorders>
                    <w:tl2br w:val="nil"/>
                    <w:tr2bl w:val="nil"/>
                  </w:tcBorders>
                  <w:vAlign w:val="center"/>
                </w:tcPr>
                <w:p w14:paraId="3A84EE0A">
                  <w:pPr>
                    <w:widowControl/>
                    <w:adjustRightInd w:val="0"/>
                    <w:snapToGrid w:val="0"/>
                    <w:jc w:val="center"/>
                    <w:rPr>
                      <w:color w:val="auto"/>
                      <w:kern w:val="0"/>
                      <w:lang w:bidi="ar"/>
                    </w:rPr>
                  </w:pPr>
                  <w:r>
                    <w:rPr>
                      <w:rFonts w:hint="eastAsia"/>
                      <w:color w:val="auto"/>
                      <w:kern w:val="0"/>
                      <w:lang w:bidi="ar"/>
                    </w:rPr>
                    <w:t>炼钢（3120）</w:t>
                  </w:r>
                </w:p>
              </w:tc>
              <w:tc>
                <w:tcPr>
                  <w:tcW w:w="2863" w:type="dxa"/>
                  <w:tcBorders>
                    <w:tl2br w:val="nil"/>
                    <w:tr2bl w:val="nil"/>
                  </w:tcBorders>
                  <w:vAlign w:val="center"/>
                </w:tcPr>
                <w:p w14:paraId="3A84EE0B">
                  <w:pPr>
                    <w:widowControl/>
                    <w:adjustRightInd w:val="0"/>
                    <w:snapToGrid w:val="0"/>
                    <w:jc w:val="center"/>
                    <w:rPr>
                      <w:color w:val="auto"/>
                      <w:kern w:val="0"/>
                      <w:lang w:bidi="ar"/>
                    </w:rPr>
                  </w:pPr>
                  <w:r>
                    <w:rPr>
                      <w:rFonts w:hint="eastAsia"/>
                      <w:color w:val="auto"/>
                      <w:kern w:val="0"/>
                      <w:lang w:bidi="ar"/>
                    </w:rPr>
                    <w:t>短流程炼钢、长流程炼钢改短流程炼钢，以及短流程炼钢技改提升的除外；航空轴承用钢、航空航天用超高强度钢、高温合金、精密合金制造除外；不增加炼钢产能精炼项目（使用LF、RH、VD、VOD等精炼设备）除外。</w:t>
                  </w:r>
                </w:p>
              </w:tc>
              <w:tc>
                <w:tcPr>
                  <w:tcW w:w="1161" w:type="dxa"/>
                  <w:vMerge w:val="continue"/>
                  <w:tcBorders>
                    <w:tl2br w:val="nil"/>
                    <w:tr2bl w:val="nil"/>
                  </w:tcBorders>
                  <w:vAlign w:val="center"/>
                </w:tcPr>
                <w:p w14:paraId="3A84EE0C">
                  <w:pPr>
                    <w:widowControl/>
                    <w:adjustRightInd w:val="0"/>
                    <w:snapToGrid w:val="0"/>
                    <w:jc w:val="center"/>
                    <w:rPr>
                      <w:color w:val="auto"/>
                      <w:kern w:val="0"/>
                      <w:lang w:bidi="ar"/>
                    </w:rPr>
                  </w:pPr>
                </w:p>
              </w:tc>
            </w:tr>
            <w:tr w14:paraId="3A84EE1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E0E">
                  <w:pPr>
                    <w:widowControl/>
                    <w:adjustRightInd w:val="0"/>
                    <w:snapToGrid w:val="0"/>
                    <w:jc w:val="center"/>
                    <w:rPr>
                      <w:color w:val="auto"/>
                      <w:kern w:val="0"/>
                      <w:lang w:bidi="ar"/>
                    </w:rPr>
                  </w:pPr>
                </w:p>
              </w:tc>
              <w:tc>
                <w:tcPr>
                  <w:tcW w:w="2927" w:type="dxa"/>
                  <w:tcBorders>
                    <w:tl2br w:val="nil"/>
                    <w:tr2bl w:val="nil"/>
                  </w:tcBorders>
                  <w:vAlign w:val="center"/>
                </w:tcPr>
                <w:p w14:paraId="3A84EE0F">
                  <w:pPr>
                    <w:widowControl/>
                    <w:adjustRightInd w:val="0"/>
                    <w:snapToGrid w:val="0"/>
                    <w:jc w:val="center"/>
                    <w:rPr>
                      <w:color w:val="auto"/>
                      <w:kern w:val="0"/>
                      <w:lang w:bidi="ar"/>
                    </w:rPr>
                  </w:pPr>
                  <w:r>
                    <w:rPr>
                      <w:rFonts w:hint="eastAsia"/>
                      <w:color w:val="auto"/>
                      <w:kern w:val="0"/>
                      <w:lang w:bidi="ar"/>
                    </w:rPr>
                    <w:t>钢压延加工（3130）</w:t>
                  </w:r>
                </w:p>
              </w:tc>
              <w:tc>
                <w:tcPr>
                  <w:tcW w:w="2863" w:type="dxa"/>
                  <w:tcBorders>
                    <w:tl2br w:val="nil"/>
                    <w:tr2bl w:val="nil"/>
                  </w:tcBorders>
                  <w:vAlign w:val="center"/>
                </w:tcPr>
                <w:p w14:paraId="3A84EE10">
                  <w:pPr>
                    <w:widowControl/>
                    <w:adjustRightInd w:val="0"/>
                    <w:snapToGrid w:val="0"/>
                    <w:jc w:val="center"/>
                    <w:rPr>
                      <w:color w:val="auto"/>
                      <w:kern w:val="0"/>
                      <w:lang w:bidi="ar"/>
                    </w:rPr>
                  </w:pPr>
                  <w:r>
                    <w:rPr>
                      <w:rFonts w:hint="eastAsia"/>
                      <w:color w:val="auto"/>
                      <w:kern w:val="0"/>
                      <w:lang w:bidi="ar"/>
                    </w:rPr>
                    <w:t>列入《战略性新兴产业分类（2018）重点产品和服务目录的先进钢铁材料制造除外；近终形铸轧一体化除外；采用加热炉高效燃烧（包括全氧、富氧、低氮燃烧）的除外。</w:t>
                  </w:r>
                </w:p>
              </w:tc>
              <w:tc>
                <w:tcPr>
                  <w:tcW w:w="1161" w:type="dxa"/>
                  <w:vMerge w:val="continue"/>
                  <w:tcBorders>
                    <w:tl2br w:val="nil"/>
                    <w:tr2bl w:val="nil"/>
                  </w:tcBorders>
                  <w:vAlign w:val="center"/>
                </w:tcPr>
                <w:p w14:paraId="3A84EE11">
                  <w:pPr>
                    <w:widowControl/>
                    <w:adjustRightInd w:val="0"/>
                    <w:snapToGrid w:val="0"/>
                    <w:jc w:val="center"/>
                    <w:rPr>
                      <w:color w:val="auto"/>
                      <w:kern w:val="0"/>
                      <w:lang w:bidi="ar"/>
                    </w:rPr>
                  </w:pPr>
                </w:p>
              </w:tc>
            </w:tr>
            <w:tr w14:paraId="3A84EE1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E13">
                  <w:pPr>
                    <w:widowControl/>
                    <w:adjustRightInd w:val="0"/>
                    <w:snapToGrid w:val="0"/>
                    <w:jc w:val="center"/>
                    <w:rPr>
                      <w:color w:val="auto"/>
                      <w:kern w:val="0"/>
                      <w:lang w:bidi="ar"/>
                    </w:rPr>
                  </w:pPr>
                </w:p>
              </w:tc>
              <w:tc>
                <w:tcPr>
                  <w:tcW w:w="2927" w:type="dxa"/>
                  <w:tcBorders>
                    <w:tl2br w:val="nil"/>
                    <w:tr2bl w:val="nil"/>
                  </w:tcBorders>
                  <w:vAlign w:val="center"/>
                </w:tcPr>
                <w:p w14:paraId="3A84EE14">
                  <w:pPr>
                    <w:widowControl/>
                    <w:adjustRightInd w:val="0"/>
                    <w:snapToGrid w:val="0"/>
                    <w:jc w:val="center"/>
                    <w:rPr>
                      <w:color w:val="auto"/>
                      <w:kern w:val="0"/>
                      <w:lang w:bidi="ar"/>
                    </w:rPr>
                  </w:pPr>
                  <w:r>
                    <w:rPr>
                      <w:rFonts w:hint="eastAsia"/>
                      <w:color w:val="auto"/>
                      <w:kern w:val="0"/>
                      <w:lang w:bidi="ar"/>
                    </w:rPr>
                    <w:t>铁合金冶炼（3140）</w:t>
                  </w:r>
                </w:p>
              </w:tc>
              <w:tc>
                <w:tcPr>
                  <w:tcW w:w="2863" w:type="dxa"/>
                  <w:tcBorders>
                    <w:tl2br w:val="nil"/>
                    <w:tr2bl w:val="nil"/>
                  </w:tcBorders>
                  <w:vAlign w:val="center"/>
                </w:tcPr>
                <w:p w14:paraId="3A84EE15">
                  <w:pPr>
                    <w:widowControl/>
                    <w:adjustRightInd w:val="0"/>
                    <w:snapToGrid w:val="0"/>
                    <w:jc w:val="center"/>
                    <w:rPr>
                      <w:color w:val="auto"/>
                      <w:kern w:val="0"/>
                      <w:lang w:bidi="ar"/>
                    </w:rPr>
                  </w:pPr>
                  <w:r>
                    <w:rPr>
                      <w:rFonts w:hint="eastAsia"/>
                      <w:color w:val="auto"/>
                      <w:kern w:val="0"/>
                      <w:lang w:bidi="ar"/>
                    </w:rPr>
                    <w:t>铁基合金粉末（航空领域）冶炼除外。</w:t>
                  </w:r>
                </w:p>
              </w:tc>
              <w:tc>
                <w:tcPr>
                  <w:tcW w:w="1161" w:type="dxa"/>
                  <w:vMerge w:val="continue"/>
                  <w:tcBorders>
                    <w:tl2br w:val="nil"/>
                    <w:tr2bl w:val="nil"/>
                  </w:tcBorders>
                  <w:vAlign w:val="center"/>
                </w:tcPr>
                <w:p w14:paraId="3A84EE16">
                  <w:pPr>
                    <w:widowControl/>
                    <w:adjustRightInd w:val="0"/>
                    <w:snapToGrid w:val="0"/>
                    <w:jc w:val="center"/>
                    <w:rPr>
                      <w:color w:val="auto"/>
                      <w:kern w:val="0"/>
                      <w:lang w:bidi="ar"/>
                    </w:rPr>
                  </w:pPr>
                </w:p>
              </w:tc>
            </w:tr>
            <w:tr w14:paraId="3A84EE1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restart"/>
                  <w:tcBorders>
                    <w:tl2br w:val="nil"/>
                    <w:tr2bl w:val="nil"/>
                  </w:tcBorders>
                  <w:vAlign w:val="center"/>
                </w:tcPr>
                <w:p w14:paraId="3A84EE18">
                  <w:pPr>
                    <w:widowControl/>
                    <w:adjustRightInd w:val="0"/>
                    <w:snapToGrid w:val="0"/>
                    <w:jc w:val="center"/>
                    <w:rPr>
                      <w:color w:val="auto"/>
                      <w:kern w:val="0"/>
                      <w:lang w:bidi="ar"/>
                    </w:rPr>
                  </w:pPr>
                  <w:r>
                    <w:rPr>
                      <w:rFonts w:hint="eastAsia"/>
                      <w:color w:val="auto"/>
                      <w:kern w:val="0"/>
                      <w:lang w:bidi="ar"/>
                    </w:rPr>
                    <w:t>有色金属冶炼和压延加工业</w:t>
                  </w:r>
                </w:p>
              </w:tc>
              <w:tc>
                <w:tcPr>
                  <w:tcW w:w="2927" w:type="dxa"/>
                  <w:tcBorders>
                    <w:tl2br w:val="nil"/>
                    <w:tr2bl w:val="nil"/>
                  </w:tcBorders>
                  <w:vAlign w:val="center"/>
                </w:tcPr>
                <w:p w14:paraId="3A84EE19">
                  <w:pPr>
                    <w:widowControl/>
                    <w:adjustRightInd w:val="0"/>
                    <w:snapToGrid w:val="0"/>
                    <w:jc w:val="center"/>
                    <w:rPr>
                      <w:color w:val="auto"/>
                      <w:kern w:val="0"/>
                      <w:lang w:bidi="ar"/>
                    </w:rPr>
                  </w:pPr>
                  <w:r>
                    <w:rPr>
                      <w:rFonts w:hint="eastAsia"/>
                      <w:color w:val="auto"/>
                      <w:kern w:val="0"/>
                      <w:lang w:bidi="ar"/>
                    </w:rPr>
                    <w:t>铜冶炼（3211）</w:t>
                  </w:r>
                </w:p>
              </w:tc>
              <w:tc>
                <w:tcPr>
                  <w:tcW w:w="2863" w:type="dxa"/>
                  <w:vMerge w:val="restart"/>
                  <w:tcBorders>
                    <w:tl2br w:val="nil"/>
                    <w:tr2bl w:val="nil"/>
                  </w:tcBorders>
                  <w:vAlign w:val="center"/>
                </w:tcPr>
                <w:p w14:paraId="3A84EE1A">
                  <w:pPr>
                    <w:widowControl/>
                    <w:adjustRightInd w:val="0"/>
                    <w:snapToGrid w:val="0"/>
                    <w:jc w:val="center"/>
                    <w:rPr>
                      <w:color w:val="auto"/>
                      <w:kern w:val="0"/>
                      <w:lang w:bidi="ar"/>
                    </w:rPr>
                  </w:pPr>
                  <w:r>
                    <w:rPr>
                      <w:rFonts w:hint="eastAsia"/>
                      <w:color w:val="auto"/>
                      <w:kern w:val="0"/>
                      <w:lang w:bidi="ar"/>
                    </w:rPr>
                    <w:t>再生资源冶炼除外。</w:t>
                  </w:r>
                </w:p>
              </w:tc>
              <w:tc>
                <w:tcPr>
                  <w:tcW w:w="1161" w:type="dxa"/>
                  <w:vMerge w:val="continue"/>
                  <w:tcBorders>
                    <w:tl2br w:val="nil"/>
                    <w:tr2bl w:val="nil"/>
                  </w:tcBorders>
                  <w:vAlign w:val="center"/>
                </w:tcPr>
                <w:p w14:paraId="3A84EE1B">
                  <w:pPr>
                    <w:widowControl/>
                    <w:adjustRightInd w:val="0"/>
                    <w:snapToGrid w:val="0"/>
                    <w:jc w:val="center"/>
                    <w:rPr>
                      <w:color w:val="auto"/>
                      <w:kern w:val="0"/>
                      <w:lang w:bidi="ar"/>
                    </w:rPr>
                  </w:pPr>
                </w:p>
              </w:tc>
            </w:tr>
            <w:tr w14:paraId="3A84EE2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E1D">
                  <w:pPr>
                    <w:widowControl/>
                    <w:adjustRightInd w:val="0"/>
                    <w:snapToGrid w:val="0"/>
                    <w:jc w:val="center"/>
                    <w:rPr>
                      <w:color w:val="auto"/>
                      <w:kern w:val="0"/>
                      <w:lang w:bidi="ar"/>
                    </w:rPr>
                  </w:pPr>
                </w:p>
              </w:tc>
              <w:tc>
                <w:tcPr>
                  <w:tcW w:w="2927" w:type="dxa"/>
                  <w:tcBorders>
                    <w:tl2br w:val="nil"/>
                    <w:tr2bl w:val="nil"/>
                  </w:tcBorders>
                  <w:vAlign w:val="center"/>
                </w:tcPr>
                <w:p w14:paraId="3A84EE1E">
                  <w:pPr>
                    <w:widowControl/>
                    <w:adjustRightInd w:val="0"/>
                    <w:snapToGrid w:val="0"/>
                    <w:jc w:val="center"/>
                    <w:rPr>
                      <w:color w:val="auto"/>
                      <w:kern w:val="0"/>
                      <w:lang w:bidi="ar"/>
                    </w:rPr>
                  </w:pPr>
                  <w:r>
                    <w:rPr>
                      <w:rFonts w:hint="eastAsia"/>
                      <w:color w:val="auto"/>
                      <w:kern w:val="0"/>
                      <w:lang w:bidi="ar"/>
                    </w:rPr>
                    <w:t>铅锌冶炼（3212）</w:t>
                  </w:r>
                </w:p>
              </w:tc>
              <w:tc>
                <w:tcPr>
                  <w:tcW w:w="2863" w:type="dxa"/>
                  <w:vMerge w:val="continue"/>
                  <w:tcBorders>
                    <w:tl2br w:val="nil"/>
                    <w:tr2bl w:val="nil"/>
                  </w:tcBorders>
                  <w:vAlign w:val="center"/>
                </w:tcPr>
                <w:p w14:paraId="3A84EE1F">
                  <w:pPr>
                    <w:widowControl/>
                    <w:adjustRightInd w:val="0"/>
                    <w:snapToGrid w:val="0"/>
                    <w:jc w:val="center"/>
                    <w:rPr>
                      <w:color w:val="auto"/>
                      <w:kern w:val="0"/>
                      <w:lang w:bidi="ar"/>
                    </w:rPr>
                  </w:pPr>
                </w:p>
              </w:tc>
              <w:tc>
                <w:tcPr>
                  <w:tcW w:w="1161" w:type="dxa"/>
                  <w:vMerge w:val="continue"/>
                  <w:tcBorders>
                    <w:tl2br w:val="nil"/>
                    <w:tr2bl w:val="nil"/>
                  </w:tcBorders>
                  <w:vAlign w:val="center"/>
                </w:tcPr>
                <w:p w14:paraId="3A84EE20">
                  <w:pPr>
                    <w:widowControl/>
                    <w:adjustRightInd w:val="0"/>
                    <w:snapToGrid w:val="0"/>
                    <w:jc w:val="center"/>
                    <w:rPr>
                      <w:color w:val="auto"/>
                      <w:kern w:val="0"/>
                      <w:lang w:bidi="ar"/>
                    </w:rPr>
                  </w:pPr>
                </w:p>
              </w:tc>
            </w:tr>
            <w:tr w14:paraId="3A84EE2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E22">
                  <w:pPr>
                    <w:widowControl/>
                    <w:adjustRightInd w:val="0"/>
                    <w:snapToGrid w:val="0"/>
                    <w:jc w:val="center"/>
                    <w:rPr>
                      <w:color w:val="auto"/>
                      <w:kern w:val="0"/>
                      <w:lang w:bidi="ar"/>
                    </w:rPr>
                  </w:pPr>
                </w:p>
              </w:tc>
              <w:tc>
                <w:tcPr>
                  <w:tcW w:w="2927" w:type="dxa"/>
                  <w:tcBorders>
                    <w:tl2br w:val="nil"/>
                    <w:tr2bl w:val="nil"/>
                  </w:tcBorders>
                  <w:vAlign w:val="center"/>
                </w:tcPr>
                <w:p w14:paraId="3A84EE23">
                  <w:pPr>
                    <w:widowControl/>
                    <w:adjustRightInd w:val="0"/>
                    <w:snapToGrid w:val="0"/>
                    <w:jc w:val="center"/>
                    <w:rPr>
                      <w:color w:val="auto"/>
                      <w:kern w:val="0"/>
                      <w:lang w:bidi="ar"/>
                    </w:rPr>
                  </w:pPr>
                  <w:r>
                    <w:rPr>
                      <w:rFonts w:hint="eastAsia"/>
                      <w:color w:val="auto"/>
                      <w:kern w:val="0"/>
                      <w:lang w:bidi="ar"/>
                    </w:rPr>
                    <w:t>镍钴冶炼（3213）</w:t>
                  </w:r>
                </w:p>
              </w:tc>
              <w:tc>
                <w:tcPr>
                  <w:tcW w:w="2863" w:type="dxa"/>
                  <w:vMerge w:val="continue"/>
                  <w:tcBorders>
                    <w:tl2br w:val="nil"/>
                    <w:tr2bl w:val="nil"/>
                  </w:tcBorders>
                  <w:vAlign w:val="center"/>
                </w:tcPr>
                <w:p w14:paraId="3A84EE24">
                  <w:pPr>
                    <w:widowControl/>
                    <w:adjustRightInd w:val="0"/>
                    <w:snapToGrid w:val="0"/>
                    <w:jc w:val="center"/>
                    <w:rPr>
                      <w:color w:val="auto"/>
                      <w:kern w:val="0"/>
                      <w:lang w:bidi="ar"/>
                    </w:rPr>
                  </w:pPr>
                </w:p>
              </w:tc>
              <w:tc>
                <w:tcPr>
                  <w:tcW w:w="1161" w:type="dxa"/>
                  <w:vMerge w:val="continue"/>
                  <w:tcBorders>
                    <w:tl2br w:val="nil"/>
                    <w:tr2bl w:val="nil"/>
                  </w:tcBorders>
                  <w:vAlign w:val="center"/>
                </w:tcPr>
                <w:p w14:paraId="3A84EE25">
                  <w:pPr>
                    <w:widowControl/>
                    <w:adjustRightInd w:val="0"/>
                    <w:snapToGrid w:val="0"/>
                    <w:jc w:val="center"/>
                    <w:rPr>
                      <w:color w:val="auto"/>
                      <w:kern w:val="0"/>
                      <w:lang w:bidi="ar"/>
                    </w:rPr>
                  </w:pPr>
                </w:p>
              </w:tc>
            </w:tr>
            <w:tr w14:paraId="3A84EE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E27">
                  <w:pPr>
                    <w:widowControl/>
                    <w:adjustRightInd w:val="0"/>
                    <w:snapToGrid w:val="0"/>
                    <w:jc w:val="center"/>
                    <w:rPr>
                      <w:color w:val="auto"/>
                      <w:kern w:val="0"/>
                      <w:lang w:bidi="ar"/>
                    </w:rPr>
                  </w:pPr>
                </w:p>
              </w:tc>
              <w:tc>
                <w:tcPr>
                  <w:tcW w:w="2927" w:type="dxa"/>
                  <w:tcBorders>
                    <w:tl2br w:val="nil"/>
                    <w:tr2bl w:val="nil"/>
                  </w:tcBorders>
                  <w:vAlign w:val="center"/>
                </w:tcPr>
                <w:p w14:paraId="3A84EE28">
                  <w:pPr>
                    <w:widowControl/>
                    <w:adjustRightInd w:val="0"/>
                    <w:snapToGrid w:val="0"/>
                    <w:jc w:val="center"/>
                    <w:rPr>
                      <w:color w:val="auto"/>
                      <w:kern w:val="0"/>
                      <w:lang w:bidi="ar"/>
                    </w:rPr>
                  </w:pPr>
                  <w:r>
                    <w:rPr>
                      <w:rFonts w:hint="eastAsia"/>
                      <w:color w:val="auto"/>
                      <w:kern w:val="0"/>
                      <w:lang w:bidi="ar"/>
                    </w:rPr>
                    <w:t>锡冶炼（3214）</w:t>
                  </w:r>
                </w:p>
              </w:tc>
              <w:tc>
                <w:tcPr>
                  <w:tcW w:w="2863" w:type="dxa"/>
                  <w:vMerge w:val="continue"/>
                  <w:tcBorders>
                    <w:tl2br w:val="nil"/>
                    <w:tr2bl w:val="nil"/>
                  </w:tcBorders>
                  <w:vAlign w:val="center"/>
                </w:tcPr>
                <w:p w14:paraId="3A84EE29">
                  <w:pPr>
                    <w:widowControl/>
                    <w:adjustRightInd w:val="0"/>
                    <w:snapToGrid w:val="0"/>
                    <w:jc w:val="center"/>
                    <w:rPr>
                      <w:color w:val="auto"/>
                      <w:kern w:val="0"/>
                      <w:lang w:bidi="ar"/>
                    </w:rPr>
                  </w:pPr>
                </w:p>
              </w:tc>
              <w:tc>
                <w:tcPr>
                  <w:tcW w:w="1161" w:type="dxa"/>
                  <w:vMerge w:val="continue"/>
                  <w:tcBorders>
                    <w:tl2br w:val="nil"/>
                    <w:tr2bl w:val="nil"/>
                  </w:tcBorders>
                  <w:vAlign w:val="center"/>
                </w:tcPr>
                <w:p w14:paraId="3A84EE2A">
                  <w:pPr>
                    <w:widowControl/>
                    <w:adjustRightInd w:val="0"/>
                    <w:snapToGrid w:val="0"/>
                    <w:jc w:val="center"/>
                    <w:rPr>
                      <w:color w:val="auto"/>
                      <w:kern w:val="0"/>
                      <w:lang w:bidi="ar"/>
                    </w:rPr>
                  </w:pPr>
                </w:p>
              </w:tc>
            </w:tr>
            <w:tr w14:paraId="3A84EE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E2C">
                  <w:pPr>
                    <w:widowControl/>
                    <w:adjustRightInd w:val="0"/>
                    <w:snapToGrid w:val="0"/>
                    <w:jc w:val="center"/>
                    <w:rPr>
                      <w:color w:val="auto"/>
                      <w:kern w:val="0"/>
                      <w:lang w:bidi="ar"/>
                    </w:rPr>
                  </w:pPr>
                </w:p>
              </w:tc>
              <w:tc>
                <w:tcPr>
                  <w:tcW w:w="2927" w:type="dxa"/>
                  <w:tcBorders>
                    <w:tl2br w:val="nil"/>
                    <w:tr2bl w:val="nil"/>
                  </w:tcBorders>
                  <w:vAlign w:val="center"/>
                </w:tcPr>
                <w:p w14:paraId="3A84EE2D">
                  <w:pPr>
                    <w:widowControl/>
                    <w:adjustRightInd w:val="0"/>
                    <w:snapToGrid w:val="0"/>
                    <w:jc w:val="center"/>
                    <w:rPr>
                      <w:color w:val="auto"/>
                      <w:kern w:val="0"/>
                      <w:lang w:bidi="ar"/>
                    </w:rPr>
                  </w:pPr>
                  <w:r>
                    <w:rPr>
                      <w:color w:val="auto"/>
                      <w:kern w:val="0"/>
                      <w:lang w:bidi="ar"/>
                    </w:rPr>
                    <w:t>锑</w:t>
                  </w:r>
                  <w:r>
                    <w:rPr>
                      <w:rFonts w:hint="eastAsia"/>
                      <w:color w:val="auto"/>
                      <w:kern w:val="0"/>
                      <w:lang w:bidi="ar"/>
                    </w:rPr>
                    <w:t>冶炼（3215）</w:t>
                  </w:r>
                </w:p>
              </w:tc>
              <w:tc>
                <w:tcPr>
                  <w:tcW w:w="2863" w:type="dxa"/>
                  <w:vMerge w:val="continue"/>
                  <w:tcBorders>
                    <w:tl2br w:val="nil"/>
                    <w:tr2bl w:val="nil"/>
                  </w:tcBorders>
                  <w:vAlign w:val="center"/>
                </w:tcPr>
                <w:p w14:paraId="3A84EE2E">
                  <w:pPr>
                    <w:widowControl/>
                    <w:adjustRightInd w:val="0"/>
                    <w:snapToGrid w:val="0"/>
                    <w:jc w:val="center"/>
                    <w:rPr>
                      <w:color w:val="auto"/>
                      <w:kern w:val="0"/>
                      <w:lang w:bidi="ar"/>
                    </w:rPr>
                  </w:pPr>
                </w:p>
              </w:tc>
              <w:tc>
                <w:tcPr>
                  <w:tcW w:w="1161" w:type="dxa"/>
                  <w:vMerge w:val="continue"/>
                  <w:tcBorders>
                    <w:tl2br w:val="nil"/>
                    <w:tr2bl w:val="nil"/>
                  </w:tcBorders>
                  <w:vAlign w:val="center"/>
                </w:tcPr>
                <w:p w14:paraId="3A84EE2F">
                  <w:pPr>
                    <w:widowControl/>
                    <w:adjustRightInd w:val="0"/>
                    <w:snapToGrid w:val="0"/>
                    <w:jc w:val="center"/>
                    <w:rPr>
                      <w:color w:val="auto"/>
                      <w:kern w:val="0"/>
                      <w:lang w:bidi="ar"/>
                    </w:rPr>
                  </w:pPr>
                </w:p>
              </w:tc>
            </w:tr>
            <w:tr w14:paraId="3A84EE3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E31">
                  <w:pPr>
                    <w:widowControl/>
                    <w:adjustRightInd w:val="0"/>
                    <w:snapToGrid w:val="0"/>
                    <w:jc w:val="center"/>
                    <w:rPr>
                      <w:color w:val="auto"/>
                      <w:kern w:val="0"/>
                      <w:lang w:bidi="ar"/>
                    </w:rPr>
                  </w:pPr>
                </w:p>
              </w:tc>
              <w:tc>
                <w:tcPr>
                  <w:tcW w:w="2927" w:type="dxa"/>
                  <w:tcBorders>
                    <w:tl2br w:val="nil"/>
                    <w:tr2bl w:val="nil"/>
                  </w:tcBorders>
                  <w:vAlign w:val="center"/>
                </w:tcPr>
                <w:p w14:paraId="3A84EE32">
                  <w:pPr>
                    <w:widowControl/>
                    <w:adjustRightInd w:val="0"/>
                    <w:snapToGrid w:val="0"/>
                    <w:jc w:val="center"/>
                    <w:rPr>
                      <w:color w:val="auto"/>
                      <w:kern w:val="0"/>
                      <w:lang w:bidi="ar"/>
                    </w:rPr>
                  </w:pPr>
                  <w:r>
                    <w:rPr>
                      <w:rFonts w:hint="eastAsia"/>
                      <w:color w:val="auto"/>
                      <w:kern w:val="0"/>
                      <w:lang w:bidi="ar"/>
                    </w:rPr>
                    <w:t>铝冶炼（3216）</w:t>
                  </w:r>
                </w:p>
              </w:tc>
              <w:tc>
                <w:tcPr>
                  <w:tcW w:w="2863" w:type="dxa"/>
                  <w:vMerge w:val="continue"/>
                  <w:tcBorders>
                    <w:tl2br w:val="nil"/>
                    <w:tr2bl w:val="nil"/>
                  </w:tcBorders>
                  <w:vAlign w:val="center"/>
                </w:tcPr>
                <w:p w14:paraId="3A84EE33">
                  <w:pPr>
                    <w:widowControl/>
                    <w:adjustRightInd w:val="0"/>
                    <w:snapToGrid w:val="0"/>
                    <w:jc w:val="center"/>
                    <w:rPr>
                      <w:color w:val="auto"/>
                      <w:kern w:val="0"/>
                      <w:lang w:bidi="ar"/>
                    </w:rPr>
                  </w:pPr>
                </w:p>
              </w:tc>
              <w:tc>
                <w:tcPr>
                  <w:tcW w:w="1161" w:type="dxa"/>
                  <w:vMerge w:val="continue"/>
                  <w:tcBorders>
                    <w:tl2br w:val="nil"/>
                    <w:tr2bl w:val="nil"/>
                  </w:tcBorders>
                  <w:vAlign w:val="center"/>
                </w:tcPr>
                <w:p w14:paraId="3A84EE34">
                  <w:pPr>
                    <w:widowControl/>
                    <w:adjustRightInd w:val="0"/>
                    <w:snapToGrid w:val="0"/>
                    <w:jc w:val="center"/>
                    <w:rPr>
                      <w:color w:val="auto"/>
                      <w:kern w:val="0"/>
                      <w:lang w:bidi="ar"/>
                    </w:rPr>
                  </w:pPr>
                </w:p>
              </w:tc>
            </w:tr>
            <w:tr w14:paraId="3A84EE3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E36">
                  <w:pPr>
                    <w:widowControl/>
                    <w:adjustRightInd w:val="0"/>
                    <w:snapToGrid w:val="0"/>
                    <w:jc w:val="center"/>
                    <w:rPr>
                      <w:color w:val="auto"/>
                      <w:kern w:val="0"/>
                      <w:lang w:bidi="ar"/>
                    </w:rPr>
                  </w:pPr>
                </w:p>
              </w:tc>
              <w:tc>
                <w:tcPr>
                  <w:tcW w:w="2927" w:type="dxa"/>
                  <w:tcBorders>
                    <w:tl2br w:val="nil"/>
                    <w:tr2bl w:val="nil"/>
                  </w:tcBorders>
                  <w:vAlign w:val="center"/>
                </w:tcPr>
                <w:p w14:paraId="3A84EE37">
                  <w:pPr>
                    <w:widowControl/>
                    <w:adjustRightInd w:val="0"/>
                    <w:snapToGrid w:val="0"/>
                    <w:jc w:val="center"/>
                    <w:rPr>
                      <w:color w:val="auto"/>
                      <w:kern w:val="0"/>
                      <w:lang w:bidi="ar"/>
                    </w:rPr>
                  </w:pPr>
                  <w:r>
                    <w:rPr>
                      <w:rFonts w:hint="eastAsia"/>
                      <w:color w:val="auto"/>
                      <w:kern w:val="0"/>
                      <w:lang w:bidi="ar"/>
                    </w:rPr>
                    <w:t>镁冶炼（3217）</w:t>
                  </w:r>
                </w:p>
              </w:tc>
              <w:tc>
                <w:tcPr>
                  <w:tcW w:w="2863" w:type="dxa"/>
                  <w:vMerge w:val="continue"/>
                  <w:tcBorders>
                    <w:tl2br w:val="nil"/>
                    <w:tr2bl w:val="nil"/>
                  </w:tcBorders>
                  <w:vAlign w:val="center"/>
                </w:tcPr>
                <w:p w14:paraId="3A84EE38">
                  <w:pPr>
                    <w:widowControl/>
                    <w:adjustRightInd w:val="0"/>
                    <w:snapToGrid w:val="0"/>
                    <w:jc w:val="center"/>
                    <w:rPr>
                      <w:color w:val="auto"/>
                      <w:kern w:val="0"/>
                      <w:lang w:bidi="ar"/>
                    </w:rPr>
                  </w:pPr>
                </w:p>
              </w:tc>
              <w:tc>
                <w:tcPr>
                  <w:tcW w:w="1161" w:type="dxa"/>
                  <w:vMerge w:val="continue"/>
                  <w:tcBorders>
                    <w:tl2br w:val="nil"/>
                    <w:tr2bl w:val="nil"/>
                  </w:tcBorders>
                  <w:vAlign w:val="center"/>
                </w:tcPr>
                <w:p w14:paraId="3A84EE39">
                  <w:pPr>
                    <w:widowControl/>
                    <w:adjustRightInd w:val="0"/>
                    <w:snapToGrid w:val="0"/>
                    <w:jc w:val="center"/>
                    <w:rPr>
                      <w:color w:val="auto"/>
                      <w:kern w:val="0"/>
                      <w:lang w:bidi="ar"/>
                    </w:rPr>
                  </w:pPr>
                </w:p>
              </w:tc>
            </w:tr>
            <w:tr w14:paraId="3A84EE3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E3B">
                  <w:pPr>
                    <w:widowControl/>
                    <w:adjustRightInd w:val="0"/>
                    <w:snapToGrid w:val="0"/>
                    <w:jc w:val="center"/>
                    <w:rPr>
                      <w:color w:val="auto"/>
                      <w:kern w:val="0"/>
                      <w:lang w:bidi="ar"/>
                    </w:rPr>
                  </w:pPr>
                </w:p>
              </w:tc>
              <w:tc>
                <w:tcPr>
                  <w:tcW w:w="2927" w:type="dxa"/>
                  <w:tcBorders>
                    <w:tl2br w:val="nil"/>
                    <w:tr2bl w:val="nil"/>
                  </w:tcBorders>
                  <w:vAlign w:val="center"/>
                </w:tcPr>
                <w:p w14:paraId="3A84EE3C">
                  <w:pPr>
                    <w:widowControl/>
                    <w:adjustRightInd w:val="0"/>
                    <w:snapToGrid w:val="0"/>
                    <w:jc w:val="center"/>
                    <w:rPr>
                      <w:color w:val="auto"/>
                      <w:kern w:val="0"/>
                      <w:lang w:bidi="ar"/>
                    </w:rPr>
                  </w:pPr>
                  <w:r>
                    <w:rPr>
                      <w:rFonts w:hint="eastAsia"/>
                      <w:color w:val="auto"/>
                      <w:kern w:val="0"/>
                      <w:lang w:bidi="ar"/>
                    </w:rPr>
                    <w:t>硅冶炼（3218）</w:t>
                  </w:r>
                </w:p>
              </w:tc>
              <w:tc>
                <w:tcPr>
                  <w:tcW w:w="2863" w:type="dxa"/>
                  <w:vMerge w:val="continue"/>
                  <w:tcBorders>
                    <w:tl2br w:val="nil"/>
                    <w:tr2bl w:val="nil"/>
                  </w:tcBorders>
                  <w:vAlign w:val="center"/>
                </w:tcPr>
                <w:p w14:paraId="3A84EE3D">
                  <w:pPr>
                    <w:widowControl/>
                    <w:adjustRightInd w:val="0"/>
                    <w:snapToGrid w:val="0"/>
                    <w:jc w:val="center"/>
                    <w:rPr>
                      <w:color w:val="auto"/>
                      <w:kern w:val="0"/>
                      <w:lang w:bidi="ar"/>
                    </w:rPr>
                  </w:pPr>
                </w:p>
              </w:tc>
              <w:tc>
                <w:tcPr>
                  <w:tcW w:w="1161" w:type="dxa"/>
                  <w:vMerge w:val="continue"/>
                  <w:tcBorders>
                    <w:tl2br w:val="nil"/>
                    <w:tr2bl w:val="nil"/>
                  </w:tcBorders>
                  <w:vAlign w:val="center"/>
                </w:tcPr>
                <w:p w14:paraId="3A84EE3E">
                  <w:pPr>
                    <w:widowControl/>
                    <w:adjustRightInd w:val="0"/>
                    <w:snapToGrid w:val="0"/>
                    <w:jc w:val="center"/>
                    <w:rPr>
                      <w:color w:val="auto"/>
                      <w:kern w:val="0"/>
                      <w:lang w:bidi="ar"/>
                    </w:rPr>
                  </w:pPr>
                </w:p>
              </w:tc>
            </w:tr>
            <w:tr w14:paraId="3A84EE4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E40">
                  <w:pPr>
                    <w:widowControl/>
                    <w:adjustRightInd w:val="0"/>
                    <w:snapToGrid w:val="0"/>
                    <w:jc w:val="center"/>
                    <w:rPr>
                      <w:color w:val="auto"/>
                      <w:kern w:val="0"/>
                      <w:lang w:bidi="ar"/>
                    </w:rPr>
                  </w:pPr>
                </w:p>
              </w:tc>
              <w:tc>
                <w:tcPr>
                  <w:tcW w:w="2927" w:type="dxa"/>
                  <w:tcBorders>
                    <w:tl2br w:val="nil"/>
                    <w:tr2bl w:val="nil"/>
                  </w:tcBorders>
                  <w:vAlign w:val="center"/>
                </w:tcPr>
                <w:p w14:paraId="3A84EE41">
                  <w:pPr>
                    <w:widowControl/>
                    <w:adjustRightInd w:val="0"/>
                    <w:snapToGrid w:val="0"/>
                    <w:jc w:val="center"/>
                    <w:rPr>
                      <w:color w:val="auto"/>
                      <w:kern w:val="0"/>
                      <w:lang w:bidi="ar"/>
                    </w:rPr>
                  </w:pPr>
                  <w:r>
                    <w:rPr>
                      <w:rFonts w:hint="eastAsia"/>
                      <w:color w:val="auto"/>
                      <w:kern w:val="0"/>
                      <w:lang w:bidi="ar"/>
                    </w:rPr>
                    <w:t>其他常用有色金属冶炼（3219）</w:t>
                  </w:r>
                </w:p>
              </w:tc>
              <w:tc>
                <w:tcPr>
                  <w:tcW w:w="2863" w:type="dxa"/>
                  <w:vMerge w:val="continue"/>
                  <w:tcBorders>
                    <w:tl2br w:val="nil"/>
                    <w:tr2bl w:val="nil"/>
                  </w:tcBorders>
                  <w:vAlign w:val="center"/>
                </w:tcPr>
                <w:p w14:paraId="3A84EE42">
                  <w:pPr>
                    <w:widowControl/>
                    <w:adjustRightInd w:val="0"/>
                    <w:snapToGrid w:val="0"/>
                    <w:jc w:val="center"/>
                    <w:rPr>
                      <w:color w:val="auto"/>
                      <w:kern w:val="0"/>
                      <w:lang w:bidi="ar"/>
                    </w:rPr>
                  </w:pPr>
                </w:p>
              </w:tc>
              <w:tc>
                <w:tcPr>
                  <w:tcW w:w="1161" w:type="dxa"/>
                  <w:vMerge w:val="continue"/>
                  <w:tcBorders>
                    <w:tl2br w:val="nil"/>
                    <w:tr2bl w:val="nil"/>
                  </w:tcBorders>
                  <w:vAlign w:val="center"/>
                </w:tcPr>
                <w:p w14:paraId="3A84EE43">
                  <w:pPr>
                    <w:widowControl/>
                    <w:adjustRightInd w:val="0"/>
                    <w:snapToGrid w:val="0"/>
                    <w:jc w:val="center"/>
                    <w:rPr>
                      <w:color w:val="auto"/>
                      <w:kern w:val="0"/>
                      <w:lang w:bidi="ar"/>
                    </w:rPr>
                  </w:pPr>
                </w:p>
              </w:tc>
            </w:tr>
            <w:tr w14:paraId="3A84EE4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E45">
                  <w:pPr>
                    <w:widowControl/>
                    <w:adjustRightInd w:val="0"/>
                    <w:snapToGrid w:val="0"/>
                    <w:jc w:val="center"/>
                    <w:rPr>
                      <w:color w:val="auto"/>
                      <w:kern w:val="0"/>
                      <w:lang w:bidi="ar"/>
                    </w:rPr>
                  </w:pPr>
                </w:p>
              </w:tc>
              <w:tc>
                <w:tcPr>
                  <w:tcW w:w="2927" w:type="dxa"/>
                  <w:tcBorders>
                    <w:tl2br w:val="nil"/>
                    <w:tr2bl w:val="nil"/>
                  </w:tcBorders>
                  <w:vAlign w:val="center"/>
                </w:tcPr>
                <w:p w14:paraId="3A84EE46">
                  <w:pPr>
                    <w:widowControl/>
                    <w:adjustRightInd w:val="0"/>
                    <w:snapToGrid w:val="0"/>
                    <w:jc w:val="center"/>
                    <w:rPr>
                      <w:color w:val="auto"/>
                      <w:kern w:val="0"/>
                      <w:lang w:bidi="ar"/>
                    </w:rPr>
                  </w:pPr>
                  <w:r>
                    <w:rPr>
                      <w:rFonts w:hint="eastAsia"/>
                      <w:color w:val="auto"/>
                      <w:kern w:val="0"/>
                      <w:lang w:bidi="ar"/>
                    </w:rPr>
                    <w:t>金冶炼（3221）</w:t>
                  </w:r>
                </w:p>
              </w:tc>
              <w:tc>
                <w:tcPr>
                  <w:tcW w:w="2863" w:type="dxa"/>
                  <w:vMerge w:val="continue"/>
                  <w:tcBorders>
                    <w:tl2br w:val="nil"/>
                    <w:tr2bl w:val="nil"/>
                  </w:tcBorders>
                  <w:vAlign w:val="center"/>
                </w:tcPr>
                <w:p w14:paraId="3A84EE47">
                  <w:pPr>
                    <w:widowControl/>
                    <w:adjustRightInd w:val="0"/>
                    <w:snapToGrid w:val="0"/>
                    <w:jc w:val="center"/>
                    <w:rPr>
                      <w:color w:val="auto"/>
                      <w:kern w:val="0"/>
                      <w:lang w:bidi="ar"/>
                    </w:rPr>
                  </w:pPr>
                </w:p>
              </w:tc>
              <w:tc>
                <w:tcPr>
                  <w:tcW w:w="1161" w:type="dxa"/>
                  <w:vMerge w:val="continue"/>
                  <w:tcBorders>
                    <w:tl2br w:val="nil"/>
                    <w:tr2bl w:val="nil"/>
                  </w:tcBorders>
                  <w:vAlign w:val="center"/>
                </w:tcPr>
                <w:p w14:paraId="3A84EE48">
                  <w:pPr>
                    <w:widowControl/>
                    <w:adjustRightInd w:val="0"/>
                    <w:snapToGrid w:val="0"/>
                    <w:jc w:val="center"/>
                    <w:rPr>
                      <w:color w:val="auto"/>
                      <w:kern w:val="0"/>
                      <w:lang w:bidi="ar"/>
                    </w:rPr>
                  </w:pPr>
                </w:p>
              </w:tc>
            </w:tr>
            <w:tr w14:paraId="3A84EE4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E4A">
                  <w:pPr>
                    <w:widowControl/>
                    <w:adjustRightInd w:val="0"/>
                    <w:snapToGrid w:val="0"/>
                    <w:jc w:val="center"/>
                    <w:rPr>
                      <w:color w:val="auto"/>
                      <w:kern w:val="0"/>
                      <w:lang w:bidi="ar"/>
                    </w:rPr>
                  </w:pPr>
                </w:p>
              </w:tc>
              <w:tc>
                <w:tcPr>
                  <w:tcW w:w="2927" w:type="dxa"/>
                  <w:tcBorders>
                    <w:tl2br w:val="nil"/>
                    <w:tr2bl w:val="nil"/>
                  </w:tcBorders>
                  <w:vAlign w:val="center"/>
                </w:tcPr>
                <w:p w14:paraId="3A84EE4B">
                  <w:pPr>
                    <w:widowControl/>
                    <w:adjustRightInd w:val="0"/>
                    <w:snapToGrid w:val="0"/>
                    <w:jc w:val="center"/>
                    <w:rPr>
                      <w:color w:val="auto"/>
                      <w:kern w:val="0"/>
                      <w:lang w:bidi="ar"/>
                    </w:rPr>
                  </w:pPr>
                  <w:r>
                    <w:rPr>
                      <w:rFonts w:hint="eastAsia"/>
                      <w:color w:val="auto"/>
                      <w:kern w:val="0"/>
                      <w:lang w:bidi="ar"/>
                    </w:rPr>
                    <w:t>银冶炼（3222）</w:t>
                  </w:r>
                </w:p>
              </w:tc>
              <w:tc>
                <w:tcPr>
                  <w:tcW w:w="2863" w:type="dxa"/>
                  <w:vMerge w:val="continue"/>
                  <w:tcBorders>
                    <w:tl2br w:val="nil"/>
                    <w:tr2bl w:val="nil"/>
                  </w:tcBorders>
                  <w:vAlign w:val="center"/>
                </w:tcPr>
                <w:p w14:paraId="3A84EE4C">
                  <w:pPr>
                    <w:widowControl/>
                    <w:adjustRightInd w:val="0"/>
                    <w:snapToGrid w:val="0"/>
                    <w:jc w:val="center"/>
                    <w:rPr>
                      <w:color w:val="auto"/>
                      <w:kern w:val="0"/>
                      <w:lang w:bidi="ar"/>
                    </w:rPr>
                  </w:pPr>
                </w:p>
              </w:tc>
              <w:tc>
                <w:tcPr>
                  <w:tcW w:w="1161" w:type="dxa"/>
                  <w:vMerge w:val="continue"/>
                  <w:tcBorders>
                    <w:tl2br w:val="nil"/>
                    <w:tr2bl w:val="nil"/>
                  </w:tcBorders>
                  <w:vAlign w:val="center"/>
                </w:tcPr>
                <w:p w14:paraId="3A84EE4D">
                  <w:pPr>
                    <w:widowControl/>
                    <w:adjustRightInd w:val="0"/>
                    <w:snapToGrid w:val="0"/>
                    <w:jc w:val="center"/>
                    <w:rPr>
                      <w:color w:val="auto"/>
                      <w:kern w:val="0"/>
                      <w:lang w:bidi="ar"/>
                    </w:rPr>
                  </w:pPr>
                </w:p>
              </w:tc>
            </w:tr>
            <w:tr w14:paraId="3A84EE5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E4F">
                  <w:pPr>
                    <w:widowControl/>
                    <w:adjustRightInd w:val="0"/>
                    <w:snapToGrid w:val="0"/>
                    <w:jc w:val="center"/>
                    <w:rPr>
                      <w:color w:val="auto"/>
                      <w:kern w:val="0"/>
                      <w:lang w:bidi="ar"/>
                    </w:rPr>
                  </w:pPr>
                </w:p>
              </w:tc>
              <w:tc>
                <w:tcPr>
                  <w:tcW w:w="2927" w:type="dxa"/>
                  <w:tcBorders>
                    <w:tl2br w:val="nil"/>
                    <w:tr2bl w:val="nil"/>
                  </w:tcBorders>
                  <w:vAlign w:val="center"/>
                </w:tcPr>
                <w:p w14:paraId="3A84EE50">
                  <w:pPr>
                    <w:widowControl/>
                    <w:adjustRightInd w:val="0"/>
                    <w:snapToGrid w:val="0"/>
                    <w:jc w:val="center"/>
                    <w:rPr>
                      <w:color w:val="auto"/>
                      <w:kern w:val="0"/>
                      <w:lang w:bidi="ar"/>
                    </w:rPr>
                  </w:pPr>
                  <w:r>
                    <w:rPr>
                      <w:rFonts w:hint="eastAsia"/>
                      <w:color w:val="auto"/>
                      <w:kern w:val="0"/>
                      <w:lang w:bidi="ar"/>
                    </w:rPr>
                    <w:t>其他贵金属冶炼（3229）</w:t>
                  </w:r>
                </w:p>
              </w:tc>
              <w:tc>
                <w:tcPr>
                  <w:tcW w:w="2863" w:type="dxa"/>
                  <w:vMerge w:val="continue"/>
                  <w:tcBorders>
                    <w:tl2br w:val="nil"/>
                    <w:tr2bl w:val="nil"/>
                  </w:tcBorders>
                  <w:vAlign w:val="center"/>
                </w:tcPr>
                <w:p w14:paraId="3A84EE51">
                  <w:pPr>
                    <w:widowControl/>
                    <w:adjustRightInd w:val="0"/>
                    <w:snapToGrid w:val="0"/>
                    <w:jc w:val="center"/>
                    <w:rPr>
                      <w:color w:val="auto"/>
                      <w:kern w:val="0"/>
                      <w:lang w:bidi="ar"/>
                    </w:rPr>
                  </w:pPr>
                </w:p>
              </w:tc>
              <w:tc>
                <w:tcPr>
                  <w:tcW w:w="1161" w:type="dxa"/>
                  <w:vMerge w:val="continue"/>
                  <w:tcBorders>
                    <w:tl2br w:val="nil"/>
                    <w:tr2bl w:val="nil"/>
                  </w:tcBorders>
                  <w:vAlign w:val="center"/>
                </w:tcPr>
                <w:p w14:paraId="3A84EE52">
                  <w:pPr>
                    <w:widowControl/>
                    <w:adjustRightInd w:val="0"/>
                    <w:snapToGrid w:val="0"/>
                    <w:jc w:val="center"/>
                    <w:rPr>
                      <w:color w:val="auto"/>
                      <w:kern w:val="0"/>
                      <w:lang w:bidi="ar"/>
                    </w:rPr>
                  </w:pPr>
                </w:p>
              </w:tc>
            </w:tr>
            <w:tr w14:paraId="3A84EE5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87" w:hRule="atLeast"/>
              </w:trPr>
              <w:tc>
                <w:tcPr>
                  <w:tcW w:w="1096" w:type="dxa"/>
                  <w:vMerge w:val="restart"/>
                  <w:tcBorders>
                    <w:tl2br w:val="nil"/>
                    <w:tr2bl w:val="nil"/>
                  </w:tcBorders>
                  <w:vAlign w:val="center"/>
                </w:tcPr>
                <w:p w14:paraId="3A84EE54">
                  <w:pPr>
                    <w:widowControl/>
                    <w:adjustRightInd w:val="0"/>
                    <w:snapToGrid w:val="0"/>
                    <w:jc w:val="center"/>
                    <w:rPr>
                      <w:color w:val="auto"/>
                      <w:kern w:val="0"/>
                      <w:lang w:bidi="ar"/>
                    </w:rPr>
                  </w:pPr>
                  <w:r>
                    <w:rPr>
                      <w:rFonts w:hint="eastAsia"/>
                      <w:color w:val="auto"/>
                      <w:kern w:val="0"/>
                      <w:lang w:bidi="ar"/>
                    </w:rPr>
                    <w:t>电力、热力生产和供应业</w:t>
                  </w:r>
                </w:p>
              </w:tc>
              <w:tc>
                <w:tcPr>
                  <w:tcW w:w="2927" w:type="dxa"/>
                  <w:tcBorders>
                    <w:tl2br w:val="nil"/>
                    <w:tr2bl w:val="nil"/>
                  </w:tcBorders>
                  <w:vAlign w:val="center"/>
                </w:tcPr>
                <w:p w14:paraId="3A84EE55">
                  <w:pPr>
                    <w:widowControl/>
                    <w:adjustRightInd w:val="0"/>
                    <w:snapToGrid w:val="0"/>
                    <w:jc w:val="center"/>
                    <w:rPr>
                      <w:color w:val="auto"/>
                      <w:kern w:val="0"/>
                      <w:lang w:bidi="ar"/>
                    </w:rPr>
                  </w:pPr>
                  <w:r>
                    <w:rPr>
                      <w:rFonts w:hint="eastAsia"/>
                      <w:color w:val="auto"/>
                      <w:kern w:val="0"/>
                      <w:lang w:bidi="ar"/>
                    </w:rPr>
                    <w:t>火力发电（4411）</w:t>
                  </w:r>
                </w:p>
              </w:tc>
              <w:tc>
                <w:tcPr>
                  <w:tcW w:w="2863" w:type="dxa"/>
                  <w:tcBorders>
                    <w:tl2br w:val="nil"/>
                    <w:tr2bl w:val="nil"/>
                  </w:tcBorders>
                  <w:vAlign w:val="center"/>
                </w:tcPr>
                <w:p w14:paraId="3A84EE56">
                  <w:pPr>
                    <w:widowControl/>
                    <w:adjustRightInd w:val="0"/>
                    <w:snapToGrid w:val="0"/>
                    <w:jc w:val="center"/>
                    <w:rPr>
                      <w:color w:val="auto"/>
                      <w:kern w:val="0"/>
                      <w:lang w:bidi="ar"/>
                    </w:rPr>
                  </w:pPr>
                  <w:r>
                    <w:rPr>
                      <w:rFonts w:hint="eastAsia"/>
                      <w:color w:val="auto"/>
                      <w:kern w:val="0"/>
                      <w:lang w:bidi="ar"/>
                    </w:rPr>
                    <w:t>燃煤发电。</w:t>
                  </w:r>
                </w:p>
              </w:tc>
              <w:tc>
                <w:tcPr>
                  <w:tcW w:w="1161" w:type="dxa"/>
                  <w:vMerge w:val="continue"/>
                  <w:tcBorders>
                    <w:tl2br w:val="nil"/>
                    <w:tr2bl w:val="nil"/>
                  </w:tcBorders>
                  <w:vAlign w:val="center"/>
                </w:tcPr>
                <w:p w14:paraId="3A84EE57">
                  <w:pPr>
                    <w:widowControl/>
                    <w:adjustRightInd w:val="0"/>
                    <w:snapToGrid w:val="0"/>
                    <w:jc w:val="center"/>
                    <w:rPr>
                      <w:color w:val="auto"/>
                      <w:kern w:val="0"/>
                      <w:lang w:bidi="ar"/>
                    </w:rPr>
                  </w:pPr>
                </w:p>
              </w:tc>
            </w:tr>
            <w:tr w14:paraId="3A84EE5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A84EE59">
                  <w:pPr>
                    <w:widowControl/>
                    <w:adjustRightInd w:val="0"/>
                    <w:snapToGrid w:val="0"/>
                    <w:jc w:val="center"/>
                    <w:rPr>
                      <w:color w:val="auto"/>
                      <w:kern w:val="0"/>
                      <w:lang w:bidi="ar"/>
                    </w:rPr>
                  </w:pPr>
                </w:p>
              </w:tc>
              <w:tc>
                <w:tcPr>
                  <w:tcW w:w="2927" w:type="dxa"/>
                  <w:tcBorders>
                    <w:tl2br w:val="nil"/>
                    <w:tr2bl w:val="nil"/>
                  </w:tcBorders>
                  <w:vAlign w:val="center"/>
                </w:tcPr>
                <w:p w14:paraId="3A84EE5A">
                  <w:pPr>
                    <w:widowControl/>
                    <w:adjustRightInd w:val="0"/>
                    <w:snapToGrid w:val="0"/>
                    <w:jc w:val="center"/>
                    <w:rPr>
                      <w:color w:val="auto"/>
                      <w:kern w:val="0"/>
                      <w:lang w:bidi="ar"/>
                    </w:rPr>
                  </w:pPr>
                  <w:r>
                    <w:rPr>
                      <w:rFonts w:hint="eastAsia"/>
                      <w:color w:val="auto"/>
                      <w:kern w:val="0"/>
                      <w:lang w:bidi="ar"/>
                    </w:rPr>
                    <w:t>热电联产（4412）</w:t>
                  </w:r>
                </w:p>
              </w:tc>
              <w:tc>
                <w:tcPr>
                  <w:tcW w:w="2863" w:type="dxa"/>
                  <w:tcBorders>
                    <w:tl2br w:val="nil"/>
                    <w:tr2bl w:val="nil"/>
                  </w:tcBorders>
                  <w:vAlign w:val="center"/>
                </w:tcPr>
                <w:p w14:paraId="3A84EE5B">
                  <w:pPr>
                    <w:widowControl/>
                    <w:adjustRightInd w:val="0"/>
                    <w:snapToGrid w:val="0"/>
                    <w:jc w:val="center"/>
                    <w:rPr>
                      <w:color w:val="auto"/>
                      <w:kern w:val="0"/>
                      <w:lang w:bidi="ar"/>
                    </w:rPr>
                  </w:pPr>
                  <w:r>
                    <w:rPr>
                      <w:rFonts w:hint="eastAsia"/>
                      <w:color w:val="auto"/>
                      <w:kern w:val="0"/>
                      <w:lang w:bidi="ar"/>
                    </w:rPr>
                    <w:t>燃煤热电联产。</w:t>
                  </w:r>
                </w:p>
              </w:tc>
              <w:tc>
                <w:tcPr>
                  <w:tcW w:w="1161" w:type="dxa"/>
                  <w:vMerge w:val="continue"/>
                  <w:tcBorders>
                    <w:tl2br w:val="nil"/>
                    <w:tr2bl w:val="nil"/>
                  </w:tcBorders>
                  <w:vAlign w:val="center"/>
                </w:tcPr>
                <w:p w14:paraId="3A84EE5C">
                  <w:pPr>
                    <w:widowControl/>
                    <w:adjustRightInd w:val="0"/>
                    <w:snapToGrid w:val="0"/>
                    <w:jc w:val="center"/>
                    <w:rPr>
                      <w:color w:val="auto"/>
                      <w:kern w:val="0"/>
                      <w:lang w:bidi="ar"/>
                    </w:rPr>
                  </w:pPr>
                </w:p>
              </w:tc>
            </w:tr>
          </w:tbl>
          <w:p w14:paraId="3A84EE5E">
            <w:pPr>
              <w:overflowPunct w:val="0"/>
              <w:adjustRightInd w:val="0"/>
              <w:snapToGrid w:val="0"/>
              <w:spacing w:line="360" w:lineRule="auto"/>
              <w:ind w:firstLine="422" w:firstLineChars="200"/>
              <w:rPr>
                <w:b/>
                <w:color w:val="auto"/>
              </w:rPr>
            </w:pPr>
            <w:r>
              <w:rPr>
                <w:rFonts w:hint="eastAsia"/>
                <w:b/>
                <w:color w:val="auto"/>
              </w:rPr>
              <w:t>2、“三线一单”符合性分析</w:t>
            </w:r>
          </w:p>
          <w:p w14:paraId="3A84EE5F">
            <w:pPr>
              <w:overflowPunct w:val="0"/>
              <w:adjustRightInd w:val="0"/>
              <w:snapToGrid w:val="0"/>
              <w:spacing w:line="360" w:lineRule="auto"/>
              <w:ind w:firstLine="422" w:firstLineChars="200"/>
              <w:rPr>
                <w:b/>
                <w:color w:val="auto"/>
              </w:rPr>
            </w:pPr>
            <w:r>
              <w:rPr>
                <w:rFonts w:hint="eastAsia"/>
                <w:b/>
                <w:color w:val="auto"/>
              </w:rPr>
              <w:t>（1）“生态保护红线”符合性分析</w:t>
            </w:r>
          </w:p>
          <w:p w14:paraId="3A84EE60">
            <w:pPr>
              <w:pStyle w:val="23"/>
              <w:ind w:firstLine="420" w:firstLineChars="200"/>
              <w:rPr>
                <w:bCs/>
                <w:color w:val="auto"/>
                <w:sz w:val="21"/>
                <w:szCs w:val="21"/>
              </w:rPr>
            </w:pPr>
            <w:r>
              <w:rPr>
                <w:rFonts w:hint="eastAsia"/>
                <w:bCs/>
                <w:color w:val="auto"/>
                <w:sz w:val="21"/>
                <w:szCs w:val="21"/>
              </w:rPr>
              <w:t>根据《省政府关于印发江苏省生态空间管控区域规划的通知》（苏政发[2020]1号）和《江苏省国家级生态保护红线规划》（苏政发[2018]74号），对照江苏省生态空间保护区域分布图，项目建设区域与国家级生态保护红线范围及江苏省生态空间管控区域范围均无交集，不涉及金坛区内的生态红线区域，不会导致金坛区辖区内生态红线区域服务功能下降，故本项目的建设符合《江苏省生态空间管控区域规划》（苏政发[2020]1号）和《江苏省国家级生态保护红线规划》（苏政发[2018]74号）相关要求。</w:t>
            </w:r>
          </w:p>
          <w:p w14:paraId="3A84EE61">
            <w:pPr>
              <w:pStyle w:val="23"/>
              <w:ind w:firstLine="422" w:firstLineChars="200"/>
              <w:rPr>
                <w:b/>
                <w:bCs/>
                <w:color w:val="auto"/>
                <w:sz w:val="21"/>
                <w:szCs w:val="21"/>
              </w:rPr>
            </w:pPr>
            <w:r>
              <w:rPr>
                <w:rFonts w:hint="eastAsia"/>
                <w:b/>
                <w:bCs/>
                <w:color w:val="auto"/>
                <w:sz w:val="21"/>
                <w:szCs w:val="21"/>
              </w:rPr>
              <w:t>（2）“环境质量底线”符合性分析</w:t>
            </w:r>
          </w:p>
          <w:p w14:paraId="3A84EE62">
            <w:pPr>
              <w:adjustRightInd w:val="0"/>
              <w:snapToGrid w:val="0"/>
              <w:spacing w:line="360" w:lineRule="auto"/>
              <w:ind w:firstLine="420" w:firstLineChars="200"/>
              <w:rPr>
                <w:color w:val="auto"/>
                <w:kern w:val="0"/>
              </w:rPr>
            </w:pPr>
            <w:r>
              <w:rPr>
                <w:color w:val="auto"/>
                <w:kern w:val="0"/>
              </w:rPr>
              <w:t>环境空气：根据《202</w:t>
            </w:r>
            <w:r>
              <w:rPr>
                <w:rFonts w:hint="eastAsia"/>
                <w:color w:val="auto"/>
                <w:kern w:val="0"/>
              </w:rPr>
              <w:t>3</w:t>
            </w:r>
            <w:r>
              <w:rPr>
                <w:color w:val="auto"/>
                <w:kern w:val="0"/>
              </w:rPr>
              <w:t>年常州市生态环境状况公报》，202</w:t>
            </w:r>
            <w:r>
              <w:rPr>
                <w:rFonts w:hint="eastAsia"/>
                <w:color w:val="auto"/>
                <w:kern w:val="0"/>
              </w:rPr>
              <w:t>3</w:t>
            </w:r>
            <w:r>
              <w:rPr>
                <w:color w:val="auto"/>
                <w:kern w:val="0"/>
                <w:lang w:val="zh-TW"/>
              </w:rPr>
              <w:t>年，全市空气质量优良天数285天</w:t>
            </w:r>
            <w:r>
              <w:rPr>
                <w:rFonts w:hint="eastAsia"/>
                <w:color w:val="auto"/>
                <w:kern w:val="0"/>
                <w:lang w:val="zh-TW"/>
              </w:rPr>
              <w:t>，</w:t>
            </w:r>
            <w:r>
              <w:rPr>
                <w:color w:val="auto"/>
                <w:kern w:val="0"/>
                <w:lang w:val="zh-TW"/>
              </w:rPr>
              <w:t>优良率78.1%</w:t>
            </w:r>
            <w:r>
              <w:rPr>
                <w:rFonts w:hint="eastAsia"/>
                <w:color w:val="auto"/>
                <w:kern w:val="0"/>
                <w:lang w:val="zh-TW"/>
              </w:rPr>
              <w:t>；</w:t>
            </w:r>
            <w:r>
              <w:rPr>
                <w:color w:val="auto"/>
                <w:kern w:val="0"/>
                <w:lang w:val="zh-TW"/>
              </w:rPr>
              <w:t>其中市区空气质量优良天数283天</w:t>
            </w:r>
            <w:r>
              <w:rPr>
                <w:rFonts w:hint="eastAsia"/>
                <w:color w:val="auto"/>
                <w:kern w:val="0"/>
                <w:lang w:val="zh-TW"/>
              </w:rPr>
              <w:t>，</w:t>
            </w:r>
            <w:r>
              <w:rPr>
                <w:color w:val="auto"/>
                <w:kern w:val="0"/>
                <w:lang w:val="zh-TW"/>
              </w:rPr>
              <w:t>同比增加3天</w:t>
            </w:r>
            <w:r>
              <w:rPr>
                <w:rFonts w:hint="eastAsia"/>
                <w:color w:val="auto"/>
                <w:kern w:val="0"/>
                <w:lang w:val="zh-TW"/>
              </w:rPr>
              <w:t>，</w:t>
            </w:r>
            <w:r>
              <w:rPr>
                <w:color w:val="auto"/>
                <w:kern w:val="0"/>
                <w:lang w:val="zh-TW"/>
              </w:rPr>
              <w:t>优良率为77.5%</w:t>
            </w:r>
            <w:r>
              <w:rPr>
                <w:rFonts w:hint="eastAsia"/>
                <w:color w:val="auto"/>
                <w:kern w:val="0"/>
                <w:lang w:val="zh-TW"/>
              </w:rPr>
              <w:t>，</w:t>
            </w:r>
            <w:r>
              <w:rPr>
                <w:color w:val="auto"/>
                <w:kern w:val="0"/>
                <w:lang w:val="zh-TW"/>
              </w:rPr>
              <w:t>同比上升2.1个百分点。全市环境空气中细颗粒物</w:t>
            </w:r>
            <w:r>
              <w:rPr>
                <w:rFonts w:hint="eastAsia"/>
                <w:color w:val="auto"/>
                <w:kern w:val="0"/>
                <w:lang w:val="zh-TW"/>
              </w:rPr>
              <w:t>（</w:t>
            </w:r>
            <w:r>
              <w:rPr>
                <w:color w:val="auto"/>
                <w:kern w:val="0"/>
                <w:lang w:val="zh-TW"/>
              </w:rPr>
              <w:t>PM</w:t>
            </w:r>
            <w:r>
              <w:rPr>
                <w:rFonts w:hint="eastAsia"/>
                <w:color w:val="auto"/>
                <w:kern w:val="0"/>
                <w:vertAlign w:val="subscript"/>
              </w:rPr>
              <w:t>2.5</w:t>
            </w:r>
            <w:r>
              <w:rPr>
                <w:rFonts w:hint="eastAsia"/>
                <w:color w:val="auto"/>
                <w:kern w:val="0"/>
                <w:lang w:val="zh-TW"/>
              </w:rPr>
              <w:t>）</w:t>
            </w:r>
            <w:r>
              <w:rPr>
                <w:color w:val="auto"/>
                <w:kern w:val="0"/>
                <w:lang w:val="zh-TW"/>
              </w:rPr>
              <w:t>、可吸入颗粒物</w:t>
            </w:r>
            <w:r>
              <w:rPr>
                <w:rFonts w:hint="eastAsia"/>
                <w:color w:val="auto"/>
                <w:kern w:val="0"/>
                <w:lang w:val="zh-TW"/>
              </w:rPr>
              <w:t>（</w:t>
            </w:r>
            <w:r>
              <w:rPr>
                <w:color w:val="auto"/>
                <w:kern w:val="0"/>
                <w:lang w:val="zh-TW"/>
              </w:rPr>
              <w:t>PM</w:t>
            </w:r>
            <w:r>
              <w:rPr>
                <w:rFonts w:hint="eastAsia"/>
                <w:color w:val="auto"/>
                <w:kern w:val="0"/>
                <w:vertAlign w:val="subscript"/>
              </w:rPr>
              <w:t>10</w:t>
            </w:r>
            <w:r>
              <w:rPr>
                <w:rFonts w:hint="eastAsia"/>
                <w:color w:val="auto"/>
                <w:kern w:val="0"/>
                <w:lang w:val="zh-TW"/>
              </w:rPr>
              <w:t>）</w:t>
            </w:r>
            <w:r>
              <w:rPr>
                <w:color w:val="auto"/>
                <w:kern w:val="0"/>
                <w:lang w:val="zh-TW"/>
              </w:rPr>
              <w:t>、二氧化硫</w:t>
            </w:r>
            <w:r>
              <w:rPr>
                <w:rFonts w:hint="eastAsia"/>
                <w:color w:val="auto"/>
                <w:kern w:val="0"/>
                <w:lang w:val="zh-TW"/>
              </w:rPr>
              <w:t>（</w:t>
            </w:r>
            <w:r>
              <w:rPr>
                <w:color w:val="auto"/>
                <w:kern w:val="0"/>
                <w:lang w:val="zh-TW"/>
              </w:rPr>
              <w:t>SO</w:t>
            </w:r>
            <w:r>
              <w:rPr>
                <w:rFonts w:hint="eastAsia"/>
                <w:color w:val="auto"/>
                <w:kern w:val="0"/>
                <w:vertAlign w:val="subscript"/>
              </w:rPr>
              <w:t>2</w:t>
            </w:r>
            <w:r>
              <w:rPr>
                <w:rFonts w:hint="eastAsia"/>
                <w:color w:val="auto"/>
                <w:kern w:val="0"/>
                <w:lang w:val="zh-TW"/>
              </w:rPr>
              <w:t>）</w:t>
            </w:r>
            <w:r>
              <w:rPr>
                <w:color w:val="auto"/>
                <w:kern w:val="0"/>
                <w:lang w:val="zh-TW"/>
              </w:rPr>
              <w:t>、二氧化氮</w:t>
            </w:r>
            <w:r>
              <w:rPr>
                <w:rFonts w:hint="eastAsia"/>
                <w:color w:val="auto"/>
                <w:kern w:val="0"/>
                <w:lang w:val="zh-TW"/>
              </w:rPr>
              <w:t>（</w:t>
            </w:r>
            <w:r>
              <w:rPr>
                <w:color w:val="auto"/>
                <w:kern w:val="0"/>
                <w:lang w:val="zh-TW"/>
              </w:rPr>
              <w:t>NO</w:t>
            </w:r>
            <w:r>
              <w:rPr>
                <w:rFonts w:hint="eastAsia"/>
                <w:color w:val="auto"/>
                <w:kern w:val="0"/>
                <w:vertAlign w:val="subscript"/>
              </w:rPr>
              <w:t>2</w:t>
            </w:r>
            <w:r>
              <w:rPr>
                <w:rFonts w:hint="eastAsia"/>
                <w:color w:val="auto"/>
                <w:kern w:val="0"/>
                <w:lang w:val="zh-TW"/>
              </w:rPr>
              <w:t>）</w:t>
            </w:r>
            <w:r>
              <w:rPr>
                <w:color w:val="auto"/>
                <w:kern w:val="0"/>
                <w:lang w:val="zh-TW"/>
              </w:rPr>
              <w:t>年均浓度分别为34微克/立方米、57微克/立方米、8微克/立方米、30微克/立方米</w:t>
            </w:r>
            <w:r>
              <w:rPr>
                <w:rFonts w:hint="eastAsia"/>
                <w:color w:val="auto"/>
                <w:kern w:val="0"/>
                <w:lang w:val="zh-TW"/>
              </w:rPr>
              <w:t>；</w:t>
            </w:r>
            <w:r>
              <w:rPr>
                <w:color w:val="auto"/>
                <w:kern w:val="0"/>
                <w:lang w:val="zh-TW"/>
              </w:rPr>
              <w:t>一氧化碳</w:t>
            </w:r>
            <w:r>
              <w:rPr>
                <w:rFonts w:hint="eastAsia"/>
                <w:color w:val="auto"/>
                <w:kern w:val="0"/>
                <w:lang w:val="zh-TW"/>
              </w:rPr>
              <w:t>（</w:t>
            </w:r>
            <w:r>
              <w:rPr>
                <w:color w:val="auto"/>
                <w:kern w:val="0"/>
                <w:lang w:val="zh-TW"/>
              </w:rPr>
              <w:t>CO</w:t>
            </w:r>
            <w:r>
              <w:rPr>
                <w:rFonts w:hint="eastAsia"/>
                <w:color w:val="auto"/>
                <w:kern w:val="0"/>
                <w:lang w:val="zh-TW"/>
              </w:rPr>
              <w:t>）</w:t>
            </w:r>
            <w:r>
              <w:rPr>
                <w:color w:val="auto"/>
                <w:kern w:val="0"/>
                <w:lang w:val="zh-TW"/>
              </w:rPr>
              <w:t>和臭氧</w:t>
            </w:r>
            <w:r>
              <w:rPr>
                <w:rFonts w:hint="eastAsia"/>
                <w:color w:val="auto"/>
                <w:kern w:val="0"/>
                <w:lang w:val="zh-TW"/>
              </w:rPr>
              <w:t>（</w:t>
            </w:r>
            <w:r>
              <w:rPr>
                <w:rFonts w:hint="eastAsia"/>
                <w:color w:val="auto"/>
                <w:kern w:val="0"/>
              </w:rPr>
              <w:t>O</w:t>
            </w:r>
            <w:r>
              <w:rPr>
                <w:rFonts w:hint="eastAsia"/>
                <w:color w:val="auto"/>
                <w:kern w:val="0"/>
                <w:vertAlign w:val="subscript"/>
              </w:rPr>
              <w:t>3</w:t>
            </w:r>
            <w:r>
              <w:rPr>
                <w:rFonts w:hint="eastAsia"/>
                <w:color w:val="auto"/>
                <w:kern w:val="0"/>
                <w:lang w:val="zh-TW"/>
              </w:rPr>
              <w:t>）</w:t>
            </w:r>
            <w:r>
              <w:rPr>
                <w:color w:val="auto"/>
                <w:kern w:val="0"/>
                <w:lang w:val="zh-TW"/>
              </w:rPr>
              <w:t>浓度分别为1.1毫克/立方米和175微克/立方米。与2022年相比</w:t>
            </w:r>
            <w:r>
              <w:rPr>
                <w:rFonts w:hint="eastAsia"/>
                <w:color w:val="auto"/>
                <w:kern w:val="0"/>
                <w:lang w:val="zh-TW"/>
              </w:rPr>
              <w:t>，</w:t>
            </w:r>
            <w:r>
              <w:rPr>
                <w:color w:val="auto"/>
                <w:kern w:val="0"/>
                <w:lang w:val="zh-TW"/>
              </w:rPr>
              <w:t>PM</w:t>
            </w:r>
            <w:r>
              <w:rPr>
                <w:rFonts w:hint="eastAsia"/>
                <w:color w:val="auto"/>
                <w:kern w:val="0"/>
                <w:vertAlign w:val="subscript"/>
              </w:rPr>
              <w:t>2.5</w:t>
            </w:r>
            <w:r>
              <w:rPr>
                <w:rFonts w:hint="eastAsia"/>
                <w:color w:val="auto"/>
                <w:kern w:val="0"/>
              </w:rPr>
              <w:t>、</w:t>
            </w:r>
            <w:r>
              <w:rPr>
                <w:color w:val="auto"/>
                <w:kern w:val="0"/>
                <w:lang w:val="zh-TW"/>
              </w:rPr>
              <w:t>PM</w:t>
            </w:r>
            <w:r>
              <w:rPr>
                <w:rFonts w:hint="eastAsia"/>
                <w:color w:val="auto"/>
                <w:kern w:val="0"/>
                <w:vertAlign w:val="subscript"/>
              </w:rPr>
              <w:t>10</w:t>
            </w:r>
            <w:r>
              <w:rPr>
                <w:rFonts w:hint="eastAsia"/>
                <w:color w:val="auto"/>
                <w:kern w:val="0"/>
              </w:rPr>
              <w:t>、</w:t>
            </w:r>
            <w:r>
              <w:rPr>
                <w:color w:val="auto"/>
                <w:kern w:val="0"/>
                <w:lang w:val="zh-TW"/>
              </w:rPr>
              <w:t>SO</w:t>
            </w:r>
            <w:r>
              <w:rPr>
                <w:rFonts w:hint="eastAsia"/>
                <w:color w:val="auto"/>
                <w:kern w:val="0"/>
                <w:vertAlign w:val="subscript"/>
              </w:rPr>
              <w:t>2</w:t>
            </w:r>
            <w:r>
              <w:rPr>
                <w:color w:val="auto"/>
                <w:kern w:val="0"/>
                <w:lang w:val="zh-TW"/>
              </w:rPr>
              <w:t>、NO</w:t>
            </w:r>
            <w:r>
              <w:rPr>
                <w:rFonts w:hint="eastAsia"/>
                <w:color w:val="auto"/>
                <w:kern w:val="0"/>
                <w:vertAlign w:val="subscript"/>
              </w:rPr>
              <w:t>2</w:t>
            </w:r>
            <w:r>
              <w:rPr>
                <w:color w:val="auto"/>
                <w:kern w:val="0"/>
                <w:lang w:val="zh-TW"/>
              </w:rPr>
              <w:t>和CO浓度分别上升3.0%、3.6%、14.3%、7.1%和10%</w:t>
            </w:r>
            <w:r>
              <w:rPr>
                <w:rFonts w:hint="eastAsia"/>
                <w:color w:val="auto"/>
                <w:kern w:val="0"/>
                <w:lang w:val="zh-TW"/>
              </w:rPr>
              <w:t>，</w:t>
            </w:r>
            <w:r>
              <w:rPr>
                <w:rFonts w:hint="eastAsia"/>
                <w:color w:val="auto"/>
                <w:kern w:val="0"/>
              </w:rPr>
              <w:t>O</w:t>
            </w:r>
            <w:r>
              <w:rPr>
                <w:rFonts w:hint="eastAsia"/>
                <w:color w:val="auto"/>
                <w:kern w:val="0"/>
                <w:vertAlign w:val="subscript"/>
              </w:rPr>
              <w:t>3</w:t>
            </w:r>
            <w:r>
              <w:rPr>
                <w:color w:val="auto"/>
                <w:kern w:val="0"/>
                <w:lang w:val="zh-TW"/>
              </w:rPr>
              <w:t>浓度降低0.06%。</w:t>
            </w:r>
            <w:r>
              <w:rPr>
                <w:color w:val="auto"/>
                <w:kern w:val="0"/>
              </w:rPr>
              <w:t>项目所在区域202</w:t>
            </w:r>
            <w:r>
              <w:rPr>
                <w:rFonts w:hint="eastAsia"/>
                <w:color w:val="auto"/>
                <w:kern w:val="0"/>
              </w:rPr>
              <w:t>3</w:t>
            </w:r>
            <w:r>
              <w:rPr>
                <w:color w:val="auto"/>
                <w:kern w:val="0"/>
              </w:rPr>
              <w:t>年环境空气质量不达标。</w:t>
            </w:r>
          </w:p>
          <w:p w14:paraId="3A84EE63">
            <w:pPr>
              <w:spacing w:line="360" w:lineRule="auto"/>
              <w:ind w:firstLine="411" w:firstLineChars="196"/>
              <w:rPr>
                <w:color w:val="auto"/>
                <w:kern w:val="0"/>
              </w:rPr>
            </w:pPr>
            <w:r>
              <w:rPr>
                <w:color w:val="auto"/>
                <w:kern w:val="0"/>
              </w:rPr>
              <w:t>常州市目前尚未制定大气环境质量限期达标规划，为深入打好蓝天保卫战，持续改善全市环境空气质量，常州市制定了《2023年常州市生态文明建设工作方案》。明确工作目标为全市PM</w:t>
            </w:r>
            <w:r>
              <w:rPr>
                <w:color w:val="auto"/>
                <w:kern w:val="0"/>
                <w:vertAlign w:val="subscript"/>
              </w:rPr>
              <w:t>2.5</w:t>
            </w:r>
            <w:r>
              <w:rPr>
                <w:color w:val="auto"/>
                <w:kern w:val="0"/>
              </w:rPr>
              <w:t>浓度不超过31微克/立方米，优良天数比率不低于80.0%，臭氧污染得到初步遏制；地表水国考、省考、市考断面优Ⅲ比例分别达80%、92.2%和92.4%，国考、省考断面优Ⅱ比例分别达35%和47.1%，市考以上断面消除劣V类，集中式饮用水水源地水质均达到或优于Ⅲ类，高质量实现太湖治理</w:t>
            </w:r>
            <w:r>
              <w:rPr>
                <w:rFonts w:hint="eastAsia"/>
                <w:color w:val="auto"/>
                <w:kern w:val="0"/>
              </w:rPr>
              <w:t>“</w:t>
            </w:r>
            <w:r>
              <w:rPr>
                <w:color w:val="auto"/>
                <w:kern w:val="0"/>
              </w:rPr>
              <w:t>两保两提</w:t>
            </w:r>
            <w:r>
              <w:rPr>
                <w:rFonts w:hint="eastAsia"/>
                <w:color w:val="auto"/>
                <w:kern w:val="0"/>
              </w:rPr>
              <w:t>”</w:t>
            </w:r>
            <w:r>
              <w:rPr>
                <w:color w:val="auto"/>
                <w:kern w:val="0"/>
              </w:rPr>
              <w:t>目标；受污染耕地安全利用率达93%，重点建设用地安全利用得到有效保障。重点工程氮氧化物、挥发性有机物（VOCs）、化学需氧量、氨氮累计减排量5207吨、4856吨、3993吨、225吨。生态质量指数持续提升，林木覆盖率达26.8%，湿地保护率达31.8%。</w:t>
            </w:r>
          </w:p>
          <w:p w14:paraId="3A84EE64">
            <w:pPr>
              <w:pStyle w:val="106"/>
              <w:spacing w:line="360" w:lineRule="auto"/>
              <w:ind w:firstLine="420" w:firstLineChars="200"/>
              <w:jc w:val="both"/>
              <w:rPr>
                <w:rFonts w:ascii="Times New Roman" w:eastAsia="宋体" w:cs="Times New Roman"/>
                <w:b w:val="0"/>
                <w:bCs/>
                <w:color w:val="auto"/>
                <w:kern w:val="0"/>
                <w:sz w:val="21"/>
                <w:szCs w:val="21"/>
              </w:rPr>
            </w:pPr>
            <w:r>
              <w:rPr>
                <w:rFonts w:ascii="Times New Roman" w:eastAsia="宋体" w:cs="Times New Roman"/>
                <w:b w:val="0"/>
                <w:bCs/>
                <w:color w:val="auto"/>
                <w:kern w:val="0"/>
                <w:sz w:val="21"/>
                <w:szCs w:val="21"/>
              </w:rPr>
              <w:t>水环境：</w:t>
            </w:r>
            <w:r>
              <w:rPr>
                <w:rFonts w:hint="eastAsia" w:ascii="Times New Roman" w:eastAsia="宋体" w:cs="Times New Roman"/>
                <w:b w:val="0"/>
                <w:bCs/>
                <w:color w:val="auto"/>
                <w:kern w:val="0"/>
                <w:sz w:val="21"/>
                <w:szCs w:val="21"/>
              </w:rPr>
              <w:t>本项目建成后</w:t>
            </w:r>
            <w:r>
              <w:rPr>
                <w:rFonts w:ascii="Times New Roman" w:eastAsia="宋体" w:cs="Times New Roman"/>
                <w:b w:val="0"/>
                <w:bCs/>
                <w:color w:val="auto"/>
                <w:kern w:val="0"/>
                <w:sz w:val="21"/>
                <w:szCs w:val="21"/>
              </w:rPr>
              <w:t>污水受纳水体</w:t>
            </w:r>
            <w:r>
              <w:rPr>
                <w:rFonts w:hint="eastAsia" w:ascii="Times New Roman" w:eastAsia="宋体" w:cs="Times New Roman"/>
                <w:b w:val="0"/>
                <w:bCs/>
                <w:color w:val="auto"/>
                <w:kern w:val="0"/>
                <w:sz w:val="21"/>
                <w:szCs w:val="21"/>
              </w:rPr>
              <w:t>薛埠河</w:t>
            </w:r>
            <w:r>
              <w:rPr>
                <w:rFonts w:ascii="Times New Roman" w:eastAsia="宋体" w:cs="Times New Roman"/>
                <w:b w:val="0"/>
                <w:bCs/>
                <w:color w:val="auto"/>
                <w:kern w:val="0"/>
                <w:sz w:val="21"/>
                <w:szCs w:val="21"/>
              </w:rPr>
              <w:t>2个断面各监测因子均能满足《地表水环境质量标准》（GB3838-2002）III类水标准要求。</w:t>
            </w:r>
          </w:p>
          <w:p w14:paraId="3A84EE65">
            <w:pPr>
              <w:pStyle w:val="705"/>
              <w:ind w:firstLine="420"/>
              <w:jc w:val="both"/>
              <w:rPr>
                <w:color w:val="auto"/>
                <w:kern w:val="0"/>
                <w:sz w:val="21"/>
              </w:rPr>
            </w:pPr>
            <w:r>
              <w:rPr>
                <w:color w:val="auto"/>
                <w:kern w:val="0"/>
                <w:sz w:val="21"/>
              </w:rPr>
              <w:t>该项目运营过程中会产生一定的污染物，如废气、污水、固废，采取相应的污染防治措施后，在达标的基础上选用处理效率和可靠性高的处理工艺。设备生产噪声在采取隔声、减振措施后厂界可达标；</w:t>
            </w:r>
            <w:r>
              <w:rPr>
                <w:rFonts w:hint="eastAsia"/>
                <w:color w:val="auto"/>
                <w:kern w:val="0"/>
                <w:sz w:val="21"/>
              </w:rPr>
              <w:t>本</w:t>
            </w:r>
            <w:r>
              <w:rPr>
                <w:rFonts w:hint="eastAsia"/>
                <w:bCs/>
                <w:color w:val="auto"/>
                <w:kern w:val="0"/>
                <w:sz w:val="21"/>
              </w:rPr>
              <w:t>项目焚烧产生的有机废气、颗粒物、二噁英等废气经管道密闭收集，收集后的废气</w:t>
            </w:r>
            <w:r>
              <w:rPr>
                <w:rFonts w:hint="eastAsia"/>
                <w:bCs/>
                <w:color w:val="auto"/>
                <w:kern w:val="0"/>
                <w:sz w:val="21"/>
                <w:lang w:val="en-US" w:eastAsia="zh-CN"/>
              </w:rPr>
              <w:t>依托现有</w:t>
            </w:r>
            <w:r>
              <w:rPr>
                <w:rFonts w:hint="eastAsia"/>
                <w:bCs/>
                <w:color w:val="auto"/>
                <w:kern w:val="0"/>
                <w:sz w:val="21"/>
              </w:rPr>
              <w:t>1套“SNCR脱硝+急冷除盐+干粉吸收+布袋除尘+臭氧氧化+碱喷淋吸收装置”处理后通过1根25m高的排气筒3#排放</w:t>
            </w:r>
            <w:r>
              <w:rPr>
                <w:rFonts w:hint="eastAsia"/>
                <w:color w:val="auto"/>
                <w:kern w:val="0"/>
                <w:sz w:val="21"/>
                <w:shd w:val="clear" w:color="auto" w:fill="FFFFFF"/>
              </w:rPr>
              <w:t>。</w:t>
            </w:r>
            <w:r>
              <w:rPr>
                <w:color w:val="auto"/>
                <w:kern w:val="0"/>
                <w:sz w:val="21"/>
              </w:rPr>
              <w:t>污染物排放量较低，对大气环境影响较小；生活污水接管至</w:t>
            </w:r>
            <w:r>
              <w:rPr>
                <w:rFonts w:hint="eastAsia"/>
                <w:color w:val="auto"/>
                <w:kern w:val="0"/>
                <w:sz w:val="21"/>
              </w:rPr>
              <w:t>常州市金坛区茅东污水处理厂</w:t>
            </w:r>
            <w:r>
              <w:rPr>
                <w:color w:val="auto"/>
                <w:kern w:val="0"/>
                <w:sz w:val="21"/>
              </w:rPr>
              <w:t>集中处理；固体废物均按照要求委托相关单位进行妥善处置。上述措施确保拟建项目污染物排放对环境的影响降到最低，不会突破环境质量底线，改变区域环境功能区。</w:t>
            </w:r>
          </w:p>
          <w:p w14:paraId="3A84EE66">
            <w:pPr>
              <w:overflowPunct w:val="0"/>
              <w:spacing w:line="360" w:lineRule="auto"/>
              <w:ind w:firstLine="422" w:firstLineChars="200"/>
              <w:rPr>
                <w:b/>
                <w:bCs/>
                <w:color w:val="auto"/>
              </w:rPr>
            </w:pPr>
            <w:r>
              <w:rPr>
                <w:rFonts w:hint="eastAsia"/>
                <w:b/>
                <w:bCs/>
                <w:color w:val="auto"/>
              </w:rPr>
              <w:t>（3）“资源利用上线”符合性分析</w:t>
            </w:r>
          </w:p>
          <w:p w14:paraId="3A84EE67">
            <w:pPr>
              <w:overflowPunct w:val="0"/>
              <w:spacing w:line="360" w:lineRule="auto"/>
              <w:ind w:firstLine="420" w:firstLineChars="200"/>
              <w:rPr>
                <w:color w:val="auto"/>
              </w:rPr>
            </w:pPr>
            <w:r>
              <w:rPr>
                <w:color w:val="auto"/>
                <w:kern w:val="0"/>
              </w:rPr>
              <w:t>本项目</w:t>
            </w:r>
            <w:r>
              <w:rPr>
                <w:rFonts w:hint="eastAsia"/>
                <w:color w:val="auto"/>
                <w:kern w:val="0"/>
              </w:rPr>
              <w:t>利用现有厂房</w:t>
            </w:r>
            <w:r>
              <w:rPr>
                <w:color w:val="auto"/>
                <w:kern w:val="0"/>
              </w:rPr>
              <w:t>进行生产</w:t>
            </w:r>
            <w:r>
              <w:rPr>
                <w:rFonts w:hint="eastAsia"/>
                <w:color w:val="auto"/>
              </w:rPr>
              <w:t>，所用的资源主要为水资源和电能，项目所在地水资源丰富，耗电量不大，不会达到资源利用上线；项目占地符合当地规划要求，亦不会达到资源利用上线。</w:t>
            </w:r>
          </w:p>
          <w:p w14:paraId="3A84EE68">
            <w:pPr>
              <w:overflowPunct w:val="0"/>
              <w:spacing w:line="360" w:lineRule="auto"/>
              <w:ind w:firstLine="422" w:firstLineChars="200"/>
              <w:rPr>
                <w:b/>
                <w:bCs/>
                <w:color w:val="auto"/>
              </w:rPr>
            </w:pPr>
            <w:r>
              <w:rPr>
                <w:rFonts w:hint="eastAsia"/>
                <w:b/>
                <w:bCs/>
                <w:color w:val="auto"/>
              </w:rPr>
              <w:t>（4）“负面清单”符合性分析</w:t>
            </w:r>
          </w:p>
          <w:p w14:paraId="3A84EE69">
            <w:pPr>
              <w:adjustRightInd w:val="0"/>
              <w:snapToGrid w:val="0"/>
              <w:spacing w:line="360" w:lineRule="auto"/>
              <w:ind w:firstLine="420" w:firstLineChars="200"/>
              <w:jc w:val="left"/>
              <w:rPr>
                <w:color w:val="auto"/>
              </w:rPr>
            </w:pPr>
            <w:r>
              <w:rPr>
                <w:rFonts w:hint="eastAsia"/>
                <w:color w:val="auto"/>
              </w:rPr>
              <w:t>金坛区尚未颁布环境准入负面清单，本次环评对照国家、地方相关产业政策文件分析。</w:t>
            </w:r>
          </w:p>
          <w:p w14:paraId="3A84EE6A">
            <w:pPr>
              <w:adjustRightInd w:val="0"/>
              <w:snapToGrid w:val="0"/>
              <w:spacing w:line="360" w:lineRule="auto"/>
              <w:ind w:firstLine="420" w:firstLineChars="200"/>
              <w:jc w:val="left"/>
              <w:rPr>
                <w:b/>
                <w:bCs/>
                <w:color w:val="auto"/>
              </w:rPr>
            </w:pPr>
            <w:r>
              <w:rPr>
                <w:rFonts w:hint="eastAsia"/>
                <w:color w:val="auto"/>
              </w:rPr>
              <w:t>①对照《市场准入负面清单（20</w:t>
            </w:r>
            <w:r>
              <w:rPr>
                <w:color w:val="auto"/>
              </w:rPr>
              <w:t>22</w:t>
            </w:r>
            <w:r>
              <w:rPr>
                <w:rFonts w:hint="eastAsia"/>
                <w:color w:val="auto"/>
              </w:rPr>
              <w:t>年版）》，本项目不属于负面清单中所列项目。</w:t>
            </w:r>
          </w:p>
          <w:p w14:paraId="3A84EE6B">
            <w:pPr>
              <w:overflowPunct w:val="0"/>
              <w:adjustRightInd w:val="0"/>
              <w:snapToGrid w:val="0"/>
              <w:spacing w:line="360" w:lineRule="auto"/>
              <w:ind w:firstLine="420" w:firstLineChars="200"/>
              <w:rPr>
                <w:b/>
                <w:bCs/>
                <w:color w:val="auto"/>
              </w:rPr>
            </w:pPr>
            <w:r>
              <w:rPr>
                <w:rFonts w:hint="eastAsia"/>
                <w:color w:val="auto"/>
              </w:rPr>
              <w:t>②与《&lt;长江经济带发展负面清单指南（试行，2022年版）&gt;江苏省实施细则的通知》（苏长江办发[2022]55号）相符性分析。</w:t>
            </w:r>
          </w:p>
          <w:p w14:paraId="3A84EE6C">
            <w:pPr>
              <w:widowControl/>
              <w:overflowPunct w:val="0"/>
              <w:adjustRightInd w:val="0"/>
              <w:snapToGrid w:val="0"/>
              <w:jc w:val="center"/>
              <w:rPr>
                <w:b/>
                <w:bCs/>
                <w:color w:val="auto"/>
              </w:rPr>
            </w:pPr>
            <w:r>
              <w:rPr>
                <w:b/>
                <w:bCs/>
                <w:color w:val="auto"/>
              </w:rPr>
              <w:t>表1-</w:t>
            </w:r>
            <w:r>
              <w:rPr>
                <w:rFonts w:hint="eastAsia"/>
                <w:b/>
                <w:bCs/>
                <w:color w:val="auto"/>
                <w:lang w:val="en-US" w:eastAsia="zh-CN"/>
              </w:rPr>
              <w:t>4</w:t>
            </w:r>
            <w:r>
              <w:rPr>
                <w:rFonts w:hint="eastAsia"/>
                <w:b/>
                <w:bCs/>
                <w:color w:val="auto"/>
              </w:rPr>
              <w:t xml:space="preserve">   《&lt;长江经济带发展负面清单指南（试行，2022年版）&gt;江苏省实施细则的通知》（苏长江办发[2022]55号）</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2"/>
              <w:gridCol w:w="4332"/>
              <w:gridCol w:w="2274"/>
              <w:gridCol w:w="874"/>
            </w:tblGrid>
            <w:tr w14:paraId="3A84EE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3A84EE6D">
                  <w:pPr>
                    <w:widowControl/>
                    <w:autoSpaceDE w:val="0"/>
                    <w:autoSpaceDN w:val="0"/>
                    <w:adjustRightInd w:val="0"/>
                    <w:snapToGrid w:val="0"/>
                    <w:jc w:val="center"/>
                    <w:textAlignment w:val="center"/>
                    <w:rPr>
                      <w:b/>
                      <w:bCs/>
                      <w:color w:val="auto"/>
                      <w:kern w:val="0"/>
                    </w:rPr>
                  </w:pPr>
                  <w:r>
                    <w:rPr>
                      <w:rFonts w:hint="eastAsia"/>
                      <w:b/>
                      <w:bCs/>
                      <w:color w:val="auto"/>
                      <w:kern w:val="0"/>
                    </w:rPr>
                    <w:t>条款</w:t>
                  </w:r>
                </w:p>
              </w:tc>
              <w:tc>
                <w:tcPr>
                  <w:tcW w:w="2656" w:type="pct"/>
                  <w:vAlign w:val="center"/>
                </w:tcPr>
                <w:p w14:paraId="3A84EE6E">
                  <w:pPr>
                    <w:widowControl/>
                    <w:autoSpaceDE w:val="0"/>
                    <w:autoSpaceDN w:val="0"/>
                    <w:adjustRightInd w:val="0"/>
                    <w:snapToGrid w:val="0"/>
                    <w:jc w:val="center"/>
                    <w:textAlignment w:val="center"/>
                    <w:rPr>
                      <w:b/>
                      <w:bCs/>
                      <w:color w:val="auto"/>
                      <w:kern w:val="0"/>
                    </w:rPr>
                  </w:pPr>
                  <w:r>
                    <w:rPr>
                      <w:b/>
                      <w:bCs/>
                      <w:color w:val="auto"/>
                      <w:kern w:val="0"/>
                    </w:rPr>
                    <w:t>相关要求</w:t>
                  </w:r>
                </w:p>
              </w:tc>
              <w:tc>
                <w:tcPr>
                  <w:tcW w:w="1394" w:type="pct"/>
                  <w:vAlign w:val="center"/>
                </w:tcPr>
                <w:p w14:paraId="3A84EE6F">
                  <w:pPr>
                    <w:widowControl/>
                    <w:autoSpaceDE w:val="0"/>
                    <w:autoSpaceDN w:val="0"/>
                    <w:adjustRightInd w:val="0"/>
                    <w:snapToGrid w:val="0"/>
                    <w:jc w:val="center"/>
                    <w:textAlignment w:val="center"/>
                    <w:rPr>
                      <w:b/>
                      <w:bCs/>
                      <w:color w:val="auto"/>
                      <w:kern w:val="0"/>
                    </w:rPr>
                  </w:pPr>
                  <w:r>
                    <w:rPr>
                      <w:b/>
                      <w:bCs/>
                      <w:color w:val="auto"/>
                      <w:kern w:val="0"/>
                    </w:rPr>
                    <w:t>企业情况</w:t>
                  </w:r>
                </w:p>
              </w:tc>
              <w:tc>
                <w:tcPr>
                  <w:tcW w:w="536" w:type="pct"/>
                  <w:vAlign w:val="center"/>
                </w:tcPr>
                <w:p w14:paraId="3A84EE70">
                  <w:pPr>
                    <w:widowControl/>
                    <w:autoSpaceDE w:val="0"/>
                    <w:autoSpaceDN w:val="0"/>
                    <w:adjustRightInd w:val="0"/>
                    <w:snapToGrid w:val="0"/>
                    <w:jc w:val="center"/>
                    <w:textAlignment w:val="center"/>
                    <w:rPr>
                      <w:b/>
                      <w:bCs/>
                      <w:color w:val="auto"/>
                      <w:kern w:val="0"/>
                    </w:rPr>
                  </w:pPr>
                  <w:r>
                    <w:rPr>
                      <w:b/>
                      <w:bCs/>
                      <w:color w:val="auto"/>
                      <w:kern w:val="0"/>
                    </w:rPr>
                    <w:t>相符性</w:t>
                  </w:r>
                </w:p>
              </w:tc>
            </w:tr>
            <w:tr w14:paraId="3A84E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restart"/>
                  <w:vAlign w:val="center"/>
                </w:tcPr>
                <w:p w14:paraId="3A84EE72">
                  <w:pPr>
                    <w:widowControl/>
                    <w:autoSpaceDE w:val="0"/>
                    <w:autoSpaceDN w:val="0"/>
                    <w:adjustRightInd w:val="0"/>
                    <w:snapToGrid w:val="0"/>
                    <w:jc w:val="center"/>
                    <w:textAlignment w:val="center"/>
                    <w:rPr>
                      <w:color w:val="auto"/>
                      <w:kern w:val="0"/>
                    </w:rPr>
                  </w:pPr>
                  <w:r>
                    <w:rPr>
                      <w:rFonts w:hint="eastAsia"/>
                      <w:color w:val="auto"/>
                      <w:kern w:val="0"/>
                    </w:rPr>
                    <w:t>一、河段利用和岸线开发</w:t>
                  </w:r>
                </w:p>
              </w:tc>
              <w:tc>
                <w:tcPr>
                  <w:tcW w:w="2656" w:type="pct"/>
                  <w:vAlign w:val="center"/>
                </w:tcPr>
                <w:p w14:paraId="3A84EE73">
                  <w:pPr>
                    <w:widowControl/>
                    <w:autoSpaceDE w:val="0"/>
                    <w:autoSpaceDN w:val="0"/>
                    <w:adjustRightInd w:val="0"/>
                    <w:snapToGrid w:val="0"/>
                    <w:jc w:val="center"/>
                    <w:textAlignment w:val="center"/>
                    <w:rPr>
                      <w:color w:val="auto"/>
                      <w:kern w:val="0"/>
                    </w:rPr>
                  </w:pPr>
                  <w:r>
                    <w:rPr>
                      <w:rFonts w:hint="eastAsia"/>
                      <w:color w:val="auto"/>
                      <w:kern w:val="0"/>
                    </w:rPr>
                    <w:t>1.禁止建设不符合国家港口布局规划和《江苏省沿江沿海港口布局规划（2015-2030年）》《江苏省内河港口布局规划（2017-2035年）》以及我省有关港口总体规划的码头项目，禁止建设未纳入《长江干线过江通道布局规划》的过长江通道项目。</w:t>
                  </w:r>
                </w:p>
              </w:tc>
              <w:tc>
                <w:tcPr>
                  <w:tcW w:w="1394" w:type="pct"/>
                  <w:vAlign w:val="center"/>
                </w:tcPr>
                <w:p w14:paraId="3A84EE74">
                  <w:pPr>
                    <w:widowControl/>
                    <w:autoSpaceDE w:val="0"/>
                    <w:autoSpaceDN w:val="0"/>
                    <w:adjustRightInd w:val="0"/>
                    <w:snapToGrid w:val="0"/>
                    <w:jc w:val="center"/>
                    <w:textAlignment w:val="center"/>
                    <w:rPr>
                      <w:color w:val="auto"/>
                      <w:kern w:val="0"/>
                    </w:rPr>
                  </w:pPr>
                  <w:r>
                    <w:rPr>
                      <w:color w:val="auto"/>
                      <w:kern w:val="0"/>
                    </w:rPr>
                    <w:t>本项目不属于码头项目，也不属于过长江通道项目</w:t>
                  </w:r>
                </w:p>
              </w:tc>
              <w:tc>
                <w:tcPr>
                  <w:tcW w:w="536" w:type="pct"/>
                  <w:vAlign w:val="center"/>
                </w:tcPr>
                <w:p w14:paraId="3A84EE75">
                  <w:pPr>
                    <w:widowControl/>
                    <w:autoSpaceDE w:val="0"/>
                    <w:autoSpaceDN w:val="0"/>
                    <w:adjustRightInd w:val="0"/>
                    <w:snapToGrid w:val="0"/>
                    <w:jc w:val="center"/>
                    <w:textAlignment w:val="center"/>
                    <w:rPr>
                      <w:color w:val="auto"/>
                      <w:kern w:val="0"/>
                    </w:rPr>
                  </w:pPr>
                  <w:r>
                    <w:rPr>
                      <w:color w:val="auto"/>
                      <w:kern w:val="0"/>
                    </w:rPr>
                    <w:t>相符</w:t>
                  </w:r>
                </w:p>
              </w:tc>
            </w:tr>
            <w:tr w14:paraId="3A84E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A84EE77">
                  <w:pPr>
                    <w:widowControl/>
                    <w:autoSpaceDE w:val="0"/>
                    <w:autoSpaceDN w:val="0"/>
                    <w:adjustRightInd w:val="0"/>
                    <w:snapToGrid w:val="0"/>
                    <w:jc w:val="center"/>
                    <w:textAlignment w:val="center"/>
                    <w:rPr>
                      <w:color w:val="auto"/>
                      <w:kern w:val="0"/>
                    </w:rPr>
                  </w:pPr>
                </w:p>
              </w:tc>
              <w:tc>
                <w:tcPr>
                  <w:tcW w:w="2656" w:type="pct"/>
                  <w:vAlign w:val="center"/>
                </w:tcPr>
                <w:p w14:paraId="3A84EE78">
                  <w:pPr>
                    <w:widowControl/>
                    <w:autoSpaceDE w:val="0"/>
                    <w:autoSpaceDN w:val="0"/>
                    <w:adjustRightInd w:val="0"/>
                    <w:snapToGrid w:val="0"/>
                    <w:jc w:val="center"/>
                    <w:textAlignment w:val="center"/>
                    <w:rPr>
                      <w:color w:val="auto"/>
                      <w:kern w:val="0"/>
                    </w:rPr>
                  </w:pPr>
                  <w:r>
                    <w:rPr>
                      <w:rFonts w:hint="eastAsia"/>
                      <w:color w:val="auto"/>
                      <w:kern w:val="0"/>
                    </w:rPr>
                    <w:t>2.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w:t>
                  </w:r>
                </w:p>
              </w:tc>
              <w:tc>
                <w:tcPr>
                  <w:tcW w:w="1394" w:type="pct"/>
                  <w:vAlign w:val="center"/>
                </w:tcPr>
                <w:p w14:paraId="3A84EE79">
                  <w:pPr>
                    <w:widowControl/>
                    <w:autoSpaceDE w:val="0"/>
                    <w:autoSpaceDN w:val="0"/>
                    <w:adjustRightInd w:val="0"/>
                    <w:snapToGrid w:val="0"/>
                    <w:jc w:val="center"/>
                    <w:textAlignment w:val="center"/>
                    <w:rPr>
                      <w:color w:val="auto"/>
                      <w:kern w:val="0"/>
                    </w:rPr>
                  </w:pPr>
                  <w:r>
                    <w:rPr>
                      <w:rFonts w:hint="eastAsia"/>
                      <w:color w:val="auto"/>
                      <w:kern w:val="0"/>
                    </w:rPr>
                    <w:t>本项目不在自然保护区核心区、缓冲区的岸线和河段范围内，亦不在风景名胜区核心景区的岸线和河段范围内</w:t>
                  </w:r>
                </w:p>
              </w:tc>
              <w:tc>
                <w:tcPr>
                  <w:tcW w:w="536" w:type="pct"/>
                  <w:vAlign w:val="center"/>
                </w:tcPr>
                <w:p w14:paraId="3A84EE7A">
                  <w:pPr>
                    <w:widowControl/>
                    <w:autoSpaceDE w:val="0"/>
                    <w:autoSpaceDN w:val="0"/>
                    <w:adjustRightInd w:val="0"/>
                    <w:snapToGrid w:val="0"/>
                    <w:jc w:val="center"/>
                    <w:textAlignment w:val="center"/>
                    <w:rPr>
                      <w:color w:val="auto"/>
                      <w:kern w:val="0"/>
                    </w:rPr>
                  </w:pPr>
                  <w:r>
                    <w:rPr>
                      <w:color w:val="auto"/>
                      <w:kern w:val="0"/>
                    </w:rPr>
                    <w:t>相符</w:t>
                  </w:r>
                </w:p>
              </w:tc>
            </w:tr>
            <w:tr w14:paraId="3A84EE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A84EE7C">
                  <w:pPr>
                    <w:widowControl/>
                    <w:autoSpaceDE w:val="0"/>
                    <w:autoSpaceDN w:val="0"/>
                    <w:adjustRightInd w:val="0"/>
                    <w:snapToGrid w:val="0"/>
                    <w:jc w:val="center"/>
                    <w:textAlignment w:val="center"/>
                    <w:rPr>
                      <w:color w:val="auto"/>
                      <w:kern w:val="0"/>
                    </w:rPr>
                  </w:pPr>
                </w:p>
              </w:tc>
              <w:tc>
                <w:tcPr>
                  <w:tcW w:w="2656" w:type="pct"/>
                  <w:vAlign w:val="center"/>
                </w:tcPr>
                <w:p w14:paraId="3A84EE7D">
                  <w:pPr>
                    <w:widowControl/>
                    <w:autoSpaceDE w:val="0"/>
                    <w:autoSpaceDN w:val="0"/>
                    <w:adjustRightInd w:val="0"/>
                    <w:snapToGrid w:val="0"/>
                    <w:jc w:val="center"/>
                    <w:textAlignment w:val="center"/>
                    <w:rPr>
                      <w:color w:val="auto"/>
                      <w:kern w:val="0"/>
                    </w:rPr>
                  </w:pPr>
                  <w:r>
                    <w:rPr>
                      <w:rFonts w:hint="eastAsia"/>
                      <w:color w:val="auto"/>
                      <w:kern w:val="0"/>
                    </w:rPr>
                    <w:t>3.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1394" w:type="pct"/>
                  <w:vAlign w:val="center"/>
                </w:tcPr>
                <w:p w14:paraId="3A84EE7E">
                  <w:pPr>
                    <w:widowControl/>
                    <w:autoSpaceDE w:val="0"/>
                    <w:autoSpaceDN w:val="0"/>
                    <w:adjustRightInd w:val="0"/>
                    <w:snapToGrid w:val="0"/>
                    <w:jc w:val="center"/>
                    <w:textAlignment w:val="center"/>
                    <w:rPr>
                      <w:color w:val="auto"/>
                      <w:kern w:val="0"/>
                    </w:rPr>
                  </w:pPr>
                  <w:r>
                    <w:rPr>
                      <w:rFonts w:hint="eastAsia"/>
                      <w:color w:val="auto"/>
                      <w:kern w:val="0"/>
                    </w:rPr>
                    <w:t>本项目不在饮用水水源一级保护区、二级保护区和准保护区范围内</w:t>
                  </w:r>
                </w:p>
              </w:tc>
              <w:tc>
                <w:tcPr>
                  <w:tcW w:w="536" w:type="pct"/>
                  <w:vAlign w:val="center"/>
                </w:tcPr>
                <w:p w14:paraId="3A84EE7F">
                  <w:pPr>
                    <w:widowControl/>
                    <w:autoSpaceDE w:val="0"/>
                    <w:autoSpaceDN w:val="0"/>
                    <w:adjustRightInd w:val="0"/>
                    <w:snapToGrid w:val="0"/>
                    <w:jc w:val="center"/>
                    <w:textAlignment w:val="center"/>
                    <w:rPr>
                      <w:color w:val="auto"/>
                      <w:kern w:val="0"/>
                    </w:rPr>
                  </w:pPr>
                  <w:r>
                    <w:rPr>
                      <w:color w:val="auto"/>
                      <w:kern w:val="0"/>
                    </w:rPr>
                    <w:t>相符</w:t>
                  </w:r>
                </w:p>
              </w:tc>
            </w:tr>
            <w:tr w14:paraId="3A84E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A84EE81">
                  <w:pPr>
                    <w:widowControl/>
                    <w:autoSpaceDE w:val="0"/>
                    <w:autoSpaceDN w:val="0"/>
                    <w:adjustRightInd w:val="0"/>
                    <w:snapToGrid w:val="0"/>
                    <w:jc w:val="center"/>
                    <w:textAlignment w:val="center"/>
                    <w:rPr>
                      <w:color w:val="auto"/>
                      <w:kern w:val="0"/>
                    </w:rPr>
                  </w:pPr>
                </w:p>
              </w:tc>
              <w:tc>
                <w:tcPr>
                  <w:tcW w:w="2656" w:type="pct"/>
                  <w:vAlign w:val="center"/>
                </w:tcPr>
                <w:p w14:paraId="3A84EE82">
                  <w:pPr>
                    <w:widowControl/>
                    <w:autoSpaceDE w:val="0"/>
                    <w:autoSpaceDN w:val="0"/>
                    <w:adjustRightInd w:val="0"/>
                    <w:snapToGrid w:val="0"/>
                    <w:jc w:val="center"/>
                    <w:textAlignment w:val="center"/>
                    <w:rPr>
                      <w:color w:val="auto"/>
                      <w:kern w:val="0"/>
                    </w:rPr>
                  </w:pPr>
                  <w:r>
                    <w:rPr>
                      <w:rFonts w:hint="eastAsia"/>
                      <w:color w:val="auto"/>
                      <w:kern w:val="0"/>
                    </w:rPr>
                    <w:t>4.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w:t>
                  </w:r>
                </w:p>
              </w:tc>
              <w:tc>
                <w:tcPr>
                  <w:tcW w:w="1394" w:type="pct"/>
                  <w:vAlign w:val="center"/>
                </w:tcPr>
                <w:p w14:paraId="3A84EE83">
                  <w:pPr>
                    <w:widowControl/>
                    <w:autoSpaceDE w:val="0"/>
                    <w:autoSpaceDN w:val="0"/>
                    <w:adjustRightInd w:val="0"/>
                    <w:snapToGrid w:val="0"/>
                    <w:jc w:val="center"/>
                    <w:textAlignment w:val="center"/>
                    <w:rPr>
                      <w:color w:val="auto"/>
                      <w:kern w:val="0"/>
                    </w:rPr>
                  </w:pPr>
                  <w:r>
                    <w:rPr>
                      <w:color w:val="auto"/>
                      <w:kern w:val="0"/>
                    </w:rPr>
                    <w:t>本项目未在水产种</w:t>
                  </w:r>
                  <w:r>
                    <w:rPr>
                      <w:rFonts w:hint="eastAsia"/>
                      <w:color w:val="auto"/>
                      <w:kern w:val="0"/>
                    </w:rPr>
                    <w:t>质</w:t>
                  </w:r>
                  <w:r>
                    <w:rPr>
                      <w:color w:val="auto"/>
                      <w:kern w:val="0"/>
                    </w:rPr>
                    <w:t>资源保护区的岸线和河段范围内新建排污口，未有围湖造田、围海造地或围填海，不在国家湿地公园的岸线和河段范围内</w:t>
                  </w:r>
                </w:p>
              </w:tc>
              <w:tc>
                <w:tcPr>
                  <w:tcW w:w="536" w:type="pct"/>
                  <w:vAlign w:val="center"/>
                </w:tcPr>
                <w:p w14:paraId="3A84EE84">
                  <w:pPr>
                    <w:widowControl/>
                    <w:autoSpaceDE w:val="0"/>
                    <w:autoSpaceDN w:val="0"/>
                    <w:adjustRightInd w:val="0"/>
                    <w:snapToGrid w:val="0"/>
                    <w:jc w:val="center"/>
                    <w:textAlignment w:val="center"/>
                    <w:rPr>
                      <w:color w:val="auto"/>
                      <w:kern w:val="0"/>
                    </w:rPr>
                  </w:pPr>
                  <w:r>
                    <w:rPr>
                      <w:color w:val="auto"/>
                      <w:kern w:val="0"/>
                    </w:rPr>
                    <w:t>相符</w:t>
                  </w:r>
                </w:p>
              </w:tc>
            </w:tr>
            <w:tr w14:paraId="3A84EE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A84EE86">
                  <w:pPr>
                    <w:widowControl/>
                    <w:autoSpaceDE w:val="0"/>
                    <w:autoSpaceDN w:val="0"/>
                    <w:adjustRightInd w:val="0"/>
                    <w:snapToGrid w:val="0"/>
                    <w:jc w:val="center"/>
                    <w:textAlignment w:val="center"/>
                    <w:rPr>
                      <w:color w:val="auto"/>
                      <w:kern w:val="0"/>
                    </w:rPr>
                  </w:pPr>
                </w:p>
              </w:tc>
              <w:tc>
                <w:tcPr>
                  <w:tcW w:w="2656" w:type="pct"/>
                  <w:vAlign w:val="center"/>
                </w:tcPr>
                <w:p w14:paraId="3A84EE87">
                  <w:pPr>
                    <w:widowControl/>
                    <w:autoSpaceDE w:val="0"/>
                    <w:autoSpaceDN w:val="0"/>
                    <w:adjustRightInd w:val="0"/>
                    <w:snapToGrid w:val="0"/>
                    <w:jc w:val="center"/>
                    <w:textAlignment w:val="center"/>
                    <w:rPr>
                      <w:color w:val="auto"/>
                      <w:kern w:val="0"/>
                    </w:rPr>
                  </w:pPr>
                  <w:r>
                    <w:rPr>
                      <w:rFonts w:hint="eastAsia"/>
                      <w:color w:val="auto"/>
                      <w:kern w:val="0"/>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394" w:type="pct"/>
                  <w:vAlign w:val="center"/>
                </w:tcPr>
                <w:p w14:paraId="3A84EE88">
                  <w:pPr>
                    <w:widowControl/>
                    <w:autoSpaceDE w:val="0"/>
                    <w:autoSpaceDN w:val="0"/>
                    <w:adjustRightInd w:val="0"/>
                    <w:snapToGrid w:val="0"/>
                    <w:jc w:val="center"/>
                    <w:textAlignment w:val="center"/>
                    <w:rPr>
                      <w:color w:val="auto"/>
                      <w:kern w:val="0"/>
                    </w:rPr>
                  </w:pPr>
                  <w:r>
                    <w:rPr>
                      <w:rFonts w:hint="eastAsia"/>
                      <w:color w:val="auto"/>
                      <w:kern w:val="0"/>
                    </w:rPr>
                    <w:t>本</w:t>
                  </w:r>
                  <w:r>
                    <w:rPr>
                      <w:color w:val="auto"/>
                      <w:kern w:val="0"/>
                    </w:rPr>
                    <w:t>项目不在《长江岸线保护和开发利用总体规划》划定的岸线保护区内，也不在岸线保留区；项目不在《全国重要江河湖泊水功能区划》划定的河段保护区、保留区内</w:t>
                  </w:r>
                </w:p>
              </w:tc>
              <w:tc>
                <w:tcPr>
                  <w:tcW w:w="536" w:type="pct"/>
                  <w:vAlign w:val="center"/>
                </w:tcPr>
                <w:p w14:paraId="3A84EE89">
                  <w:pPr>
                    <w:widowControl/>
                    <w:autoSpaceDE w:val="0"/>
                    <w:autoSpaceDN w:val="0"/>
                    <w:adjustRightInd w:val="0"/>
                    <w:snapToGrid w:val="0"/>
                    <w:jc w:val="center"/>
                    <w:textAlignment w:val="center"/>
                    <w:rPr>
                      <w:color w:val="auto"/>
                      <w:kern w:val="0"/>
                    </w:rPr>
                  </w:pPr>
                  <w:r>
                    <w:rPr>
                      <w:color w:val="auto"/>
                      <w:kern w:val="0"/>
                    </w:rPr>
                    <w:t>相符</w:t>
                  </w:r>
                </w:p>
              </w:tc>
            </w:tr>
            <w:tr w14:paraId="3A84EE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A84EE8B">
                  <w:pPr>
                    <w:widowControl/>
                    <w:autoSpaceDE w:val="0"/>
                    <w:autoSpaceDN w:val="0"/>
                    <w:adjustRightInd w:val="0"/>
                    <w:snapToGrid w:val="0"/>
                    <w:jc w:val="center"/>
                    <w:textAlignment w:val="center"/>
                    <w:rPr>
                      <w:color w:val="auto"/>
                      <w:kern w:val="0"/>
                    </w:rPr>
                  </w:pPr>
                </w:p>
              </w:tc>
              <w:tc>
                <w:tcPr>
                  <w:tcW w:w="2656" w:type="pct"/>
                  <w:vAlign w:val="center"/>
                </w:tcPr>
                <w:p w14:paraId="3A84EE8C">
                  <w:pPr>
                    <w:widowControl/>
                    <w:autoSpaceDE w:val="0"/>
                    <w:autoSpaceDN w:val="0"/>
                    <w:adjustRightInd w:val="0"/>
                    <w:snapToGrid w:val="0"/>
                    <w:jc w:val="center"/>
                    <w:textAlignment w:val="center"/>
                    <w:rPr>
                      <w:color w:val="auto"/>
                      <w:kern w:val="0"/>
                    </w:rPr>
                  </w:pPr>
                  <w:r>
                    <w:rPr>
                      <w:rFonts w:hint="eastAsia"/>
                      <w:color w:val="auto"/>
                      <w:kern w:val="0"/>
                    </w:rPr>
                    <w:t>6.禁止未经许可在长江干支流及湖泊新设、改设或扩大排污口。</w:t>
                  </w:r>
                </w:p>
              </w:tc>
              <w:tc>
                <w:tcPr>
                  <w:tcW w:w="1394" w:type="pct"/>
                  <w:vAlign w:val="center"/>
                </w:tcPr>
                <w:p w14:paraId="3A84EE8D">
                  <w:pPr>
                    <w:widowControl/>
                    <w:autoSpaceDE w:val="0"/>
                    <w:autoSpaceDN w:val="0"/>
                    <w:adjustRightInd w:val="0"/>
                    <w:snapToGrid w:val="0"/>
                    <w:jc w:val="center"/>
                    <w:textAlignment w:val="center"/>
                    <w:rPr>
                      <w:color w:val="auto"/>
                      <w:kern w:val="0"/>
                    </w:rPr>
                  </w:pPr>
                  <w:r>
                    <w:rPr>
                      <w:rFonts w:hint="eastAsia"/>
                      <w:color w:val="auto"/>
                      <w:kern w:val="0"/>
                    </w:rPr>
                    <w:t>本</w:t>
                  </w:r>
                  <w:r>
                    <w:rPr>
                      <w:color w:val="auto"/>
                      <w:kern w:val="0"/>
                    </w:rPr>
                    <w:t>项目不</w:t>
                  </w:r>
                  <w:r>
                    <w:rPr>
                      <w:rFonts w:hint="eastAsia"/>
                      <w:color w:val="auto"/>
                      <w:kern w:val="0"/>
                    </w:rPr>
                    <w:t>在长江干支流及湖泊新设、改设或扩大排污口</w:t>
                  </w:r>
                </w:p>
              </w:tc>
              <w:tc>
                <w:tcPr>
                  <w:tcW w:w="536" w:type="pct"/>
                  <w:vAlign w:val="center"/>
                </w:tcPr>
                <w:p w14:paraId="3A84EE8E">
                  <w:pPr>
                    <w:widowControl/>
                    <w:autoSpaceDE w:val="0"/>
                    <w:autoSpaceDN w:val="0"/>
                    <w:adjustRightInd w:val="0"/>
                    <w:snapToGrid w:val="0"/>
                    <w:jc w:val="center"/>
                    <w:textAlignment w:val="center"/>
                    <w:rPr>
                      <w:color w:val="auto"/>
                      <w:kern w:val="0"/>
                    </w:rPr>
                  </w:pPr>
                  <w:r>
                    <w:rPr>
                      <w:color w:val="auto"/>
                      <w:kern w:val="0"/>
                    </w:rPr>
                    <w:t>相符</w:t>
                  </w:r>
                </w:p>
              </w:tc>
            </w:tr>
            <w:tr w14:paraId="3A84E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restart"/>
                  <w:vAlign w:val="center"/>
                </w:tcPr>
                <w:p w14:paraId="3A84EE90">
                  <w:pPr>
                    <w:widowControl/>
                    <w:autoSpaceDE w:val="0"/>
                    <w:autoSpaceDN w:val="0"/>
                    <w:adjustRightInd w:val="0"/>
                    <w:snapToGrid w:val="0"/>
                    <w:jc w:val="center"/>
                    <w:textAlignment w:val="center"/>
                    <w:rPr>
                      <w:color w:val="auto"/>
                      <w:kern w:val="0"/>
                    </w:rPr>
                  </w:pPr>
                  <w:r>
                    <w:rPr>
                      <w:rFonts w:hint="eastAsia"/>
                      <w:color w:val="auto"/>
                      <w:kern w:val="0"/>
                    </w:rPr>
                    <w:t>二、区域活动</w:t>
                  </w:r>
                </w:p>
              </w:tc>
              <w:tc>
                <w:tcPr>
                  <w:tcW w:w="2656" w:type="pct"/>
                  <w:vAlign w:val="center"/>
                </w:tcPr>
                <w:p w14:paraId="3A84EE91">
                  <w:pPr>
                    <w:widowControl/>
                    <w:autoSpaceDE w:val="0"/>
                    <w:autoSpaceDN w:val="0"/>
                    <w:adjustRightInd w:val="0"/>
                    <w:snapToGrid w:val="0"/>
                    <w:jc w:val="center"/>
                    <w:textAlignment w:val="center"/>
                    <w:rPr>
                      <w:color w:val="auto"/>
                      <w:kern w:val="0"/>
                    </w:rPr>
                  </w:pPr>
                  <w:r>
                    <w:rPr>
                      <w:rFonts w:hint="eastAsia"/>
                      <w:color w:val="auto"/>
                      <w:kern w:val="0"/>
                    </w:rPr>
                    <w:t>7.禁止长江干流、长江口、34个列入《率先全面禁捕的长江流域水生生物保护区名录》的水生生物保护区以及省规定的其它禁渔水域开展生产性捕捞。</w:t>
                  </w:r>
                </w:p>
              </w:tc>
              <w:tc>
                <w:tcPr>
                  <w:tcW w:w="1394" w:type="pct"/>
                  <w:vAlign w:val="center"/>
                </w:tcPr>
                <w:p w14:paraId="3A84EE92">
                  <w:pPr>
                    <w:widowControl/>
                    <w:autoSpaceDE w:val="0"/>
                    <w:autoSpaceDN w:val="0"/>
                    <w:adjustRightInd w:val="0"/>
                    <w:snapToGrid w:val="0"/>
                    <w:jc w:val="center"/>
                    <w:textAlignment w:val="center"/>
                    <w:rPr>
                      <w:color w:val="auto"/>
                      <w:kern w:val="0"/>
                    </w:rPr>
                  </w:pPr>
                  <w:r>
                    <w:rPr>
                      <w:rFonts w:hint="eastAsia"/>
                      <w:color w:val="auto"/>
                      <w:kern w:val="0"/>
                    </w:rPr>
                    <w:t>本项目不开展生产性捕捞活动</w:t>
                  </w:r>
                </w:p>
              </w:tc>
              <w:tc>
                <w:tcPr>
                  <w:tcW w:w="536" w:type="pct"/>
                  <w:vAlign w:val="center"/>
                </w:tcPr>
                <w:p w14:paraId="3A84EE93">
                  <w:pPr>
                    <w:widowControl/>
                    <w:autoSpaceDE w:val="0"/>
                    <w:autoSpaceDN w:val="0"/>
                    <w:adjustRightInd w:val="0"/>
                    <w:snapToGrid w:val="0"/>
                    <w:jc w:val="center"/>
                    <w:textAlignment w:val="center"/>
                    <w:rPr>
                      <w:color w:val="auto"/>
                      <w:kern w:val="0"/>
                    </w:rPr>
                  </w:pPr>
                  <w:r>
                    <w:rPr>
                      <w:color w:val="auto"/>
                      <w:kern w:val="0"/>
                    </w:rPr>
                    <w:t>相符</w:t>
                  </w:r>
                </w:p>
              </w:tc>
            </w:tr>
            <w:tr w14:paraId="3A84E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A84EE95">
                  <w:pPr>
                    <w:widowControl/>
                    <w:autoSpaceDE w:val="0"/>
                    <w:autoSpaceDN w:val="0"/>
                    <w:adjustRightInd w:val="0"/>
                    <w:snapToGrid w:val="0"/>
                    <w:jc w:val="center"/>
                    <w:textAlignment w:val="center"/>
                    <w:rPr>
                      <w:color w:val="auto"/>
                      <w:kern w:val="0"/>
                    </w:rPr>
                  </w:pPr>
                </w:p>
              </w:tc>
              <w:tc>
                <w:tcPr>
                  <w:tcW w:w="2656" w:type="pct"/>
                  <w:vAlign w:val="center"/>
                </w:tcPr>
                <w:p w14:paraId="3A84EE96">
                  <w:pPr>
                    <w:widowControl/>
                    <w:autoSpaceDE w:val="0"/>
                    <w:autoSpaceDN w:val="0"/>
                    <w:adjustRightInd w:val="0"/>
                    <w:snapToGrid w:val="0"/>
                    <w:jc w:val="center"/>
                    <w:textAlignment w:val="center"/>
                    <w:rPr>
                      <w:color w:val="auto"/>
                      <w:kern w:val="0"/>
                    </w:rPr>
                  </w:pPr>
                  <w:r>
                    <w:rPr>
                      <w:rFonts w:hint="eastAsia"/>
                      <w:color w:val="auto"/>
                      <w:kern w:val="0"/>
                    </w:rPr>
                    <w:t>8.禁止在距离长江干支流岸线一公里范围内新建、扩建化工园区和化工项目。长江干支流一公里按照长江干支流岸线边界（即水利部门河道管理范围边界）向陆域纵深一公里执行。</w:t>
                  </w:r>
                </w:p>
              </w:tc>
              <w:tc>
                <w:tcPr>
                  <w:tcW w:w="1394" w:type="pct"/>
                  <w:vAlign w:val="center"/>
                </w:tcPr>
                <w:p w14:paraId="3A84EE97">
                  <w:pPr>
                    <w:widowControl/>
                    <w:autoSpaceDE w:val="0"/>
                    <w:autoSpaceDN w:val="0"/>
                    <w:adjustRightInd w:val="0"/>
                    <w:snapToGrid w:val="0"/>
                    <w:jc w:val="center"/>
                    <w:textAlignment w:val="center"/>
                    <w:rPr>
                      <w:color w:val="auto"/>
                      <w:kern w:val="0"/>
                    </w:rPr>
                  </w:pPr>
                  <w:r>
                    <w:rPr>
                      <w:rFonts w:hint="eastAsia"/>
                      <w:color w:val="auto"/>
                      <w:kern w:val="0"/>
                    </w:rPr>
                    <w:t>本项目不在长江干支流岸线一公里范围内</w:t>
                  </w:r>
                </w:p>
              </w:tc>
              <w:tc>
                <w:tcPr>
                  <w:tcW w:w="536" w:type="pct"/>
                  <w:vAlign w:val="center"/>
                </w:tcPr>
                <w:p w14:paraId="3A84EE98">
                  <w:pPr>
                    <w:widowControl/>
                    <w:autoSpaceDE w:val="0"/>
                    <w:autoSpaceDN w:val="0"/>
                    <w:adjustRightInd w:val="0"/>
                    <w:snapToGrid w:val="0"/>
                    <w:jc w:val="center"/>
                    <w:textAlignment w:val="center"/>
                    <w:rPr>
                      <w:color w:val="auto"/>
                      <w:kern w:val="0"/>
                    </w:rPr>
                  </w:pPr>
                  <w:r>
                    <w:rPr>
                      <w:color w:val="auto"/>
                      <w:kern w:val="0"/>
                    </w:rPr>
                    <w:t>相符</w:t>
                  </w:r>
                </w:p>
              </w:tc>
            </w:tr>
            <w:tr w14:paraId="3A84E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A84EE9A">
                  <w:pPr>
                    <w:widowControl/>
                    <w:autoSpaceDE w:val="0"/>
                    <w:autoSpaceDN w:val="0"/>
                    <w:adjustRightInd w:val="0"/>
                    <w:snapToGrid w:val="0"/>
                    <w:jc w:val="center"/>
                    <w:textAlignment w:val="center"/>
                    <w:rPr>
                      <w:color w:val="auto"/>
                      <w:kern w:val="0"/>
                    </w:rPr>
                  </w:pPr>
                </w:p>
              </w:tc>
              <w:tc>
                <w:tcPr>
                  <w:tcW w:w="2656" w:type="pct"/>
                  <w:vAlign w:val="center"/>
                </w:tcPr>
                <w:p w14:paraId="3A84EE9B">
                  <w:pPr>
                    <w:widowControl/>
                    <w:autoSpaceDE w:val="0"/>
                    <w:autoSpaceDN w:val="0"/>
                    <w:adjustRightInd w:val="0"/>
                    <w:snapToGrid w:val="0"/>
                    <w:jc w:val="center"/>
                    <w:textAlignment w:val="center"/>
                    <w:rPr>
                      <w:color w:val="auto"/>
                      <w:kern w:val="0"/>
                    </w:rPr>
                  </w:pPr>
                  <w:r>
                    <w:rPr>
                      <w:rFonts w:hint="eastAsia"/>
                      <w:color w:val="auto"/>
                      <w:kern w:val="0"/>
                    </w:rPr>
                    <w:t>9.禁止在长江干流岸线三公里范围内新建、改建、扩建尾矿库、冶炼渣库和磷石膏库，以提升安全、生态环境保护水平为目的的改建除外。</w:t>
                  </w:r>
                </w:p>
              </w:tc>
              <w:tc>
                <w:tcPr>
                  <w:tcW w:w="1394" w:type="pct"/>
                  <w:vAlign w:val="center"/>
                </w:tcPr>
                <w:p w14:paraId="3A84EE9C">
                  <w:pPr>
                    <w:widowControl/>
                    <w:autoSpaceDE w:val="0"/>
                    <w:autoSpaceDN w:val="0"/>
                    <w:adjustRightInd w:val="0"/>
                    <w:snapToGrid w:val="0"/>
                    <w:jc w:val="center"/>
                    <w:textAlignment w:val="center"/>
                    <w:rPr>
                      <w:color w:val="auto"/>
                      <w:kern w:val="0"/>
                    </w:rPr>
                  </w:pPr>
                  <w:r>
                    <w:rPr>
                      <w:rFonts w:hint="eastAsia"/>
                      <w:color w:val="auto"/>
                      <w:kern w:val="0"/>
                    </w:rPr>
                    <w:t>本项目不在长江干流岸线三公里范围内</w:t>
                  </w:r>
                </w:p>
              </w:tc>
              <w:tc>
                <w:tcPr>
                  <w:tcW w:w="536" w:type="pct"/>
                  <w:vAlign w:val="center"/>
                </w:tcPr>
                <w:p w14:paraId="3A84EE9D">
                  <w:pPr>
                    <w:widowControl/>
                    <w:autoSpaceDE w:val="0"/>
                    <w:autoSpaceDN w:val="0"/>
                    <w:adjustRightInd w:val="0"/>
                    <w:snapToGrid w:val="0"/>
                    <w:jc w:val="center"/>
                    <w:textAlignment w:val="center"/>
                    <w:rPr>
                      <w:color w:val="auto"/>
                      <w:kern w:val="0"/>
                    </w:rPr>
                  </w:pPr>
                  <w:r>
                    <w:rPr>
                      <w:color w:val="auto"/>
                      <w:kern w:val="0"/>
                    </w:rPr>
                    <w:t>相符</w:t>
                  </w:r>
                </w:p>
              </w:tc>
            </w:tr>
            <w:tr w14:paraId="3A84EE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A84EE9F">
                  <w:pPr>
                    <w:widowControl/>
                    <w:autoSpaceDE w:val="0"/>
                    <w:autoSpaceDN w:val="0"/>
                    <w:adjustRightInd w:val="0"/>
                    <w:snapToGrid w:val="0"/>
                    <w:jc w:val="center"/>
                    <w:textAlignment w:val="center"/>
                    <w:rPr>
                      <w:color w:val="auto"/>
                      <w:kern w:val="0"/>
                    </w:rPr>
                  </w:pPr>
                </w:p>
              </w:tc>
              <w:tc>
                <w:tcPr>
                  <w:tcW w:w="2656" w:type="pct"/>
                  <w:vAlign w:val="center"/>
                </w:tcPr>
                <w:p w14:paraId="3A84EEA0">
                  <w:pPr>
                    <w:widowControl/>
                    <w:autoSpaceDE w:val="0"/>
                    <w:autoSpaceDN w:val="0"/>
                    <w:adjustRightInd w:val="0"/>
                    <w:snapToGrid w:val="0"/>
                    <w:jc w:val="center"/>
                    <w:textAlignment w:val="center"/>
                    <w:rPr>
                      <w:color w:val="auto"/>
                      <w:kern w:val="0"/>
                    </w:rPr>
                  </w:pPr>
                  <w:r>
                    <w:rPr>
                      <w:rFonts w:hint="eastAsia"/>
                      <w:color w:val="auto"/>
                      <w:kern w:val="0"/>
                    </w:rPr>
                    <w:t>10.禁止在太湖流域一、二、三级保护区内开展《江苏省太湖水污染防治条例》禁止的投资建设活动。</w:t>
                  </w:r>
                </w:p>
              </w:tc>
              <w:tc>
                <w:tcPr>
                  <w:tcW w:w="1394" w:type="pct"/>
                  <w:vAlign w:val="center"/>
                </w:tcPr>
                <w:p w14:paraId="3A84EEA1">
                  <w:pPr>
                    <w:widowControl/>
                    <w:autoSpaceDE w:val="0"/>
                    <w:autoSpaceDN w:val="0"/>
                    <w:adjustRightInd w:val="0"/>
                    <w:snapToGrid w:val="0"/>
                    <w:jc w:val="center"/>
                    <w:textAlignment w:val="center"/>
                    <w:rPr>
                      <w:color w:val="auto"/>
                      <w:kern w:val="0"/>
                    </w:rPr>
                  </w:pPr>
                  <w:r>
                    <w:rPr>
                      <w:rFonts w:hint="eastAsia"/>
                      <w:color w:val="auto"/>
                      <w:kern w:val="0"/>
                    </w:rPr>
                    <w:t>本项目不属于太湖流域保护区范围</w:t>
                  </w:r>
                </w:p>
              </w:tc>
              <w:tc>
                <w:tcPr>
                  <w:tcW w:w="536" w:type="pct"/>
                  <w:vAlign w:val="center"/>
                </w:tcPr>
                <w:p w14:paraId="3A84EEA2">
                  <w:pPr>
                    <w:widowControl/>
                    <w:autoSpaceDE w:val="0"/>
                    <w:autoSpaceDN w:val="0"/>
                    <w:adjustRightInd w:val="0"/>
                    <w:snapToGrid w:val="0"/>
                    <w:jc w:val="center"/>
                    <w:textAlignment w:val="center"/>
                    <w:rPr>
                      <w:color w:val="auto"/>
                      <w:kern w:val="0"/>
                    </w:rPr>
                  </w:pPr>
                  <w:r>
                    <w:rPr>
                      <w:color w:val="auto"/>
                      <w:kern w:val="0"/>
                    </w:rPr>
                    <w:t>相符</w:t>
                  </w:r>
                </w:p>
              </w:tc>
            </w:tr>
            <w:tr w14:paraId="3A84EE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A84EEA4">
                  <w:pPr>
                    <w:widowControl/>
                    <w:autoSpaceDE w:val="0"/>
                    <w:autoSpaceDN w:val="0"/>
                    <w:adjustRightInd w:val="0"/>
                    <w:snapToGrid w:val="0"/>
                    <w:jc w:val="center"/>
                    <w:textAlignment w:val="center"/>
                    <w:rPr>
                      <w:color w:val="auto"/>
                      <w:kern w:val="0"/>
                    </w:rPr>
                  </w:pPr>
                </w:p>
              </w:tc>
              <w:tc>
                <w:tcPr>
                  <w:tcW w:w="2656" w:type="pct"/>
                  <w:vAlign w:val="center"/>
                </w:tcPr>
                <w:p w14:paraId="3A84EEA5">
                  <w:pPr>
                    <w:widowControl/>
                    <w:autoSpaceDE w:val="0"/>
                    <w:autoSpaceDN w:val="0"/>
                    <w:adjustRightInd w:val="0"/>
                    <w:snapToGrid w:val="0"/>
                    <w:jc w:val="center"/>
                    <w:textAlignment w:val="center"/>
                    <w:rPr>
                      <w:color w:val="auto"/>
                      <w:kern w:val="0"/>
                    </w:rPr>
                  </w:pPr>
                  <w:r>
                    <w:rPr>
                      <w:rFonts w:hint="eastAsia"/>
                      <w:color w:val="auto"/>
                      <w:kern w:val="0"/>
                    </w:rPr>
                    <w:t>11.禁止在沿江地区新建、扩建未纳入国家和省布局规划的燃煤发电项目。</w:t>
                  </w:r>
                </w:p>
              </w:tc>
              <w:tc>
                <w:tcPr>
                  <w:tcW w:w="1394" w:type="pct"/>
                  <w:vAlign w:val="center"/>
                </w:tcPr>
                <w:p w14:paraId="3A84EEA6">
                  <w:pPr>
                    <w:widowControl/>
                    <w:autoSpaceDE w:val="0"/>
                    <w:autoSpaceDN w:val="0"/>
                    <w:adjustRightInd w:val="0"/>
                    <w:snapToGrid w:val="0"/>
                    <w:jc w:val="center"/>
                    <w:textAlignment w:val="center"/>
                    <w:rPr>
                      <w:color w:val="auto"/>
                      <w:kern w:val="0"/>
                    </w:rPr>
                  </w:pPr>
                  <w:r>
                    <w:rPr>
                      <w:rFonts w:hint="eastAsia"/>
                      <w:color w:val="auto"/>
                      <w:kern w:val="0"/>
                    </w:rPr>
                    <w:t>本项目不属于燃煤发电项目</w:t>
                  </w:r>
                </w:p>
              </w:tc>
              <w:tc>
                <w:tcPr>
                  <w:tcW w:w="536" w:type="pct"/>
                  <w:vAlign w:val="center"/>
                </w:tcPr>
                <w:p w14:paraId="3A84EEA7">
                  <w:pPr>
                    <w:widowControl/>
                    <w:autoSpaceDE w:val="0"/>
                    <w:autoSpaceDN w:val="0"/>
                    <w:adjustRightInd w:val="0"/>
                    <w:snapToGrid w:val="0"/>
                    <w:jc w:val="center"/>
                    <w:textAlignment w:val="center"/>
                    <w:rPr>
                      <w:color w:val="auto"/>
                      <w:kern w:val="0"/>
                    </w:rPr>
                  </w:pPr>
                  <w:r>
                    <w:rPr>
                      <w:color w:val="auto"/>
                      <w:kern w:val="0"/>
                    </w:rPr>
                    <w:t>相符</w:t>
                  </w:r>
                </w:p>
              </w:tc>
            </w:tr>
            <w:tr w14:paraId="3A84E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A84EEA9">
                  <w:pPr>
                    <w:widowControl/>
                    <w:autoSpaceDE w:val="0"/>
                    <w:autoSpaceDN w:val="0"/>
                    <w:adjustRightInd w:val="0"/>
                    <w:snapToGrid w:val="0"/>
                    <w:jc w:val="center"/>
                    <w:textAlignment w:val="center"/>
                    <w:rPr>
                      <w:color w:val="auto"/>
                      <w:kern w:val="0"/>
                    </w:rPr>
                  </w:pPr>
                </w:p>
              </w:tc>
              <w:tc>
                <w:tcPr>
                  <w:tcW w:w="2656" w:type="pct"/>
                  <w:vAlign w:val="center"/>
                </w:tcPr>
                <w:p w14:paraId="3A84EEAA">
                  <w:pPr>
                    <w:widowControl/>
                    <w:autoSpaceDE w:val="0"/>
                    <w:autoSpaceDN w:val="0"/>
                    <w:adjustRightInd w:val="0"/>
                    <w:snapToGrid w:val="0"/>
                    <w:jc w:val="center"/>
                    <w:textAlignment w:val="center"/>
                    <w:rPr>
                      <w:color w:val="auto"/>
                      <w:kern w:val="0"/>
                    </w:rPr>
                  </w:pPr>
                  <w:r>
                    <w:rPr>
                      <w:rFonts w:hint="eastAsia"/>
                      <w:color w:val="auto"/>
                      <w:kern w:val="0"/>
                    </w:rPr>
                    <w:t>12.禁止在合规园区外新建、扩建钢铁、石化、化工、焦化、建材、有色、制浆造纸等高污染项目。合规园区名录按照《〈长江经济带发展负面清单指南（试行，2022年版）&gt;江苏省实施细则合规园区名录》执行。</w:t>
                  </w:r>
                </w:p>
              </w:tc>
              <w:tc>
                <w:tcPr>
                  <w:tcW w:w="1394" w:type="pct"/>
                  <w:vAlign w:val="center"/>
                </w:tcPr>
                <w:p w14:paraId="3A84EEAB">
                  <w:pPr>
                    <w:widowControl/>
                    <w:autoSpaceDE w:val="0"/>
                    <w:autoSpaceDN w:val="0"/>
                    <w:adjustRightInd w:val="0"/>
                    <w:snapToGrid w:val="0"/>
                    <w:jc w:val="center"/>
                    <w:textAlignment w:val="center"/>
                    <w:rPr>
                      <w:color w:val="auto"/>
                      <w:kern w:val="0"/>
                    </w:rPr>
                  </w:pPr>
                  <w:r>
                    <w:rPr>
                      <w:rFonts w:hint="eastAsia"/>
                      <w:color w:val="auto"/>
                      <w:kern w:val="0"/>
                    </w:rPr>
                    <w:t>本项目不属于钢铁、石化、化工、焦化、建材、有色、制浆造纸等高污染项目</w:t>
                  </w:r>
                </w:p>
              </w:tc>
              <w:tc>
                <w:tcPr>
                  <w:tcW w:w="536" w:type="pct"/>
                  <w:vAlign w:val="center"/>
                </w:tcPr>
                <w:p w14:paraId="3A84EEAC">
                  <w:pPr>
                    <w:widowControl/>
                    <w:autoSpaceDE w:val="0"/>
                    <w:autoSpaceDN w:val="0"/>
                    <w:adjustRightInd w:val="0"/>
                    <w:snapToGrid w:val="0"/>
                    <w:jc w:val="center"/>
                    <w:textAlignment w:val="center"/>
                    <w:rPr>
                      <w:color w:val="auto"/>
                      <w:kern w:val="0"/>
                    </w:rPr>
                  </w:pPr>
                  <w:r>
                    <w:rPr>
                      <w:color w:val="auto"/>
                      <w:kern w:val="0"/>
                    </w:rPr>
                    <w:t>相符</w:t>
                  </w:r>
                </w:p>
              </w:tc>
            </w:tr>
            <w:tr w14:paraId="3A84EE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A84EEAE">
                  <w:pPr>
                    <w:widowControl/>
                    <w:autoSpaceDE w:val="0"/>
                    <w:autoSpaceDN w:val="0"/>
                    <w:adjustRightInd w:val="0"/>
                    <w:snapToGrid w:val="0"/>
                    <w:jc w:val="center"/>
                    <w:textAlignment w:val="center"/>
                    <w:rPr>
                      <w:color w:val="auto"/>
                      <w:kern w:val="0"/>
                    </w:rPr>
                  </w:pPr>
                </w:p>
              </w:tc>
              <w:tc>
                <w:tcPr>
                  <w:tcW w:w="2656" w:type="pct"/>
                  <w:vAlign w:val="center"/>
                </w:tcPr>
                <w:p w14:paraId="3A84EEAF">
                  <w:pPr>
                    <w:widowControl/>
                    <w:autoSpaceDE w:val="0"/>
                    <w:autoSpaceDN w:val="0"/>
                    <w:adjustRightInd w:val="0"/>
                    <w:snapToGrid w:val="0"/>
                    <w:jc w:val="center"/>
                    <w:textAlignment w:val="center"/>
                    <w:rPr>
                      <w:color w:val="auto"/>
                      <w:kern w:val="0"/>
                    </w:rPr>
                  </w:pPr>
                  <w:r>
                    <w:rPr>
                      <w:rFonts w:hint="eastAsia"/>
                      <w:color w:val="auto"/>
                      <w:kern w:val="0"/>
                    </w:rPr>
                    <w:t>13.禁止在取消化工定位的园区（集中区）内新建化工项目。</w:t>
                  </w:r>
                </w:p>
              </w:tc>
              <w:tc>
                <w:tcPr>
                  <w:tcW w:w="1394" w:type="pct"/>
                  <w:vAlign w:val="center"/>
                </w:tcPr>
                <w:p w14:paraId="3A84EEB0">
                  <w:pPr>
                    <w:widowControl/>
                    <w:autoSpaceDE w:val="0"/>
                    <w:autoSpaceDN w:val="0"/>
                    <w:adjustRightInd w:val="0"/>
                    <w:snapToGrid w:val="0"/>
                    <w:jc w:val="center"/>
                    <w:textAlignment w:val="center"/>
                    <w:rPr>
                      <w:color w:val="auto"/>
                      <w:kern w:val="0"/>
                    </w:rPr>
                  </w:pPr>
                  <w:r>
                    <w:rPr>
                      <w:rFonts w:hint="eastAsia"/>
                      <w:color w:val="auto"/>
                      <w:kern w:val="0"/>
                    </w:rPr>
                    <w:t>本项目不属于化工项目</w:t>
                  </w:r>
                </w:p>
              </w:tc>
              <w:tc>
                <w:tcPr>
                  <w:tcW w:w="536" w:type="pct"/>
                  <w:vAlign w:val="center"/>
                </w:tcPr>
                <w:p w14:paraId="3A84EEB1">
                  <w:pPr>
                    <w:widowControl/>
                    <w:autoSpaceDE w:val="0"/>
                    <w:autoSpaceDN w:val="0"/>
                    <w:adjustRightInd w:val="0"/>
                    <w:snapToGrid w:val="0"/>
                    <w:jc w:val="center"/>
                    <w:textAlignment w:val="center"/>
                    <w:rPr>
                      <w:color w:val="auto"/>
                      <w:kern w:val="0"/>
                    </w:rPr>
                  </w:pPr>
                  <w:r>
                    <w:rPr>
                      <w:color w:val="auto"/>
                      <w:kern w:val="0"/>
                    </w:rPr>
                    <w:t>相符</w:t>
                  </w:r>
                </w:p>
              </w:tc>
            </w:tr>
            <w:tr w14:paraId="3A84E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A84EEB3">
                  <w:pPr>
                    <w:widowControl/>
                    <w:autoSpaceDE w:val="0"/>
                    <w:autoSpaceDN w:val="0"/>
                    <w:adjustRightInd w:val="0"/>
                    <w:snapToGrid w:val="0"/>
                    <w:jc w:val="center"/>
                    <w:textAlignment w:val="center"/>
                    <w:rPr>
                      <w:color w:val="auto"/>
                      <w:kern w:val="0"/>
                    </w:rPr>
                  </w:pPr>
                </w:p>
              </w:tc>
              <w:tc>
                <w:tcPr>
                  <w:tcW w:w="2656" w:type="pct"/>
                  <w:vAlign w:val="center"/>
                </w:tcPr>
                <w:p w14:paraId="3A84EEB4">
                  <w:pPr>
                    <w:widowControl/>
                    <w:autoSpaceDE w:val="0"/>
                    <w:autoSpaceDN w:val="0"/>
                    <w:adjustRightInd w:val="0"/>
                    <w:snapToGrid w:val="0"/>
                    <w:jc w:val="center"/>
                    <w:textAlignment w:val="center"/>
                    <w:rPr>
                      <w:color w:val="auto"/>
                      <w:kern w:val="0"/>
                    </w:rPr>
                  </w:pPr>
                  <w:r>
                    <w:rPr>
                      <w:rFonts w:hint="eastAsia"/>
                      <w:color w:val="auto"/>
                      <w:kern w:val="0"/>
                    </w:rPr>
                    <w:t>14.禁止在化工企业周边建设不符合安全距离规定的劳动密集型的非化工项目和其他人员密集的公共设施项目。</w:t>
                  </w:r>
                </w:p>
              </w:tc>
              <w:tc>
                <w:tcPr>
                  <w:tcW w:w="1394" w:type="pct"/>
                  <w:vAlign w:val="center"/>
                </w:tcPr>
                <w:p w14:paraId="3A84EEB5">
                  <w:pPr>
                    <w:widowControl/>
                    <w:autoSpaceDE w:val="0"/>
                    <w:autoSpaceDN w:val="0"/>
                    <w:adjustRightInd w:val="0"/>
                    <w:snapToGrid w:val="0"/>
                    <w:jc w:val="center"/>
                    <w:textAlignment w:val="center"/>
                    <w:rPr>
                      <w:color w:val="auto"/>
                      <w:kern w:val="0"/>
                    </w:rPr>
                  </w:pPr>
                  <w:r>
                    <w:rPr>
                      <w:rFonts w:hint="eastAsia"/>
                      <w:color w:val="auto"/>
                      <w:kern w:val="0"/>
                    </w:rPr>
                    <w:t>本项目周边数百米范围内无劳动密集型的非化工项目和其他人员密集的公共设施项目</w:t>
                  </w:r>
                </w:p>
              </w:tc>
              <w:tc>
                <w:tcPr>
                  <w:tcW w:w="536" w:type="pct"/>
                  <w:vAlign w:val="center"/>
                </w:tcPr>
                <w:p w14:paraId="3A84EEB6">
                  <w:pPr>
                    <w:widowControl/>
                    <w:autoSpaceDE w:val="0"/>
                    <w:autoSpaceDN w:val="0"/>
                    <w:adjustRightInd w:val="0"/>
                    <w:snapToGrid w:val="0"/>
                    <w:jc w:val="center"/>
                    <w:textAlignment w:val="center"/>
                    <w:rPr>
                      <w:color w:val="auto"/>
                      <w:kern w:val="0"/>
                    </w:rPr>
                  </w:pPr>
                  <w:r>
                    <w:rPr>
                      <w:color w:val="auto"/>
                      <w:kern w:val="0"/>
                    </w:rPr>
                    <w:t>相符</w:t>
                  </w:r>
                </w:p>
              </w:tc>
            </w:tr>
            <w:tr w14:paraId="3A84EE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restart"/>
                  <w:vAlign w:val="center"/>
                </w:tcPr>
                <w:p w14:paraId="3A84EEB8">
                  <w:pPr>
                    <w:widowControl/>
                    <w:autoSpaceDE w:val="0"/>
                    <w:autoSpaceDN w:val="0"/>
                    <w:adjustRightInd w:val="0"/>
                    <w:snapToGrid w:val="0"/>
                    <w:jc w:val="center"/>
                    <w:textAlignment w:val="center"/>
                    <w:rPr>
                      <w:color w:val="auto"/>
                      <w:kern w:val="0"/>
                    </w:rPr>
                  </w:pPr>
                  <w:r>
                    <w:rPr>
                      <w:rFonts w:hint="eastAsia"/>
                      <w:color w:val="auto"/>
                      <w:kern w:val="0"/>
                    </w:rPr>
                    <w:t>三、产业发展</w:t>
                  </w:r>
                </w:p>
              </w:tc>
              <w:tc>
                <w:tcPr>
                  <w:tcW w:w="2656" w:type="pct"/>
                  <w:vAlign w:val="center"/>
                </w:tcPr>
                <w:p w14:paraId="3A84EEB9">
                  <w:pPr>
                    <w:widowControl/>
                    <w:autoSpaceDE w:val="0"/>
                    <w:autoSpaceDN w:val="0"/>
                    <w:adjustRightInd w:val="0"/>
                    <w:snapToGrid w:val="0"/>
                    <w:jc w:val="center"/>
                    <w:textAlignment w:val="center"/>
                    <w:rPr>
                      <w:color w:val="auto"/>
                      <w:kern w:val="0"/>
                    </w:rPr>
                  </w:pPr>
                  <w:r>
                    <w:rPr>
                      <w:rFonts w:hint="eastAsia"/>
                      <w:color w:val="auto"/>
                      <w:kern w:val="0"/>
                    </w:rPr>
                    <w:t>15.禁止新建、扩建不符合国家和省产业政策的尿素、磷铵、电石、烧碱、聚氯乙烯、纯碱等行业新增产能项目。</w:t>
                  </w:r>
                </w:p>
              </w:tc>
              <w:tc>
                <w:tcPr>
                  <w:tcW w:w="1394" w:type="pct"/>
                  <w:vAlign w:val="center"/>
                </w:tcPr>
                <w:p w14:paraId="3A84EEBA">
                  <w:pPr>
                    <w:widowControl/>
                    <w:autoSpaceDE w:val="0"/>
                    <w:autoSpaceDN w:val="0"/>
                    <w:adjustRightInd w:val="0"/>
                    <w:snapToGrid w:val="0"/>
                    <w:jc w:val="center"/>
                    <w:textAlignment w:val="center"/>
                    <w:rPr>
                      <w:color w:val="auto"/>
                      <w:kern w:val="0"/>
                    </w:rPr>
                  </w:pPr>
                  <w:r>
                    <w:rPr>
                      <w:rFonts w:hint="eastAsia"/>
                      <w:color w:val="auto"/>
                      <w:kern w:val="0"/>
                    </w:rPr>
                    <w:t>本项目不属于尿素、磷铵、电石、烧碱、聚氯乙烯、纯碱等行业</w:t>
                  </w:r>
                </w:p>
              </w:tc>
              <w:tc>
                <w:tcPr>
                  <w:tcW w:w="536" w:type="pct"/>
                  <w:vAlign w:val="center"/>
                </w:tcPr>
                <w:p w14:paraId="3A84EEBB">
                  <w:pPr>
                    <w:widowControl/>
                    <w:autoSpaceDE w:val="0"/>
                    <w:autoSpaceDN w:val="0"/>
                    <w:adjustRightInd w:val="0"/>
                    <w:snapToGrid w:val="0"/>
                    <w:jc w:val="center"/>
                    <w:textAlignment w:val="center"/>
                    <w:rPr>
                      <w:color w:val="auto"/>
                      <w:kern w:val="0"/>
                    </w:rPr>
                  </w:pPr>
                  <w:r>
                    <w:rPr>
                      <w:color w:val="auto"/>
                      <w:kern w:val="0"/>
                    </w:rPr>
                    <w:t>相符</w:t>
                  </w:r>
                </w:p>
              </w:tc>
            </w:tr>
            <w:tr w14:paraId="3A84EE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A84EEBD">
                  <w:pPr>
                    <w:widowControl/>
                    <w:autoSpaceDE w:val="0"/>
                    <w:autoSpaceDN w:val="0"/>
                    <w:adjustRightInd w:val="0"/>
                    <w:snapToGrid w:val="0"/>
                    <w:jc w:val="center"/>
                    <w:textAlignment w:val="center"/>
                    <w:rPr>
                      <w:color w:val="auto"/>
                      <w:kern w:val="0"/>
                    </w:rPr>
                  </w:pPr>
                </w:p>
              </w:tc>
              <w:tc>
                <w:tcPr>
                  <w:tcW w:w="2656" w:type="pct"/>
                  <w:vAlign w:val="center"/>
                </w:tcPr>
                <w:p w14:paraId="3A84EEBE">
                  <w:pPr>
                    <w:widowControl/>
                    <w:autoSpaceDE w:val="0"/>
                    <w:autoSpaceDN w:val="0"/>
                    <w:adjustRightInd w:val="0"/>
                    <w:snapToGrid w:val="0"/>
                    <w:jc w:val="center"/>
                    <w:textAlignment w:val="center"/>
                    <w:rPr>
                      <w:color w:val="auto"/>
                      <w:kern w:val="0"/>
                    </w:rPr>
                  </w:pPr>
                  <w:r>
                    <w:rPr>
                      <w:rFonts w:hint="eastAsia"/>
                      <w:color w:val="auto"/>
                      <w:kern w:val="0"/>
                    </w:rPr>
                    <w:t>16.禁止新建、改建、扩建高毒、高残留以及对环境影响大的农药原药（化学合成类）项目，禁止新建、扩建不符合国家和省产业政策的农药、医药和染料中间体化工项目。</w:t>
                  </w:r>
                </w:p>
              </w:tc>
              <w:tc>
                <w:tcPr>
                  <w:tcW w:w="1394" w:type="pct"/>
                  <w:vAlign w:val="center"/>
                </w:tcPr>
                <w:p w14:paraId="3A84EEBF">
                  <w:pPr>
                    <w:widowControl/>
                    <w:autoSpaceDE w:val="0"/>
                    <w:autoSpaceDN w:val="0"/>
                    <w:adjustRightInd w:val="0"/>
                    <w:snapToGrid w:val="0"/>
                    <w:jc w:val="center"/>
                    <w:textAlignment w:val="center"/>
                    <w:rPr>
                      <w:color w:val="auto"/>
                      <w:kern w:val="0"/>
                    </w:rPr>
                  </w:pPr>
                  <w:r>
                    <w:rPr>
                      <w:rFonts w:hint="eastAsia"/>
                      <w:color w:val="auto"/>
                      <w:kern w:val="0"/>
                    </w:rPr>
                    <w:t>本项目不属于农药原药（化学合成类）项目，不属于农药、医药和染料中间体化工项目</w:t>
                  </w:r>
                </w:p>
              </w:tc>
              <w:tc>
                <w:tcPr>
                  <w:tcW w:w="536" w:type="pct"/>
                  <w:vAlign w:val="center"/>
                </w:tcPr>
                <w:p w14:paraId="3A84EEC0">
                  <w:pPr>
                    <w:widowControl/>
                    <w:autoSpaceDE w:val="0"/>
                    <w:autoSpaceDN w:val="0"/>
                    <w:adjustRightInd w:val="0"/>
                    <w:snapToGrid w:val="0"/>
                    <w:jc w:val="center"/>
                    <w:textAlignment w:val="center"/>
                    <w:rPr>
                      <w:color w:val="auto"/>
                      <w:kern w:val="0"/>
                    </w:rPr>
                  </w:pPr>
                  <w:r>
                    <w:rPr>
                      <w:color w:val="auto"/>
                      <w:kern w:val="0"/>
                    </w:rPr>
                    <w:t>相符</w:t>
                  </w:r>
                </w:p>
              </w:tc>
            </w:tr>
            <w:tr w14:paraId="3A84EE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A84EEC2">
                  <w:pPr>
                    <w:widowControl/>
                    <w:autoSpaceDE w:val="0"/>
                    <w:autoSpaceDN w:val="0"/>
                    <w:adjustRightInd w:val="0"/>
                    <w:snapToGrid w:val="0"/>
                    <w:jc w:val="center"/>
                    <w:textAlignment w:val="center"/>
                    <w:rPr>
                      <w:color w:val="auto"/>
                      <w:kern w:val="0"/>
                    </w:rPr>
                  </w:pPr>
                </w:p>
              </w:tc>
              <w:tc>
                <w:tcPr>
                  <w:tcW w:w="2656" w:type="pct"/>
                  <w:vAlign w:val="center"/>
                </w:tcPr>
                <w:p w14:paraId="3A84EEC3">
                  <w:pPr>
                    <w:widowControl/>
                    <w:autoSpaceDE w:val="0"/>
                    <w:autoSpaceDN w:val="0"/>
                    <w:adjustRightInd w:val="0"/>
                    <w:snapToGrid w:val="0"/>
                    <w:jc w:val="center"/>
                    <w:textAlignment w:val="center"/>
                    <w:rPr>
                      <w:color w:val="auto"/>
                      <w:kern w:val="0"/>
                    </w:rPr>
                  </w:pPr>
                  <w:r>
                    <w:rPr>
                      <w:rFonts w:hint="eastAsia"/>
                      <w:color w:val="auto"/>
                      <w:kern w:val="0"/>
                    </w:rPr>
                    <w:t>17.禁止新建、扩建不符合国家石化、现代煤化工等产业布局规划的项目，禁止新建独立焦化项目。</w:t>
                  </w:r>
                </w:p>
              </w:tc>
              <w:tc>
                <w:tcPr>
                  <w:tcW w:w="1394" w:type="pct"/>
                  <w:vAlign w:val="center"/>
                </w:tcPr>
                <w:p w14:paraId="3A84EEC4">
                  <w:pPr>
                    <w:widowControl/>
                    <w:autoSpaceDE w:val="0"/>
                    <w:autoSpaceDN w:val="0"/>
                    <w:adjustRightInd w:val="0"/>
                    <w:snapToGrid w:val="0"/>
                    <w:jc w:val="center"/>
                    <w:textAlignment w:val="center"/>
                    <w:rPr>
                      <w:color w:val="auto"/>
                      <w:kern w:val="0"/>
                    </w:rPr>
                  </w:pPr>
                  <w:r>
                    <w:rPr>
                      <w:rFonts w:hint="eastAsia"/>
                      <w:color w:val="auto"/>
                      <w:kern w:val="0"/>
                    </w:rPr>
                    <w:t>本项目不属于石化、现代煤化工、独立焦化项目</w:t>
                  </w:r>
                </w:p>
              </w:tc>
              <w:tc>
                <w:tcPr>
                  <w:tcW w:w="536" w:type="pct"/>
                  <w:vAlign w:val="center"/>
                </w:tcPr>
                <w:p w14:paraId="3A84EEC5">
                  <w:pPr>
                    <w:widowControl/>
                    <w:autoSpaceDE w:val="0"/>
                    <w:autoSpaceDN w:val="0"/>
                    <w:adjustRightInd w:val="0"/>
                    <w:snapToGrid w:val="0"/>
                    <w:jc w:val="center"/>
                    <w:textAlignment w:val="center"/>
                    <w:rPr>
                      <w:color w:val="auto"/>
                      <w:kern w:val="0"/>
                    </w:rPr>
                  </w:pPr>
                  <w:r>
                    <w:rPr>
                      <w:color w:val="auto"/>
                      <w:kern w:val="0"/>
                    </w:rPr>
                    <w:t>相符</w:t>
                  </w:r>
                </w:p>
              </w:tc>
            </w:tr>
            <w:tr w14:paraId="3A84E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A84EEC7">
                  <w:pPr>
                    <w:widowControl/>
                    <w:autoSpaceDE w:val="0"/>
                    <w:autoSpaceDN w:val="0"/>
                    <w:adjustRightInd w:val="0"/>
                    <w:snapToGrid w:val="0"/>
                    <w:jc w:val="center"/>
                    <w:textAlignment w:val="center"/>
                    <w:rPr>
                      <w:color w:val="auto"/>
                      <w:kern w:val="0"/>
                    </w:rPr>
                  </w:pPr>
                </w:p>
              </w:tc>
              <w:tc>
                <w:tcPr>
                  <w:tcW w:w="2656" w:type="pct"/>
                  <w:vAlign w:val="center"/>
                </w:tcPr>
                <w:p w14:paraId="3A84EEC8">
                  <w:pPr>
                    <w:widowControl/>
                    <w:autoSpaceDE w:val="0"/>
                    <w:autoSpaceDN w:val="0"/>
                    <w:adjustRightInd w:val="0"/>
                    <w:snapToGrid w:val="0"/>
                    <w:jc w:val="center"/>
                    <w:textAlignment w:val="center"/>
                    <w:rPr>
                      <w:color w:val="auto"/>
                      <w:kern w:val="0"/>
                    </w:rPr>
                  </w:pPr>
                  <w:r>
                    <w:rPr>
                      <w:rFonts w:hint="eastAsia"/>
                      <w:color w:val="auto"/>
                      <w:kern w:val="0"/>
                    </w:rPr>
                    <w:t>18.禁止新建、扩建不符合国家《产业结构调整指导目录》《江苏省产业结构调整限制、淘汰和禁止目录》明确的限制类、淘汰类、禁止类项目， 法律法规和相关政策明令禁止的落后产能项目，以及明令淘汰的安全生产落后工艺及装备项目。</w:t>
                  </w:r>
                </w:p>
              </w:tc>
              <w:tc>
                <w:tcPr>
                  <w:tcW w:w="1394" w:type="pct"/>
                  <w:vAlign w:val="center"/>
                </w:tcPr>
                <w:p w14:paraId="3A84EEC9">
                  <w:pPr>
                    <w:widowControl/>
                    <w:autoSpaceDE w:val="0"/>
                    <w:autoSpaceDN w:val="0"/>
                    <w:adjustRightInd w:val="0"/>
                    <w:snapToGrid w:val="0"/>
                    <w:jc w:val="center"/>
                    <w:textAlignment w:val="center"/>
                    <w:rPr>
                      <w:color w:val="auto"/>
                      <w:kern w:val="0"/>
                    </w:rPr>
                  </w:pPr>
                  <w:r>
                    <w:rPr>
                      <w:rFonts w:hint="eastAsia"/>
                      <w:color w:val="auto"/>
                      <w:kern w:val="0"/>
                    </w:rPr>
                    <w:t>本项目不属于《产业结构调整指导目录》《江苏省产业结构调整限制、淘汰和禁止目录》明确的限制类、淘汰类、禁止类项目；不属于法律法规和相关政策明令禁止的落后产能项目，不属于明令淘汰的安全生产落后工艺及装备项目</w:t>
                  </w:r>
                </w:p>
              </w:tc>
              <w:tc>
                <w:tcPr>
                  <w:tcW w:w="536" w:type="pct"/>
                  <w:vAlign w:val="center"/>
                </w:tcPr>
                <w:p w14:paraId="3A84EECA">
                  <w:pPr>
                    <w:widowControl/>
                    <w:autoSpaceDE w:val="0"/>
                    <w:autoSpaceDN w:val="0"/>
                    <w:adjustRightInd w:val="0"/>
                    <w:snapToGrid w:val="0"/>
                    <w:jc w:val="center"/>
                    <w:textAlignment w:val="center"/>
                    <w:rPr>
                      <w:color w:val="auto"/>
                      <w:kern w:val="0"/>
                    </w:rPr>
                  </w:pPr>
                  <w:r>
                    <w:rPr>
                      <w:color w:val="auto"/>
                      <w:kern w:val="0"/>
                    </w:rPr>
                    <w:t>相符</w:t>
                  </w:r>
                </w:p>
              </w:tc>
            </w:tr>
            <w:tr w14:paraId="3A84E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A84EECC">
                  <w:pPr>
                    <w:widowControl/>
                    <w:autoSpaceDE w:val="0"/>
                    <w:autoSpaceDN w:val="0"/>
                    <w:adjustRightInd w:val="0"/>
                    <w:snapToGrid w:val="0"/>
                    <w:jc w:val="center"/>
                    <w:textAlignment w:val="center"/>
                    <w:rPr>
                      <w:color w:val="auto"/>
                      <w:kern w:val="0"/>
                    </w:rPr>
                  </w:pPr>
                </w:p>
              </w:tc>
              <w:tc>
                <w:tcPr>
                  <w:tcW w:w="2656" w:type="pct"/>
                  <w:vAlign w:val="center"/>
                </w:tcPr>
                <w:p w14:paraId="3A84EECD">
                  <w:pPr>
                    <w:widowControl/>
                    <w:autoSpaceDE w:val="0"/>
                    <w:autoSpaceDN w:val="0"/>
                    <w:adjustRightInd w:val="0"/>
                    <w:snapToGrid w:val="0"/>
                    <w:jc w:val="center"/>
                    <w:textAlignment w:val="center"/>
                    <w:rPr>
                      <w:color w:val="auto"/>
                      <w:kern w:val="0"/>
                    </w:rPr>
                  </w:pPr>
                  <w:r>
                    <w:rPr>
                      <w:rFonts w:hint="eastAsia"/>
                      <w:color w:val="auto"/>
                      <w:kern w:val="0"/>
                    </w:rPr>
                    <w:t>19.禁止新建、扩建不符合国家产能置换要求的严重过剩产能行业的项目。禁止新建、扩建不符合要求的高耗能高排放项目。</w:t>
                  </w:r>
                </w:p>
              </w:tc>
              <w:tc>
                <w:tcPr>
                  <w:tcW w:w="1394" w:type="pct"/>
                  <w:vAlign w:val="center"/>
                </w:tcPr>
                <w:p w14:paraId="3A84EECE">
                  <w:pPr>
                    <w:widowControl/>
                    <w:autoSpaceDE w:val="0"/>
                    <w:autoSpaceDN w:val="0"/>
                    <w:adjustRightInd w:val="0"/>
                    <w:snapToGrid w:val="0"/>
                    <w:jc w:val="center"/>
                    <w:textAlignment w:val="center"/>
                    <w:rPr>
                      <w:color w:val="auto"/>
                      <w:kern w:val="0"/>
                    </w:rPr>
                  </w:pPr>
                  <w:r>
                    <w:rPr>
                      <w:rFonts w:hint="eastAsia"/>
                      <w:color w:val="auto"/>
                      <w:kern w:val="0"/>
                    </w:rPr>
                    <w:t>本项目不属于严重产能过剩行业，不属于高耗能高排放项目</w:t>
                  </w:r>
                </w:p>
              </w:tc>
              <w:tc>
                <w:tcPr>
                  <w:tcW w:w="536" w:type="pct"/>
                  <w:vAlign w:val="center"/>
                </w:tcPr>
                <w:p w14:paraId="3A84EECF">
                  <w:pPr>
                    <w:widowControl/>
                    <w:autoSpaceDE w:val="0"/>
                    <w:autoSpaceDN w:val="0"/>
                    <w:adjustRightInd w:val="0"/>
                    <w:snapToGrid w:val="0"/>
                    <w:jc w:val="center"/>
                    <w:textAlignment w:val="center"/>
                    <w:rPr>
                      <w:color w:val="auto"/>
                      <w:kern w:val="0"/>
                    </w:rPr>
                  </w:pPr>
                  <w:r>
                    <w:rPr>
                      <w:color w:val="auto"/>
                      <w:kern w:val="0"/>
                    </w:rPr>
                    <w:t>相符</w:t>
                  </w:r>
                </w:p>
              </w:tc>
            </w:tr>
            <w:tr w14:paraId="3A84E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A84EED1">
                  <w:pPr>
                    <w:widowControl/>
                    <w:autoSpaceDE w:val="0"/>
                    <w:autoSpaceDN w:val="0"/>
                    <w:adjustRightInd w:val="0"/>
                    <w:snapToGrid w:val="0"/>
                    <w:jc w:val="center"/>
                    <w:textAlignment w:val="center"/>
                    <w:rPr>
                      <w:color w:val="auto"/>
                      <w:kern w:val="0"/>
                    </w:rPr>
                  </w:pPr>
                </w:p>
              </w:tc>
              <w:tc>
                <w:tcPr>
                  <w:tcW w:w="2656" w:type="pct"/>
                  <w:vAlign w:val="center"/>
                </w:tcPr>
                <w:p w14:paraId="3A84EED2">
                  <w:pPr>
                    <w:widowControl/>
                    <w:autoSpaceDE w:val="0"/>
                    <w:autoSpaceDN w:val="0"/>
                    <w:adjustRightInd w:val="0"/>
                    <w:snapToGrid w:val="0"/>
                    <w:jc w:val="center"/>
                    <w:textAlignment w:val="center"/>
                    <w:rPr>
                      <w:color w:val="auto"/>
                      <w:kern w:val="0"/>
                    </w:rPr>
                  </w:pPr>
                  <w:r>
                    <w:rPr>
                      <w:rFonts w:hint="eastAsia"/>
                      <w:color w:val="auto"/>
                      <w:kern w:val="0"/>
                    </w:rPr>
                    <w:t>20.法律法规及相关政策文件有更加严格规定的从其规定。</w:t>
                  </w:r>
                </w:p>
              </w:tc>
              <w:tc>
                <w:tcPr>
                  <w:tcW w:w="1394" w:type="pct"/>
                  <w:vAlign w:val="center"/>
                </w:tcPr>
                <w:p w14:paraId="3A84EED3">
                  <w:pPr>
                    <w:widowControl/>
                    <w:autoSpaceDE w:val="0"/>
                    <w:autoSpaceDN w:val="0"/>
                    <w:adjustRightInd w:val="0"/>
                    <w:snapToGrid w:val="0"/>
                    <w:jc w:val="center"/>
                    <w:textAlignment w:val="center"/>
                    <w:rPr>
                      <w:color w:val="auto"/>
                      <w:kern w:val="0"/>
                    </w:rPr>
                  </w:pPr>
                  <w:r>
                    <w:rPr>
                      <w:rFonts w:hint="eastAsia"/>
                      <w:color w:val="auto"/>
                      <w:kern w:val="0"/>
                    </w:rPr>
                    <w:t>本项目从新、从严执行</w:t>
                  </w:r>
                </w:p>
              </w:tc>
              <w:tc>
                <w:tcPr>
                  <w:tcW w:w="536" w:type="pct"/>
                  <w:vAlign w:val="center"/>
                </w:tcPr>
                <w:p w14:paraId="3A84EED4">
                  <w:pPr>
                    <w:widowControl/>
                    <w:autoSpaceDE w:val="0"/>
                    <w:autoSpaceDN w:val="0"/>
                    <w:adjustRightInd w:val="0"/>
                    <w:snapToGrid w:val="0"/>
                    <w:jc w:val="center"/>
                    <w:textAlignment w:val="center"/>
                    <w:rPr>
                      <w:color w:val="auto"/>
                      <w:kern w:val="0"/>
                    </w:rPr>
                  </w:pPr>
                  <w:r>
                    <w:rPr>
                      <w:color w:val="auto"/>
                      <w:kern w:val="0"/>
                    </w:rPr>
                    <w:t>相符</w:t>
                  </w:r>
                </w:p>
              </w:tc>
            </w:tr>
          </w:tbl>
          <w:p w14:paraId="3A84EED6">
            <w:pPr>
              <w:overflowPunct w:val="0"/>
              <w:adjustRightInd w:val="0"/>
              <w:snapToGrid w:val="0"/>
              <w:spacing w:line="360" w:lineRule="auto"/>
              <w:ind w:firstLine="420" w:firstLineChars="200"/>
              <w:rPr>
                <w:color w:val="auto"/>
              </w:rPr>
            </w:pPr>
            <w:r>
              <w:rPr>
                <w:color w:val="auto"/>
              </w:rPr>
              <w:t>综上所述，本项目与</w:t>
            </w:r>
            <w:r>
              <w:rPr>
                <w:rFonts w:hint="eastAsia"/>
                <w:color w:val="auto"/>
              </w:rPr>
              <w:t>《&lt;长江经济带发展负面清单指南（试行，2022年版）&gt;江苏省实施细则的通知》（苏长江办发[2022]55号）</w:t>
            </w:r>
            <w:r>
              <w:rPr>
                <w:color w:val="auto"/>
              </w:rPr>
              <w:t>相符。</w:t>
            </w:r>
          </w:p>
          <w:p w14:paraId="3A84EED7">
            <w:pPr>
              <w:pStyle w:val="23"/>
              <w:ind w:firstLine="420" w:firstLineChars="200"/>
              <w:rPr>
                <w:color w:val="auto"/>
                <w:kern w:val="2"/>
                <w:sz w:val="21"/>
                <w:szCs w:val="21"/>
              </w:rPr>
            </w:pPr>
            <w:r>
              <w:rPr>
                <w:rFonts w:hint="eastAsia"/>
                <w:color w:val="auto"/>
                <w:kern w:val="2"/>
                <w:sz w:val="21"/>
                <w:szCs w:val="21"/>
              </w:rPr>
              <w:t>综上所述，本项目的建设符合“三线一单”中的相关要求。</w:t>
            </w:r>
          </w:p>
          <w:p w14:paraId="3A84EED8">
            <w:pPr>
              <w:overflowPunct w:val="0"/>
              <w:adjustRightInd w:val="0"/>
              <w:snapToGrid w:val="0"/>
              <w:spacing w:line="360" w:lineRule="auto"/>
              <w:ind w:firstLine="422" w:firstLineChars="200"/>
              <w:rPr>
                <w:b/>
                <w:color w:val="auto"/>
              </w:rPr>
            </w:pPr>
            <w:r>
              <w:rPr>
                <w:rFonts w:hint="eastAsia"/>
                <w:b/>
                <w:color w:val="auto"/>
              </w:rPr>
              <w:t>3、技术政策相符性</w:t>
            </w:r>
          </w:p>
          <w:p w14:paraId="3A84EED9">
            <w:pPr>
              <w:adjustRightInd w:val="0"/>
              <w:snapToGrid w:val="0"/>
              <w:spacing w:line="360" w:lineRule="auto"/>
              <w:ind w:firstLine="422" w:firstLineChars="200"/>
              <w:rPr>
                <w:b/>
                <w:bCs/>
                <w:color w:val="auto"/>
              </w:rPr>
            </w:pPr>
            <w:r>
              <w:rPr>
                <w:b/>
                <w:bCs/>
                <w:color w:val="auto"/>
              </w:rPr>
              <w:t>（1）与地方文件相符性</w:t>
            </w:r>
          </w:p>
          <w:p w14:paraId="3A84EEDA">
            <w:pPr>
              <w:adjustRightInd w:val="0"/>
              <w:snapToGrid w:val="0"/>
              <w:spacing w:line="360" w:lineRule="auto"/>
              <w:ind w:firstLine="420" w:firstLineChars="200"/>
              <w:rPr>
                <w:b/>
                <w:bCs/>
                <w:color w:val="auto"/>
              </w:rPr>
            </w:pPr>
            <w:r>
              <w:rPr>
                <w:color w:val="auto"/>
              </w:rPr>
              <w:t>本项目建设与地方文件相符性分析见</w:t>
            </w:r>
            <w:r>
              <w:rPr>
                <w:rFonts w:hint="eastAsia"/>
                <w:color w:val="auto"/>
              </w:rPr>
              <w:t>下表</w:t>
            </w:r>
            <w:r>
              <w:rPr>
                <w:color w:val="auto"/>
              </w:rPr>
              <w:t>。</w:t>
            </w:r>
          </w:p>
          <w:p w14:paraId="3A84EEDB">
            <w:pPr>
              <w:adjustRightInd w:val="0"/>
              <w:snapToGrid w:val="0"/>
              <w:jc w:val="center"/>
              <w:rPr>
                <w:b/>
                <w:bCs/>
                <w:color w:val="auto"/>
              </w:rPr>
            </w:pPr>
            <w:r>
              <w:rPr>
                <w:b/>
                <w:bCs/>
                <w:color w:val="auto"/>
              </w:rPr>
              <w:t>表1-</w:t>
            </w:r>
            <w:r>
              <w:rPr>
                <w:rFonts w:hint="eastAsia"/>
                <w:b/>
                <w:bCs/>
                <w:color w:val="auto"/>
                <w:lang w:val="en-US" w:eastAsia="zh-CN"/>
              </w:rPr>
              <w:t>5</w:t>
            </w:r>
            <w:r>
              <w:rPr>
                <w:rFonts w:hint="eastAsia"/>
                <w:b/>
                <w:bCs/>
                <w:color w:val="auto"/>
              </w:rPr>
              <w:t xml:space="preserve">   </w:t>
            </w:r>
            <w:r>
              <w:rPr>
                <w:b/>
                <w:bCs/>
                <w:color w:val="auto"/>
              </w:rPr>
              <w:t>项目与地方文件相符性分析</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253"/>
              <w:gridCol w:w="962"/>
              <w:gridCol w:w="2109"/>
              <w:gridCol w:w="3037"/>
              <w:gridCol w:w="791"/>
            </w:tblGrid>
            <w:tr w14:paraId="3A84EEE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768" w:type="pct"/>
                  <w:tcBorders>
                    <w:tl2br w:val="nil"/>
                    <w:tr2bl w:val="nil"/>
                  </w:tcBorders>
                  <w:vAlign w:val="center"/>
                </w:tcPr>
                <w:p w14:paraId="3A84EEDC">
                  <w:pPr>
                    <w:pStyle w:val="558"/>
                    <w:adjustRightInd w:val="0"/>
                    <w:rPr>
                      <w:b/>
                      <w:color w:val="auto"/>
                      <w:spacing w:val="0"/>
                      <w:kern w:val="0"/>
                    </w:rPr>
                  </w:pPr>
                  <w:r>
                    <w:rPr>
                      <w:b/>
                      <w:color w:val="auto"/>
                      <w:spacing w:val="0"/>
                      <w:kern w:val="0"/>
                    </w:rPr>
                    <w:t>文件</w:t>
                  </w:r>
                </w:p>
              </w:tc>
              <w:tc>
                <w:tcPr>
                  <w:tcW w:w="1883" w:type="pct"/>
                  <w:gridSpan w:val="2"/>
                  <w:tcBorders>
                    <w:tl2br w:val="nil"/>
                    <w:tr2bl w:val="nil"/>
                  </w:tcBorders>
                  <w:vAlign w:val="center"/>
                </w:tcPr>
                <w:p w14:paraId="3A84EEDD">
                  <w:pPr>
                    <w:pStyle w:val="558"/>
                    <w:adjustRightInd w:val="0"/>
                    <w:rPr>
                      <w:b/>
                      <w:color w:val="auto"/>
                      <w:spacing w:val="0"/>
                      <w:kern w:val="0"/>
                    </w:rPr>
                  </w:pPr>
                  <w:r>
                    <w:rPr>
                      <w:b/>
                      <w:color w:val="auto"/>
                      <w:spacing w:val="0"/>
                      <w:kern w:val="0"/>
                    </w:rPr>
                    <w:t>与项目相关要求</w:t>
                  </w:r>
                </w:p>
              </w:tc>
              <w:tc>
                <w:tcPr>
                  <w:tcW w:w="1862" w:type="pct"/>
                  <w:tcBorders>
                    <w:tl2br w:val="nil"/>
                    <w:tr2bl w:val="nil"/>
                  </w:tcBorders>
                  <w:vAlign w:val="center"/>
                </w:tcPr>
                <w:p w14:paraId="3A84EEDE">
                  <w:pPr>
                    <w:pStyle w:val="558"/>
                    <w:adjustRightInd w:val="0"/>
                    <w:rPr>
                      <w:b/>
                      <w:color w:val="auto"/>
                      <w:spacing w:val="0"/>
                      <w:kern w:val="0"/>
                    </w:rPr>
                  </w:pPr>
                  <w:r>
                    <w:rPr>
                      <w:b/>
                      <w:color w:val="auto"/>
                      <w:spacing w:val="0"/>
                      <w:kern w:val="0"/>
                    </w:rPr>
                    <w:t>本项目相符性分析</w:t>
                  </w:r>
                </w:p>
              </w:tc>
              <w:tc>
                <w:tcPr>
                  <w:tcW w:w="485" w:type="pct"/>
                  <w:tcBorders>
                    <w:tl2br w:val="nil"/>
                    <w:tr2bl w:val="nil"/>
                  </w:tcBorders>
                  <w:vAlign w:val="center"/>
                </w:tcPr>
                <w:p w14:paraId="3A84EEDF">
                  <w:pPr>
                    <w:pStyle w:val="558"/>
                    <w:adjustRightInd w:val="0"/>
                    <w:rPr>
                      <w:b/>
                      <w:color w:val="auto"/>
                      <w:spacing w:val="0"/>
                      <w:kern w:val="0"/>
                    </w:rPr>
                  </w:pPr>
                  <w:r>
                    <w:rPr>
                      <w:b/>
                      <w:color w:val="auto"/>
                      <w:spacing w:val="0"/>
                      <w:kern w:val="0"/>
                    </w:rPr>
                    <w:t>是否相符</w:t>
                  </w:r>
                </w:p>
              </w:tc>
            </w:tr>
            <w:tr w14:paraId="3A84EEE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restart"/>
                  <w:tcBorders>
                    <w:tl2br w:val="nil"/>
                    <w:tr2bl w:val="nil"/>
                  </w:tcBorders>
                  <w:vAlign w:val="center"/>
                </w:tcPr>
                <w:p w14:paraId="3A84EEE1">
                  <w:pPr>
                    <w:pStyle w:val="558"/>
                    <w:adjustRightInd w:val="0"/>
                    <w:rPr>
                      <w:b/>
                      <w:color w:val="auto"/>
                      <w:spacing w:val="0"/>
                      <w:kern w:val="0"/>
                    </w:rPr>
                  </w:pPr>
                  <w:r>
                    <w:rPr>
                      <w:b/>
                      <w:color w:val="auto"/>
                      <w:spacing w:val="0"/>
                      <w:kern w:val="0"/>
                    </w:rPr>
                    <w:t>《江苏省大气污染物防治条例》</w:t>
                  </w:r>
                </w:p>
              </w:tc>
              <w:tc>
                <w:tcPr>
                  <w:tcW w:w="1883" w:type="pct"/>
                  <w:gridSpan w:val="2"/>
                  <w:tcBorders>
                    <w:tl2br w:val="nil"/>
                    <w:tr2bl w:val="nil"/>
                  </w:tcBorders>
                  <w:vAlign w:val="center"/>
                </w:tcPr>
                <w:p w14:paraId="3A84EEE2">
                  <w:pPr>
                    <w:pStyle w:val="558"/>
                    <w:adjustRightInd w:val="0"/>
                    <w:rPr>
                      <w:color w:val="auto"/>
                      <w:spacing w:val="0"/>
                      <w:kern w:val="0"/>
                    </w:rPr>
                  </w:pPr>
                  <w:r>
                    <w:rPr>
                      <w:color w:val="auto"/>
                      <w:spacing w:val="0"/>
                      <w:kern w:val="0"/>
                    </w:rPr>
                    <w:t>禁止使用列入淘汰名录的高污染工艺设备。淘汰的高污染工艺设备，企业不得转让给他人使用。</w:t>
                  </w:r>
                </w:p>
              </w:tc>
              <w:tc>
                <w:tcPr>
                  <w:tcW w:w="1862" w:type="pct"/>
                  <w:tcBorders>
                    <w:tl2br w:val="nil"/>
                    <w:tr2bl w:val="nil"/>
                  </w:tcBorders>
                  <w:vAlign w:val="center"/>
                </w:tcPr>
                <w:p w14:paraId="3A84EEE3">
                  <w:pPr>
                    <w:pStyle w:val="558"/>
                    <w:adjustRightInd w:val="0"/>
                    <w:rPr>
                      <w:color w:val="auto"/>
                      <w:spacing w:val="0"/>
                      <w:kern w:val="0"/>
                    </w:rPr>
                  </w:pPr>
                  <w:r>
                    <w:rPr>
                      <w:color w:val="auto"/>
                      <w:spacing w:val="0"/>
                      <w:kern w:val="0"/>
                    </w:rPr>
                    <w:t>项目不使用淘汰的高污染工艺设备</w:t>
                  </w:r>
                </w:p>
              </w:tc>
              <w:tc>
                <w:tcPr>
                  <w:tcW w:w="485" w:type="pct"/>
                  <w:tcBorders>
                    <w:tl2br w:val="nil"/>
                    <w:tr2bl w:val="nil"/>
                  </w:tcBorders>
                  <w:vAlign w:val="center"/>
                </w:tcPr>
                <w:p w14:paraId="3A84EEE4">
                  <w:pPr>
                    <w:pStyle w:val="558"/>
                    <w:adjustRightInd w:val="0"/>
                    <w:rPr>
                      <w:color w:val="auto"/>
                      <w:spacing w:val="0"/>
                      <w:kern w:val="0"/>
                    </w:rPr>
                  </w:pPr>
                  <w:r>
                    <w:rPr>
                      <w:color w:val="auto"/>
                      <w:spacing w:val="0"/>
                      <w:kern w:val="0"/>
                    </w:rPr>
                    <w:t>相符</w:t>
                  </w:r>
                </w:p>
              </w:tc>
            </w:tr>
            <w:tr w14:paraId="3A84EEE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3A84EEE6">
                  <w:pPr>
                    <w:pStyle w:val="558"/>
                    <w:adjustRightInd w:val="0"/>
                    <w:rPr>
                      <w:b/>
                      <w:color w:val="auto"/>
                      <w:spacing w:val="0"/>
                      <w:kern w:val="0"/>
                    </w:rPr>
                  </w:pPr>
                </w:p>
              </w:tc>
              <w:tc>
                <w:tcPr>
                  <w:tcW w:w="1883" w:type="pct"/>
                  <w:gridSpan w:val="2"/>
                  <w:tcBorders>
                    <w:tl2br w:val="nil"/>
                    <w:tr2bl w:val="nil"/>
                  </w:tcBorders>
                  <w:vAlign w:val="center"/>
                </w:tcPr>
                <w:p w14:paraId="3A84EEE7">
                  <w:pPr>
                    <w:pStyle w:val="558"/>
                    <w:adjustRightInd w:val="0"/>
                    <w:rPr>
                      <w:color w:val="auto"/>
                      <w:spacing w:val="0"/>
                      <w:kern w:val="0"/>
                    </w:rPr>
                  </w:pPr>
                  <w:r>
                    <w:rPr>
                      <w:color w:val="auto"/>
                      <w:spacing w:val="0"/>
                      <w:kern w:val="0"/>
                    </w:rPr>
                    <w:t>企业应当使用资源利用率高、污染物排放量少的工艺、设备，采用最佳实用大气污染控制技术，减少大气污染物的产生。</w:t>
                  </w:r>
                </w:p>
              </w:tc>
              <w:tc>
                <w:tcPr>
                  <w:tcW w:w="1862" w:type="pct"/>
                  <w:tcBorders>
                    <w:tl2br w:val="nil"/>
                    <w:tr2bl w:val="nil"/>
                  </w:tcBorders>
                  <w:vAlign w:val="center"/>
                </w:tcPr>
                <w:p w14:paraId="3A84EEE8">
                  <w:pPr>
                    <w:pStyle w:val="558"/>
                    <w:adjustRightInd w:val="0"/>
                    <w:rPr>
                      <w:color w:val="auto"/>
                      <w:spacing w:val="0"/>
                      <w:kern w:val="0"/>
                    </w:rPr>
                  </w:pPr>
                  <w:r>
                    <w:rPr>
                      <w:rFonts w:hint="eastAsia"/>
                      <w:bCs/>
                      <w:color w:val="auto"/>
                      <w:spacing w:val="0"/>
                      <w:kern w:val="0"/>
                      <w:lang w:eastAsia="zh-CN"/>
                    </w:rPr>
                    <w:t>项目不合格品焚烧产生的有机废气、颗粒物、二噁英等废气经管道密闭收集，收集后的废气进入1套“SNCR脱硝+急冷除盐+干粉吸收+布袋除尘+臭氧氧化+碱喷淋吸收装置”处理后通过1根25m高的排气筒3#排放</w:t>
                  </w:r>
                  <w:r>
                    <w:rPr>
                      <w:color w:val="auto"/>
                      <w:spacing w:val="0"/>
                      <w:kern w:val="0"/>
                    </w:rPr>
                    <w:t>。处理后的废气污染物排放量较少</w:t>
                  </w:r>
                </w:p>
              </w:tc>
              <w:tc>
                <w:tcPr>
                  <w:tcW w:w="485" w:type="pct"/>
                  <w:tcBorders>
                    <w:tl2br w:val="nil"/>
                    <w:tr2bl w:val="nil"/>
                  </w:tcBorders>
                  <w:vAlign w:val="center"/>
                </w:tcPr>
                <w:p w14:paraId="3A84EEE9">
                  <w:pPr>
                    <w:adjustRightInd w:val="0"/>
                    <w:snapToGrid w:val="0"/>
                    <w:jc w:val="center"/>
                    <w:rPr>
                      <w:color w:val="auto"/>
                      <w:kern w:val="0"/>
                    </w:rPr>
                  </w:pPr>
                  <w:r>
                    <w:rPr>
                      <w:color w:val="auto"/>
                      <w:kern w:val="0"/>
                    </w:rPr>
                    <w:t>相符</w:t>
                  </w:r>
                </w:p>
              </w:tc>
            </w:tr>
            <w:tr w14:paraId="3A84EEE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3A84EEEB">
                  <w:pPr>
                    <w:pStyle w:val="558"/>
                    <w:adjustRightInd w:val="0"/>
                    <w:rPr>
                      <w:b/>
                      <w:color w:val="auto"/>
                      <w:spacing w:val="0"/>
                      <w:kern w:val="0"/>
                    </w:rPr>
                  </w:pPr>
                </w:p>
              </w:tc>
              <w:tc>
                <w:tcPr>
                  <w:tcW w:w="1883" w:type="pct"/>
                  <w:gridSpan w:val="2"/>
                  <w:tcBorders>
                    <w:tl2br w:val="nil"/>
                    <w:tr2bl w:val="nil"/>
                  </w:tcBorders>
                  <w:vAlign w:val="center"/>
                </w:tcPr>
                <w:p w14:paraId="3A84EEEC">
                  <w:pPr>
                    <w:pStyle w:val="558"/>
                    <w:adjustRightInd w:val="0"/>
                    <w:rPr>
                      <w:color w:val="auto"/>
                      <w:spacing w:val="0"/>
                      <w:kern w:val="0"/>
                    </w:rPr>
                  </w:pPr>
                  <w:r>
                    <w:rPr>
                      <w:color w:val="auto"/>
                      <w:spacing w:val="0"/>
                      <w:kern w:val="0"/>
                    </w:rPr>
                    <w:t>产生挥发性有机物废气的生产经营活动，应当在密闭空间或者设备中进行，并设置废气收集和处理系统等污染防治设施，保持其正常使用。</w:t>
                  </w:r>
                </w:p>
              </w:tc>
              <w:tc>
                <w:tcPr>
                  <w:tcW w:w="1862" w:type="pct"/>
                  <w:tcBorders>
                    <w:tl2br w:val="nil"/>
                    <w:tr2bl w:val="nil"/>
                  </w:tcBorders>
                  <w:vAlign w:val="center"/>
                </w:tcPr>
                <w:p w14:paraId="3A84EEED">
                  <w:pPr>
                    <w:pStyle w:val="558"/>
                    <w:adjustRightInd w:val="0"/>
                    <w:rPr>
                      <w:color w:val="auto"/>
                      <w:spacing w:val="0"/>
                      <w:kern w:val="0"/>
                    </w:rPr>
                  </w:pPr>
                  <w:r>
                    <w:rPr>
                      <w:rFonts w:hint="eastAsia"/>
                      <w:bCs/>
                      <w:color w:val="auto"/>
                      <w:spacing w:val="0"/>
                      <w:kern w:val="0"/>
                      <w:lang w:eastAsia="zh-CN"/>
                    </w:rPr>
                    <w:t>项目不合格品焚烧产生的有机废气、颗粒物、二噁英等废气经管道密闭收集，收集后的废气进入1套“SNCR脱硝+急冷除盐+干粉吸收+布袋除尘+臭氧氧化+碱喷淋吸收装置”处理后通过1根25m高的排气筒3#排放</w:t>
                  </w:r>
                  <w:r>
                    <w:rPr>
                      <w:color w:val="auto"/>
                      <w:spacing w:val="0"/>
                      <w:kern w:val="0"/>
                    </w:rPr>
                    <w:t>。项目在运行过程中确保废气处理装置正常使用</w:t>
                  </w:r>
                </w:p>
              </w:tc>
              <w:tc>
                <w:tcPr>
                  <w:tcW w:w="485" w:type="pct"/>
                  <w:tcBorders>
                    <w:tl2br w:val="nil"/>
                    <w:tr2bl w:val="nil"/>
                  </w:tcBorders>
                  <w:vAlign w:val="center"/>
                </w:tcPr>
                <w:p w14:paraId="3A84EEEE">
                  <w:pPr>
                    <w:adjustRightInd w:val="0"/>
                    <w:snapToGrid w:val="0"/>
                    <w:jc w:val="center"/>
                    <w:rPr>
                      <w:color w:val="auto"/>
                      <w:kern w:val="0"/>
                    </w:rPr>
                  </w:pPr>
                  <w:r>
                    <w:rPr>
                      <w:color w:val="auto"/>
                      <w:kern w:val="0"/>
                    </w:rPr>
                    <w:t>相符</w:t>
                  </w:r>
                </w:p>
              </w:tc>
            </w:tr>
            <w:tr w14:paraId="3A84EEF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3A84EEF0">
                  <w:pPr>
                    <w:pStyle w:val="558"/>
                    <w:adjustRightInd w:val="0"/>
                    <w:rPr>
                      <w:b/>
                      <w:color w:val="auto"/>
                      <w:spacing w:val="0"/>
                      <w:kern w:val="0"/>
                    </w:rPr>
                  </w:pPr>
                  <w:r>
                    <w:rPr>
                      <w:b/>
                      <w:color w:val="auto"/>
                      <w:spacing w:val="0"/>
                      <w:kern w:val="0"/>
                    </w:rPr>
                    <w:t>《江苏省重点行业挥发性有机物污染控制指南》</w:t>
                  </w:r>
                </w:p>
              </w:tc>
              <w:tc>
                <w:tcPr>
                  <w:tcW w:w="1883" w:type="pct"/>
                  <w:gridSpan w:val="2"/>
                  <w:tcBorders>
                    <w:tl2br w:val="nil"/>
                    <w:tr2bl w:val="nil"/>
                  </w:tcBorders>
                  <w:vAlign w:val="center"/>
                </w:tcPr>
                <w:p w14:paraId="3A84EEF1">
                  <w:pPr>
                    <w:pStyle w:val="558"/>
                    <w:adjustRightInd w:val="0"/>
                    <w:rPr>
                      <w:color w:val="auto"/>
                      <w:spacing w:val="0"/>
                      <w:kern w:val="0"/>
                    </w:rPr>
                  </w:pPr>
                  <w:r>
                    <w:rPr>
                      <w:color w:val="auto"/>
                      <w:spacing w:val="0"/>
                      <w:kern w:val="0"/>
                    </w:rPr>
                    <w:t>对浓度、性状差异较大的废气应分类收集，并采用适宜的方式进行有效处理，确保VOCs总去除效率满足管理要求，其中有机化工、医药化工、橡胶和塑料制品（有溶剂浸胶工艺）、溶剂型涂料表面涂装、包装印刷业的VOCs总收集、净化处理率均不低于90%，其他行业原则上不低于75%。</w:t>
                  </w:r>
                </w:p>
              </w:tc>
              <w:tc>
                <w:tcPr>
                  <w:tcW w:w="1862" w:type="pct"/>
                  <w:tcBorders>
                    <w:tl2br w:val="nil"/>
                    <w:tr2bl w:val="nil"/>
                  </w:tcBorders>
                  <w:vAlign w:val="center"/>
                </w:tcPr>
                <w:p w14:paraId="3A84EEF2">
                  <w:pPr>
                    <w:pStyle w:val="558"/>
                    <w:adjustRightInd w:val="0"/>
                    <w:rPr>
                      <w:color w:val="auto"/>
                      <w:spacing w:val="0"/>
                      <w:kern w:val="0"/>
                    </w:rPr>
                  </w:pPr>
                  <w:r>
                    <w:rPr>
                      <w:rFonts w:hint="eastAsia"/>
                      <w:bCs/>
                      <w:color w:val="auto"/>
                      <w:kern w:val="0"/>
                    </w:rPr>
                    <w:t>项目</w:t>
                  </w:r>
                  <w:r>
                    <w:rPr>
                      <w:rFonts w:hint="eastAsia"/>
                      <w:bCs/>
                      <w:color w:val="auto"/>
                      <w:kern w:val="0"/>
                      <w:lang w:val="en-US" w:eastAsia="zh-CN"/>
                    </w:rPr>
                    <w:t>不合格品焚烧产生的有机废气、颗粒物、二噁英等</w:t>
                  </w:r>
                  <w:r>
                    <w:rPr>
                      <w:rFonts w:hint="eastAsia"/>
                      <w:bCs/>
                      <w:color w:val="auto"/>
                      <w:kern w:val="0"/>
                    </w:rPr>
                    <w:t>废气经</w:t>
                  </w:r>
                  <w:r>
                    <w:rPr>
                      <w:rFonts w:hint="eastAsia"/>
                      <w:bCs/>
                      <w:color w:val="auto"/>
                      <w:kern w:val="0"/>
                      <w:lang w:val="en-US" w:eastAsia="zh-CN"/>
                    </w:rPr>
                    <w:t>管道密闭</w:t>
                  </w:r>
                  <w:r>
                    <w:rPr>
                      <w:rFonts w:hint="eastAsia"/>
                      <w:bCs/>
                      <w:color w:val="auto"/>
                      <w:kern w:val="0"/>
                    </w:rPr>
                    <w:t>收集</w:t>
                  </w:r>
                  <w:r>
                    <w:rPr>
                      <w:rFonts w:hint="eastAsia"/>
                      <w:bCs/>
                      <w:color w:val="auto"/>
                      <w:spacing w:val="0"/>
                      <w:kern w:val="0"/>
                    </w:rPr>
                    <w:t>（收集效率</w:t>
                  </w:r>
                  <w:r>
                    <w:rPr>
                      <w:rFonts w:hint="eastAsia"/>
                      <w:bCs/>
                      <w:color w:val="auto"/>
                      <w:spacing w:val="0"/>
                      <w:kern w:val="0"/>
                      <w:lang w:val="en-US" w:eastAsia="zh-CN"/>
                    </w:rPr>
                    <w:t>100</w:t>
                  </w:r>
                  <w:r>
                    <w:rPr>
                      <w:rFonts w:hint="eastAsia"/>
                      <w:bCs/>
                      <w:color w:val="auto"/>
                      <w:spacing w:val="0"/>
                      <w:kern w:val="0"/>
                    </w:rPr>
                    <w:t>%）</w:t>
                  </w:r>
                  <w:r>
                    <w:rPr>
                      <w:rFonts w:hint="eastAsia"/>
                      <w:color w:val="auto"/>
                      <w:spacing w:val="0"/>
                      <w:kern w:val="0"/>
                    </w:rPr>
                    <w:t>，收集后的废气经过风机管道等冷却后进入1套</w:t>
                  </w:r>
                  <w:r>
                    <w:rPr>
                      <w:rFonts w:hint="eastAsia"/>
                      <w:bCs/>
                      <w:color w:val="auto"/>
                      <w:spacing w:val="0"/>
                      <w:kern w:val="0"/>
                    </w:rPr>
                    <w:t>“</w:t>
                  </w:r>
                  <w:r>
                    <w:rPr>
                      <w:rFonts w:hint="eastAsia"/>
                      <w:bCs/>
                      <w:color w:val="auto"/>
                      <w:kern w:val="0"/>
                    </w:rPr>
                    <w:t>SNCR脱硝+急冷除盐+干粉吸收+布袋除尘+臭氧氧化+碱喷淋吸收装置</w:t>
                  </w:r>
                  <w:r>
                    <w:rPr>
                      <w:rFonts w:hint="eastAsia"/>
                      <w:bCs/>
                      <w:color w:val="auto"/>
                      <w:spacing w:val="0"/>
                      <w:kern w:val="0"/>
                    </w:rPr>
                    <w:t>”</w:t>
                  </w:r>
                  <w:r>
                    <w:rPr>
                      <w:rFonts w:hint="eastAsia"/>
                      <w:color w:val="auto"/>
                      <w:spacing w:val="0"/>
                      <w:kern w:val="0"/>
                    </w:rPr>
                    <w:t>处理（处理效率90%），</w:t>
                  </w:r>
                  <w:r>
                    <w:rPr>
                      <w:color w:val="auto"/>
                      <w:spacing w:val="0"/>
                      <w:kern w:val="0"/>
                    </w:rPr>
                    <w:t>满足不低于75%要求。</w:t>
                  </w:r>
                </w:p>
              </w:tc>
              <w:tc>
                <w:tcPr>
                  <w:tcW w:w="485" w:type="pct"/>
                  <w:tcBorders>
                    <w:tl2br w:val="nil"/>
                    <w:tr2bl w:val="nil"/>
                  </w:tcBorders>
                  <w:vAlign w:val="center"/>
                </w:tcPr>
                <w:p w14:paraId="3A84EEF3">
                  <w:pPr>
                    <w:pStyle w:val="558"/>
                    <w:adjustRightInd w:val="0"/>
                    <w:rPr>
                      <w:color w:val="auto"/>
                      <w:spacing w:val="0"/>
                      <w:kern w:val="0"/>
                    </w:rPr>
                  </w:pPr>
                  <w:r>
                    <w:rPr>
                      <w:color w:val="auto"/>
                      <w:spacing w:val="0"/>
                      <w:kern w:val="0"/>
                    </w:rPr>
                    <w:t>相符</w:t>
                  </w:r>
                </w:p>
              </w:tc>
            </w:tr>
            <w:tr w14:paraId="3A84EE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3A84EEF5">
                  <w:pPr>
                    <w:pStyle w:val="558"/>
                    <w:adjustRightInd w:val="0"/>
                    <w:rPr>
                      <w:b/>
                      <w:color w:val="auto"/>
                      <w:spacing w:val="0"/>
                      <w:kern w:val="0"/>
                    </w:rPr>
                  </w:pPr>
                  <w:r>
                    <w:rPr>
                      <w:b/>
                      <w:bCs/>
                      <w:color w:val="auto"/>
                      <w:spacing w:val="0"/>
                      <w:kern w:val="0"/>
                    </w:rPr>
                    <w:t>《重点行业挥发性有机物综合治理方案》</w:t>
                  </w:r>
                </w:p>
              </w:tc>
              <w:tc>
                <w:tcPr>
                  <w:tcW w:w="1883" w:type="pct"/>
                  <w:gridSpan w:val="2"/>
                  <w:tcBorders>
                    <w:tl2br w:val="nil"/>
                    <w:tr2bl w:val="nil"/>
                  </w:tcBorders>
                  <w:vAlign w:val="center"/>
                </w:tcPr>
                <w:p w14:paraId="3A84EEF6">
                  <w:pPr>
                    <w:pStyle w:val="558"/>
                    <w:adjustRightInd w:val="0"/>
                    <w:rPr>
                      <w:color w:val="auto"/>
                      <w:spacing w:val="0"/>
                      <w:kern w:val="0"/>
                    </w:rPr>
                  </w:pPr>
                  <w:r>
                    <w:rPr>
                      <w:color w:val="auto"/>
                      <w:spacing w:val="0"/>
                      <w:kern w:val="0"/>
                    </w:rPr>
                    <w:t>通过采用全密闭、连续化、自动化等生产技术，以及高效工艺与设备等，减少工艺过程无组织排放。遵循</w:t>
                  </w:r>
                  <w:r>
                    <w:rPr>
                      <w:rFonts w:hint="eastAsia"/>
                      <w:color w:val="auto"/>
                      <w:spacing w:val="0"/>
                      <w:kern w:val="0"/>
                    </w:rPr>
                    <w:t>“</w:t>
                  </w:r>
                  <w:r>
                    <w:rPr>
                      <w:color w:val="auto"/>
                      <w:spacing w:val="0"/>
                      <w:kern w:val="0"/>
                    </w:rPr>
                    <w:t>应收尽收、分质收集</w:t>
                  </w:r>
                  <w:r>
                    <w:rPr>
                      <w:rFonts w:hint="eastAsia"/>
                      <w:color w:val="auto"/>
                      <w:spacing w:val="0"/>
                      <w:kern w:val="0"/>
                    </w:rPr>
                    <w:t>”</w:t>
                  </w:r>
                  <w:r>
                    <w:rPr>
                      <w:color w:val="auto"/>
                      <w:spacing w:val="0"/>
                      <w:kern w:val="0"/>
                    </w:rPr>
                    <w:t>的原则，科学设计废气收集系统，将无组织排放转变为有组织排放进行控制。</w:t>
                  </w:r>
                </w:p>
              </w:tc>
              <w:tc>
                <w:tcPr>
                  <w:tcW w:w="1862" w:type="pct"/>
                  <w:tcBorders>
                    <w:tl2br w:val="nil"/>
                    <w:tr2bl w:val="nil"/>
                  </w:tcBorders>
                  <w:vAlign w:val="center"/>
                </w:tcPr>
                <w:p w14:paraId="3A84EEF7">
                  <w:pPr>
                    <w:pStyle w:val="558"/>
                    <w:adjustRightInd w:val="0"/>
                    <w:rPr>
                      <w:color w:val="auto"/>
                      <w:spacing w:val="0"/>
                      <w:kern w:val="0"/>
                    </w:rPr>
                  </w:pPr>
                  <w:r>
                    <w:rPr>
                      <w:rFonts w:hint="eastAsia"/>
                      <w:bCs/>
                      <w:color w:val="auto"/>
                      <w:spacing w:val="0"/>
                      <w:kern w:val="0"/>
                      <w:lang w:eastAsia="zh-CN"/>
                    </w:rPr>
                    <w:t>项目不合格品焚烧产生的有机废气、颗粒物、二噁英等废气经管道密闭收集，收集后的废气进入1套“SNCR脱硝+急冷除盐+干粉吸收+布袋除尘+臭氧氧化+碱喷淋吸收装置”处理后通过1根25m高的排气筒3#排放</w:t>
                  </w:r>
                  <w:r>
                    <w:rPr>
                      <w:color w:val="auto"/>
                      <w:spacing w:val="0"/>
                      <w:kern w:val="0"/>
                    </w:rPr>
                    <w:t>。能够有效减少废气无组织排放量</w:t>
                  </w:r>
                </w:p>
              </w:tc>
              <w:tc>
                <w:tcPr>
                  <w:tcW w:w="485" w:type="pct"/>
                  <w:tcBorders>
                    <w:tl2br w:val="nil"/>
                    <w:tr2bl w:val="nil"/>
                  </w:tcBorders>
                  <w:vAlign w:val="center"/>
                </w:tcPr>
                <w:p w14:paraId="3A84EEF8">
                  <w:pPr>
                    <w:pStyle w:val="558"/>
                    <w:adjustRightInd w:val="0"/>
                    <w:rPr>
                      <w:color w:val="auto"/>
                      <w:spacing w:val="0"/>
                      <w:kern w:val="0"/>
                    </w:rPr>
                  </w:pPr>
                  <w:r>
                    <w:rPr>
                      <w:color w:val="auto"/>
                      <w:spacing w:val="0"/>
                      <w:kern w:val="0"/>
                    </w:rPr>
                    <w:t>相符</w:t>
                  </w:r>
                </w:p>
              </w:tc>
            </w:tr>
            <w:tr w14:paraId="3A84EEF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restart"/>
                  <w:tcBorders>
                    <w:tl2br w:val="nil"/>
                    <w:tr2bl w:val="nil"/>
                  </w:tcBorders>
                  <w:vAlign w:val="center"/>
                </w:tcPr>
                <w:p w14:paraId="3A84EEFA">
                  <w:pPr>
                    <w:pStyle w:val="558"/>
                    <w:adjustRightInd w:val="0"/>
                    <w:rPr>
                      <w:b/>
                      <w:bCs/>
                      <w:color w:val="auto"/>
                      <w:spacing w:val="0"/>
                      <w:kern w:val="0"/>
                    </w:rPr>
                  </w:pPr>
                  <w:r>
                    <w:rPr>
                      <w:b/>
                      <w:bCs/>
                      <w:color w:val="auto"/>
                      <w:spacing w:val="0"/>
                      <w:kern w:val="0"/>
                    </w:rPr>
                    <w:t>《江苏省挥发性有机物清洁原料替代工作方案》</w:t>
                  </w:r>
                </w:p>
              </w:tc>
              <w:tc>
                <w:tcPr>
                  <w:tcW w:w="1883" w:type="pct"/>
                  <w:gridSpan w:val="2"/>
                  <w:tcBorders>
                    <w:tl2br w:val="nil"/>
                    <w:tr2bl w:val="nil"/>
                  </w:tcBorders>
                  <w:vAlign w:val="center"/>
                </w:tcPr>
                <w:p w14:paraId="3A84EEFB">
                  <w:pPr>
                    <w:pStyle w:val="558"/>
                    <w:adjustRightInd w:val="0"/>
                    <w:rPr>
                      <w:color w:val="auto"/>
                      <w:spacing w:val="0"/>
                      <w:kern w:val="0"/>
                    </w:rPr>
                  </w:pPr>
                  <w:r>
                    <w:rPr>
                      <w:color w:val="auto"/>
                      <w:spacing w:val="0"/>
                      <w:kern w:val="0"/>
                    </w:rPr>
                    <w:t>企业使用涂料、油墨、清洗剂、胶黏剂等产品应符合相关标准中VOCs含量的限值要求。</w:t>
                  </w:r>
                </w:p>
              </w:tc>
              <w:tc>
                <w:tcPr>
                  <w:tcW w:w="1862" w:type="pct"/>
                  <w:vMerge w:val="restart"/>
                  <w:tcBorders>
                    <w:tl2br w:val="nil"/>
                    <w:tr2bl w:val="nil"/>
                  </w:tcBorders>
                  <w:vAlign w:val="center"/>
                </w:tcPr>
                <w:p w14:paraId="3A84EEFC">
                  <w:pPr>
                    <w:pStyle w:val="558"/>
                    <w:adjustRightInd w:val="0"/>
                    <w:rPr>
                      <w:color w:val="auto"/>
                      <w:spacing w:val="0"/>
                      <w:kern w:val="0"/>
                    </w:rPr>
                  </w:pPr>
                  <w:r>
                    <w:rPr>
                      <w:color w:val="auto"/>
                      <w:spacing w:val="0"/>
                      <w:kern w:val="0"/>
                    </w:rPr>
                    <w:t>本项目</w:t>
                  </w:r>
                  <w:r>
                    <w:rPr>
                      <w:rFonts w:hint="eastAsia"/>
                      <w:color w:val="auto"/>
                      <w:spacing w:val="0"/>
                      <w:kern w:val="0"/>
                    </w:rPr>
                    <w:t>不涉及使用涂料、油墨、清洗剂、胶黏剂等产品</w:t>
                  </w:r>
                </w:p>
              </w:tc>
              <w:tc>
                <w:tcPr>
                  <w:tcW w:w="485" w:type="pct"/>
                  <w:tcBorders>
                    <w:tl2br w:val="nil"/>
                    <w:tr2bl w:val="nil"/>
                  </w:tcBorders>
                  <w:vAlign w:val="center"/>
                </w:tcPr>
                <w:p w14:paraId="3A84EEFD">
                  <w:pPr>
                    <w:pStyle w:val="558"/>
                    <w:adjustRightInd w:val="0"/>
                    <w:rPr>
                      <w:color w:val="auto"/>
                      <w:spacing w:val="0"/>
                      <w:kern w:val="0"/>
                    </w:rPr>
                  </w:pPr>
                  <w:r>
                    <w:rPr>
                      <w:color w:val="auto"/>
                      <w:spacing w:val="0"/>
                      <w:kern w:val="0"/>
                    </w:rPr>
                    <w:t>相符</w:t>
                  </w:r>
                </w:p>
              </w:tc>
            </w:tr>
            <w:tr w14:paraId="3A84EF0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3A84EEFF">
                  <w:pPr>
                    <w:pStyle w:val="558"/>
                    <w:adjustRightInd w:val="0"/>
                    <w:rPr>
                      <w:b/>
                      <w:bCs/>
                      <w:color w:val="auto"/>
                      <w:spacing w:val="0"/>
                      <w:kern w:val="0"/>
                    </w:rPr>
                  </w:pPr>
                </w:p>
              </w:tc>
              <w:tc>
                <w:tcPr>
                  <w:tcW w:w="1883" w:type="pct"/>
                  <w:gridSpan w:val="2"/>
                  <w:tcBorders>
                    <w:tl2br w:val="nil"/>
                    <w:tr2bl w:val="nil"/>
                  </w:tcBorders>
                  <w:vAlign w:val="center"/>
                </w:tcPr>
                <w:p w14:paraId="3A84EF00">
                  <w:pPr>
                    <w:pStyle w:val="558"/>
                    <w:adjustRightInd w:val="0"/>
                    <w:rPr>
                      <w:color w:val="auto"/>
                      <w:spacing w:val="0"/>
                      <w:kern w:val="0"/>
                    </w:rPr>
                  </w:pPr>
                  <w:r>
                    <w:rPr>
                      <w:color w:val="auto"/>
                      <w:spacing w:val="0"/>
                      <w:kern w:val="0"/>
                    </w:rPr>
                    <w:t>禁止建设生产和使用高VOCs含量的涂料、油墨、胶黏剂等项目。</w:t>
                  </w:r>
                </w:p>
              </w:tc>
              <w:tc>
                <w:tcPr>
                  <w:tcW w:w="1862" w:type="pct"/>
                  <w:vMerge w:val="continue"/>
                  <w:tcBorders>
                    <w:tl2br w:val="nil"/>
                    <w:tr2bl w:val="nil"/>
                  </w:tcBorders>
                  <w:vAlign w:val="center"/>
                </w:tcPr>
                <w:p w14:paraId="3A84EF01">
                  <w:pPr>
                    <w:pStyle w:val="558"/>
                    <w:adjustRightInd w:val="0"/>
                    <w:rPr>
                      <w:color w:val="auto"/>
                      <w:spacing w:val="0"/>
                      <w:kern w:val="0"/>
                    </w:rPr>
                  </w:pPr>
                </w:p>
              </w:tc>
              <w:tc>
                <w:tcPr>
                  <w:tcW w:w="485" w:type="pct"/>
                  <w:tcBorders>
                    <w:tl2br w:val="nil"/>
                    <w:tr2bl w:val="nil"/>
                  </w:tcBorders>
                  <w:vAlign w:val="center"/>
                </w:tcPr>
                <w:p w14:paraId="3A84EF02">
                  <w:pPr>
                    <w:adjustRightInd w:val="0"/>
                    <w:snapToGrid w:val="0"/>
                    <w:jc w:val="center"/>
                    <w:rPr>
                      <w:color w:val="auto"/>
                      <w:kern w:val="0"/>
                    </w:rPr>
                  </w:pPr>
                  <w:r>
                    <w:rPr>
                      <w:color w:val="auto"/>
                      <w:kern w:val="0"/>
                    </w:rPr>
                    <w:t>相符</w:t>
                  </w:r>
                </w:p>
              </w:tc>
            </w:tr>
            <w:tr w14:paraId="3A84EF0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412" w:hRule="atLeast"/>
                <w:jc w:val="center"/>
              </w:trPr>
              <w:tc>
                <w:tcPr>
                  <w:tcW w:w="768" w:type="pct"/>
                  <w:vMerge w:val="restart"/>
                  <w:tcBorders>
                    <w:tl2br w:val="nil"/>
                    <w:tr2bl w:val="nil"/>
                  </w:tcBorders>
                  <w:vAlign w:val="center"/>
                </w:tcPr>
                <w:p w14:paraId="3A84EF04">
                  <w:pPr>
                    <w:pStyle w:val="558"/>
                    <w:adjustRightInd w:val="0"/>
                    <w:rPr>
                      <w:b/>
                      <w:bCs/>
                      <w:color w:val="auto"/>
                      <w:spacing w:val="0"/>
                      <w:kern w:val="0"/>
                    </w:rPr>
                  </w:pPr>
                  <w:r>
                    <w:rPr>
                      <w:b/>
                      <w:bCs/>
                      <w:color w:val="auto"/>
                      <w:spacing w:val="0"/>
                      <w:kern w:val="0"/>
                    </w:rPr>
                    <w:t>《关于印发常州市挥发性有机物清洁原料替代工作方案的通知》（常污防攻坚指办〔2021〕32号）</w:t>
                  </w:r>
                </w:p>
              </w:tc>
              <w:tc>
                <w:tcPr>
                  <w:tcW w:w="1883" w:type="pct"/>
                  <w:gridSpan w:val="2"/>
                  <w:tcBorders>
                    <w:tl2br w:val="nil"/>
                    <w:tr2bl w:val="nil"/>
                  </w:tcBorders>
                  <w:vAlign w:val="center"/>
                </w:tcPr>
                <w:p w14:paraId="3A84EF05">
                  <w:pPr>
                    <w:pStyle w:val="558"/>
                    <w:adjustRightInd w:val="0"/>
                    <w:rPr>
                      <w:color w:val="auto"/>
                      <w:spacing w:val="0"/>
                      <w:kern w:val="0"/>
                    </w:rPr>
                  </w:pPr>
                  <w:r>
                    <w:rPr>
                      <w:color w:val="auto"/>
                      <w:spacing w:val="0"/>
                      <w:kern w:val="0"/>
                    </w:rPr>
                    <w:t>企业使用涂料、油墨、清洗剂、胶黏剂等产品应符合相关标准中VOCs含量的限值要求。</w:t>
                  </w:r>
                </w:p>
              </w:tc>
              <w:tc>
                <w:tcPr>
                  <w:tcW w:w="1862" w:type="pct"/>
                  <w:vMerge w:val="continue"/>
                  <w:tcBorders>
                    <w:tl2br w:val="nil"/>
                    <w:tr2bl w:val="nil"/>
                  </w:tcBorders>
                  <w:vAlign w:val="center"/>
                </w:tcPr>
                <w:p w14:paraId="3A84EF06">
                  <w:pPr>
                    <w:pStyle w:val="558"/>
                    <w:adjustRightInd w:val="0"/>
                    <w:rPr>
                      <w:color w:val="auto"/>
                      <w:spacing w:val="0"/>
                      <w:kern w:val="0"/>
                    </w:rPr>
                  </w:pPr>
                </w:p>
              </w:tc>
              <w:tc>
                <w:tcPr>
                  <w:tcW w:w="485" w:type="pct"/>
                  <w:tcBorders>
                    <w:tl2br w:val="nil"/>
                    <w:tr2bl w:val="nil"/>
                  </w:tcBorders>
                  <w:vAlign w:val="center"/>
                </w:tcPr>
                <w:p w14:paraId="3A84EF07">
                  <w:pPr>
                    <w:adjustRightInd w:val="0"/>
                    <w:snapToGrid w:val="0"/>
                    <w:jc w:val="center"/>
                    <w:rPr>
                      <w:color w:val="auto"/>
                      <w:kern w:val="0"/>
                    </w:rPr>
                  </w:pPr>
                  <w:r>
                    <w:rPr>
                      <w:color w:val="auto"/>
                      <w:kern w:val="0"/>
                    </w:rPr>
                    <w:t>相符</w:t>
                  </w:r>
                </w:p>
              </w:tc>
            </w:tr>
            <w:tr w14:paraId="3A84EF0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3A84EF09">
                  <w:pPr>
                    <w:pStyle w:val="558"/>
                    <w:adjustRightInd w:val="0"/>
                    <w:rPr>
                      <w:b/>
                      <w:bCs/>
                      <w:color w:val="auto"/>
                      <w:spacing w:val="0"/>
                      <w:kern w:val="0"/>
                    </w:rPr>
                  </w:pPr>
                </w:p>
              </w:tc>
              <w:tc>
                <w:tcPr>
                  <w:tcW w:w="1883" w:type="pct"/>
                  <w:gridSpan w:val="2"/>
                  <w:tcBorders>
                    <w:tl2br w:val="nil"/>
                    <w:tr2bl w:val="nil"/>
                  </w:tcBorders>
                  <w:vAlign w:val="center"/>
                </w:tcPr>
                <w:p w14:paraId="3A84EF0A">
                  <w:pPr>
                    <w:pStyle w:val="558"/>
                    <w:adjustRightInd w:val="0"/>
                    <w:rPr>
                      <w:color w:val="auto"/>
                      <w:spacing w:val="0"/>
                      <w:kern w:val="0"/>
                    </w:rPr>
                  </w:pPr>
                  <w:r>
                    <w:rPr>
                      <w:color w:val="auto"/>
                      <w:spacing w:val="0"/>
                      <w:kern w:val="0"/>
                    </w:rPr>
                    <w:t>禁止建设生产和使用高VOCs含量的涂料、油墨、胶黏剂等项目。</w:t>
                  </w:r>
                </w:p>
              </w:tc>
              <w:tc>
                <w:tcPr>
                  <w:tcW w:w="1862" w:type="pct"/>
                  <w:vMerge w:val="continue"/>
                  <w:tcBorders>
                    <w:tl2br w:val="nil"/>
                    <w:tr2bl w:val="nil"/>
                  </w:tcBorders>
                  <w:vAlign w:val="center"/>
                </w:tcPr>
                <w:p w14:paraId="3A84EF0B">
                  <w:pPr>
                    <w:pStyle w:val="558"/>
                    <w:adjustRightInd w:val="0"/>
                    <w:rPr>
                      <w:color w:val="auto"/>
                      <w:spacing w:val="0"/>
                      <w:kern w:val="0"/>
                    </w:rPr>
                  </w:pPr>
                </w:p>
              </w:tc>
              <w:tc>
                <w:tcPr>
                  <w:tcW w:w="485" w:type="pct"/>
                  <w:tcBorders>
                    <w:tl2br w:val="nil"/>
                    <w:tr2bl w:val="nil"/>
                  </w:tcBorders>
                  <w:vAlign w:val="center"/>
                </w:tcPr>
                <w:p w14:paraId="3A84EF0C">
                  <w:pPr>
                    <w:adjustRightInd w:val="0"/>
                    <w:snapToGrid w:val="0"/>
                    <w:jc w:val="center"/>
                    <w:rPr>
                      <w:color w:val="auto"/>
                      <w:kern w:val="0"/>
                    </w:rPr>
                  </w:pPr>
                  <w:r>
                    <w:rPr>
                      <w:color w:val="auto"/>
                      <w:kern w:val="0"/>
                    </w:rPr>
                    <w:t>相符</w:t>
                  </w:r>
                </w:p>
              </w:tc>
            </w:tr>
            <w:tr w14:paraId="3A84EF1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restart"/>
                  <w:tcBorders>
                    <w:tl2br w:val="nil"/>
                    <w:tr2bl w:val="nil"/>
                  </w:tcBorders>
                  <w:vAlign w:val="center"/>
                </w:tcPr>
                <w:p w14:paraId="3A84EF0E">
                  <w:pPr>
                    <w:pStyle w:val="558"/>
                    <w:adjustRightInd w:val="0"/>
                    <w:rPr>
                      <w:b/>
                      <w:color w:val="auto"/>
                      <w:spacing w:val="0"/>
                      <w:kern w:val="0"/>
                    </w:rPr>
                  </w:pPr>
                  <w:r>
                    <w:rPr>
                      <w:b/>
                      <w:color w:val="auto"/>
                      <w:spacing w:val="0"/>
                      <w:kern w:val="0"/>
                    </w:rPr>
                    <w:t>《太湖流域管理条例》</w:t>
                  </w:r>
                </w:p>
              </w:tc>
              <w:tc>
                <w:tcPr>
                  <w:tcW w:w="1883" w:type="pct"/>
                  <w:gridSpan w:val="2"/>
                  <w:tcBorders>
                    <w:tl2br w:val="nil"/>
                    <w:tr2bl w:val="nil"/>
                  </w:tcBorders>
                  <w:vAlign w:val="center"/>
                </w:tcPr>
                <w:p w14:paraId="3A84EF0F">
                  <w:pPr>
                    <w:adjustRightInd w:val="0"/>
                    <w:snapToGrid w:val="0"/>
                    <w:jc w:val="center"/>
                    <w:rPr>
                      <w:color w:val="auto"/>
                      <w:kern w:val="0"/>
                    </w:rPr>
                  </w:pPr>
                  <w:r>
                    <w:rPr>
                      <w:color w:val="auto"/>
                      <w:kern w:val="0"/>
                    </w:rPr>
                    <w:t>排污单位排放水污染物，不得超过经核定的水污染物排放总量，并应当按照规定设置便于检查、采样的规范化排污口，悬挂标志牌；不得私设暗管或者采取其他规避监管的方式排放水污染物。</w:t>
                  </w:r>
                </w:p>
              </w:tc>
              <w:tc>
                <w:tcPr>
                  <w:tcW w:w="1862" w:type="pct"/>
                  <w:tcBorders>
                    <w:tl2br w:val="nil"/>
                    <w:tr2bl w:val="nil"/>
                  </w:tcBorders>
                  <w:vAlign w:val="center"/>
                </w:tcPr>
                <w:p w14:paraId="3A84EF10">
                  <w:pPr>
                    <w:adjustRightInd w:val="0"/>
                    <w:snapToGrid w:val="0"/>
                    <w:jc w:val="center"/>
                    <w:rPr>
                      <w:color w:val="auto"/>
                      <w:kern w:val="0"/>
                    </w:rPr>
                  </w:pPr>
                  <w:r>
                    <w:rPr>
                      <w:color w:val="auto"/>
                      <w:kern w:val="0"/>
                    </w:rPr>
                    <w:t>本次环评要求建设单位申请水污染物排放总量，按照规定设置便于检查、采样的规范化排放口，悬挂标志牌；建设单位不得私设暗管或者采取其他规范监管的方式排放水污染物</w:t>
                  </w:r>
                </w:p>
              </w:tc>
              <w:tc>
                <w:tcPr>
                  <w:tcW w:w="485" w:type="pct"/>
                  <w:tcBorders>
                    <w:tl2br w:val="nil"/>
                    <w:tr2bl w:val="nil"/>
                  </w:tcBorders>
                  <w:vAlign w:val="center"/>
                </w:tcPr>
                <w:p w14:paraId="3A84EF11">
                  <w:pPr>
                    <w:pStyle w:val="558"/>
                    <w:adjustRightInd w:val="0"/>
                    <w:rPr>
                      <w:color w:val="auto"/>
                      <w:spacing w:val="0"/>
                      <w:kern w:val="0"/>
                    </w:rPr>
                  </w:pPr>
                  <w:r>
                    <w:rPr>
                      <w:color w:val="auto"/>
                      <w:spacing w:val="0"/>
                      <w:kern w:val="0"/>
                    </w:rPr>
                    <w:t>相符</w:t>
                  </w:r>
                </w:p>
              </w:tc>
            </w:tr>
            <w:tr w14:paraId="3A84EF1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3A84EF13">
                  <w:pPr>
                    <w:adjustRightInd w:val="0"/>
                    <w:snapToGrid w:val="0"/>
                    <w:jc w:val="center"/>
                    <w:rPr>
                      <w:color w:val="auto"/>
                      <w:kern w:val="0"/>
                    </w:rPr>
                  </w:pPr>
                </w:p>
              </w:tc>
              <w:tc>
                <w:tcPr>
                  <w:tcW w:w="1883" w:type="pct"/>
                  <w:gridSpan w:val="2"/>
                  <w:tcBorders>
                    <w:tl2br w:val="nil"/>
                    <w:tr2bl w:val="nil"/>
                  </w:tcBorders>
                  <w:vAlign w:val="center"/>
                </w:tcPr>
                <w:p w14:paraId="3A84EF14">
                  <w:pPr>
                    <w:adjustRightInd w:val="0"/>
                    <w:snapToGrid w:val="0"/>
                    <w:jc w:val="center"/>
                    <w:rPr>
                      <w:color w:val="auto"/>
                      <w:kern w:val="0"/>
                    </w:rPr>
                  </w:pPr>
                  <w:r>
                    <w:rPr>
                      <w:color w:val="auto"/>
                      <w:kern w:val="0"/>
                    </w:rPr>
                    <w:t>禁止在太湖流域设置不符合国家产业政策和水环境综合治理要求的造纸、制革、酒精、淀粉、冶金、酿造、印染、电镀等排放水污染物的生产项目，现有生产项目不能实现达标排放的，应当依法关闭。</w:t>
                  </w:r>
                </w:p>
              </w:tc>
              <w:tc>
                <w:tcPr>
                  <w:tcW w:w="1862" w:type="pct"/>
                  <w:tcBorders>
                    <w:tl2br w:val="nil"/>
                    <w:tr2bl w:val="nil"/>
                  </w:tcBorders>
                  <w:vAlign w:val="center"/>
                </w:tcPr>
                <w:p w14:paraId="3A84EF15">
                  <w:pPr>
                    <w:adjustRightInd w:val="0"/>
                    <w:snapToGrid w:val="0"/>
                    <w:jc w:val="center"/>
                    <w:rPr>
                      <w:color w:val="auto"/>
                      <w:kern w:val="0"/>
                    </w:rPr>
                  </w:pPr>
                  <w:r>
                    <w:rPr>
                      <w:color w:val="auto"/>
                      <w:kern w:val="0"/>
                    </w:rPr>
                    <w:t>本项目</w:t>
                  </w:r>
                  <w:r>
                    <w:rPr>
                      <w:rFonts w:hint="eastAsia"/>
                      <w:color w:val="auto"/>
                      <w:kern w:val="0"/>
                    </w:rPr>
                    <w:t>属于</w:t>
                  </w:r>
                  <w:r>
                    <w:rPr>
                      <w:rFonts w:hint="eastAsia"/>
                      <w:bCs/>
                      <w:color w:val="auto"/>
                      <w:kern w:val="0"/>
                      <w:lang w:eastAsia="zh-CN"/>
                    </w:rPr>
                    <w:t>C3670汽车零部件及配件制造</w:t>
                  </w:r>
                  <w:r>
                    <w:rPr>
                      <w:color w:val="auto"/>
                      <w:kern w:val="0"/>
                    </w:rPr>
                    <w:t>，不属于禁止类项目，无生产废水排放</w:t>
                  </w:r>
                </w:p>
              </w:tc>
              <w:tc>
                <w:tcPr>
                  <w:tcW w:w="485" w:type="pct"/>
                  <w:tcBorders>
                    <w:tl2br w:val="nil"/>
                    <w:tr2bl w:val="nil"/>
                  </w:tcBorders>
                  <w:vAlign w:val="center"/>
                </w:tcPr>
                <w:p w14:paraId="3A84EF16">
                  <w:pPr>
                    <w:pStyle w:val="558"/>
                    <w:adjustRightInd w:val="0"/>
                    <w:rPr>
                      <w:color w:val="auto"/>
                      <w:spacing w:val="0"/>
                      <w:kern w:val="0"/>
                    </w:rPr>
                  </w:pPr>
                  <w:r>
                    <w:rPr>
                      <w:color w:val="auto"/>
                      <w:spacing w:val="0"/>
                      <w:kern w:val="0"/>
                    </w:rPr>
                    <w:t>相符</w:t>
                  </w:r>
                </w:p>
              </w:tc>
            </w:tr>
            <w:tr w14:paraId="3A84EF1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3A84EF18">
                  <w:pPr>
                    <w:adjustRightInd w:val="0"/>
                    <w:snapToGrid w:val="0"/>
                    <w:jc w:val="center"/>
                    <w:rPr>
                      <w:color w:val="auto"/>
                      <w:kern w:val="0"/>
                    </w:rPr>
                  </w:pPr>
                </w:p>
              </w:tc>
              <w:tc>
                <w:tcPr>
                  <w:tcW w:w="1883" w:type="pct"/>
                  <w:gridSpan w:val="2"/>
                  <w:tcBorders>
                    <w:tl2br w:val="nil"/>
                    <w:tr2bl w:val="nil"/>
                  </w:tcBorders>
                  <w:vAlign w:val="center"/>
                </w:tcPr>
                <w:p w14:paraId="3A84EF19">
                  <w:pPr>
                    <w:adjustRightInd w:val="0"/>
                    <w:snapToGrid w:val="0"/>
                    <w:jc w:val="center"/>
                    <w:rPr>
                      <w:color w:val="auto"/>
                      <w:kern w:val="0"/>
                    </w:rPr>
                  </w:pPr>
                  <w:r>
                    <w:rPr>
                      <w:color w:val="auto"/>
                      <w:kern w:val="0"/>
                    </w:rPr>
                    <w:t>在太湖流域新设企业应当符合国家规定的清洁生产要求，现有的企业尚未达到清洁生产要求的，应当按照清洁生产规划要求进行技术改造，两省一市人民政府应当加强监督检查。</w:t>
                  </w:r>
                </w:p>
              </w:tc>
              <w:tc>
                <w:tcPr>
                  <w:tcW w:w="1862" w:type="pct"/>
                  <w:tcBorders>
                    <w:tl2br w:val="nil"/>
                    <w:tr2bl w:val="nil"/>
                  </w:tcBorders>
                  <w:vAlign w:val="center"/>
                </w:tcPr>
                <w:p w14:paraId="3A84EF1A">
                  <w:pPr>
                    <w:adjustRightInd w:val="0"/>
                    <w:snapToGrid w:val="0"/>
                    <w:jc w:val="center"/>
                    <w:rPr>
                      <w:color w:val="auto"/>
                      <w:kern w:val="0"/>
                    </w:rPr>
                  </w:pPr>
                  <w:r>
                    <w:rPr>
                      <w:color w:val="auto"/>
                      <w:kern w:val="0"/>
                    </w:rPr>
                    <w:t>项目为</w:t>
                  </w:r>
                  <w:r>
                    <w:rPr>
                      <w:rFonts w:hint="eastAsia"/>
                      <w:color w:val="auto"/>
                      <w:kern w:val="0"/>
                      <w:lang w:val="en-US" w:eastAsia="zh-CN"/>
                    </w:rPr>
                    <w:t>扩建</w:t>
                  </w:r>
                  <w:r>
                    <w:rPr>
                      <w:color w:val="auto"/>
                      <w:kern w:val="0"/>
                    </w:rPr>
                    <w:t>项目，将使用符合国家规定的清洁生产要求的生产工艺和设备</w:t>
                  </w:r>
                </w:p>
              </w:tc>
              <w:tc>
                <w:tcPr>
                  <w:tcW w:w="485" w:type="pct"/>
                  <w:tcBorders>
                    <w:tl2br w:val="nil"/>
                    <w:tr2bl w:val="nil"/>
                  </w:tcBorders>
                  <w:vAlign w:val="center"/>
                </w:tcPr>
                <w:p w14:paraId="3A84EF1B">
                  <w:pPr>
                    <w:pStyle w:val="558"/>
                    <w:adjustRightInd w:val="0"/>
                    <w:rPr>
                      <w:color w:val="auto"/>
                      <w:spacing w:val="0"/>
                      <w:kern w:val="0"/>
                    </w:rPr>
                  </w:pPr>
                  <w:r>
                    <w:rPr>
                      <w:color w:val="auto"/>
                      <w:spacing w:val="0"/>
                      <w:kern w:val="0"/>
                    </w:rPr>
                    <w:t>相符</w:t>
                  </w:r>
                </w:p>
              </w:tc>
            </w:tr>
            <w:tr w14:paraId="3A84EF2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restart"/>
                  <w:tcBorders>
                    <w:tl2br w:val="nil"/>
                    <w:tr2bl w:val="nil"/>
                  </w:tcBorders>
                  <w:vAlign w:val="center"/>
                </w:tcPr>
                <w:p w14:paraId="3A84EF1D">
                  <w:pPr>
                    <w:pStyle w:val="558"/>
                    <w:adjustRightInd w:val="0"/>
                    <w:rPr>
                      <w:b/>
                      <w:color w:val="auto"/>
                      <w:spacing w:val="0"/>
                      <w:kern w:val="0"/>
                    </w:rPr>
                  </w:pPr>
                  <w:r>
                    <w:rPr>
                      <w:b/>
                      <w:color w:val="auto"/>
                      <w:spacing w:val="0"/>
                      <w:kern w:val="0"/>
                    </w:rPr>
                    <w:t>《江苏省太湖水污染防治条例》</w:t>
                  </w:r>
                </w:p>
              </w:tc>
              <w:tc>
                <w:tcPr>
                  <w:tcW w:w="1883" w:type="pct"/>
                  <w:gridSpan w:val="2"/>
                  <w:tcBorders>
                    <w:tl2br w:val="nil"/>
                    <w:tr2bl w:val="nil"/>
                  </w:tcBorders>
                  <w:vAlign w:val="center"/>
                </w:tcPr>
                <w:p w14:paraId="3A84EF1E">
                  <w:pPr>
                    <w:adjustRightInd w:val="0"/>
                    <w:snapToGrid w:val="0"/>
                    <w:jc w:val="center"/>
                    <w:rPr>
                      <w:color w:val="auto"/>
                      <w:kern w:val="0"/>
                    </w:rPr>
                  </w:pPr>
                  <w:r>
                    <w:rPr>
                      <w:color w:val="auto"/>
                      <w:kern w:val="0"/>
                    </w:rPr>
                    <w:t>在太湖流域新建、改建、扩建可能产生水污染的建设项目应当依法进行环境影响评价。</w:t>
                  </w:r>
                </w:p>
              </w:tc>
              <w:tc>
                <w:tcPr>
                  <w:tcW w:w="1862" w:type="pct"/>
                  <w:tcBorders>
                    <w:tl2br w:val="nil"/>
                    <w:tr2bl w:val="nil"/>
                  </w:tcBorders>
                  <w:vAlign w:val="center"/>
                </w:tcPr>
                <w:p w14:paraId="3A84EF1F">
                  <w:pPr>
                    <w:adjustRightInd w:val="0"/>
                    <w:snapToGrid w:val="0"/>
                    <w:jc w:val="center"/>
                    <w:rPr>
                      <w:color w:val="auto"/>
                      <w:kern w:val="0"/>
                    </w:rPr>
                  </w:pPr>
                  <w:r>
                    <w:rPr>
                      <w:color w:val="auto"/>
                      <w:kern w:val="0"/>
                    </w:rPr>
                    <w:t>本项目目前正在进行环境影响评价</w:t>
                  </w:r>
                </w:p>
              </w:tc>
              <w:tc>
                <w:tcPr>
                  <w:tcW w:w="485" w:type="pct"/>
                  <w:tcBorders>
                    <w:tl2br w:val="nil"/>
                    <w:tr2bl w:val="nil"/>
                  </w:tcBorders>
                  <w:vAlign w:val="center"/>
                </w:tcPr>
                <w:p w14:paraId="3A84EF20">
                  <w:pPr>
                    <w:pStyle w:val="558"/>
                    <w:adjustRightInd w:val="0"/>
                    <w:rPr>
                      <w:color w:val="auto"/>
                      <w:spacing w:val="0"/>
                      <w:kern w:val="0"/>
                    </w:rPr>
                  </w:pPr>
                  <w:r>
                    <w:rPr>
                      <w:color w:val="auto"/>
                      <w:spacing w:val="0"/>
                      <w:kern w:val="0"/>
                    </w:rPr>
                    <w:t>相符</w:t>
                  </w:r>
                </w:p>
              </w:tc>
            </w:tr>
            <w:tr w14:paraId="3A84EF2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3A84EF22">
                  <w:pPr>
                    <w:adjustRightInd w:val="0"/>
                    <w:snapToGrid w:val="0"/>
                    <w:jc w:val="center"/>
                    <w:rPr>
                      <w:color w:val="auto"/>
                      <w:kern w:val="0"/>
                    </w:rPr>
                  </w:pPr>
                </w:p>
              </w:tc>
              <w:tc>
                <w:tcPr>
                  <w:tcW w:w="1883" w:type="pct"/>
                  <w:gridSpan w:val="2"/>
                  <w:tcBorders>
                    <w:tl2br w:val="nil"/>
                    <w:tr2bl w:val="nil"/>
                  </w:tcBorders>
                  <w:vAlign w:val="center"/>
                </w:tcPr>
                <w:p w14:paraId="3A84EF23">
                  <w:pPr>
                    <w:adjustRightInd w:val="0"/>
                    <w:snapToGrid w:val="0"/>
                    <w:jc w:val="center"/>
                    <w:rPr>
                      <w:color w:val="auto"/>
                      <w:kern w:val="0"/>
                    </w:rPr>
                  </w:pPr>
                  <w:r>
                    <w:rPr>
                      <w:color w:val="auto"/>
                      <w:kern w:val="0"/>
                    </w:rPr>
                    <w:t>建设项目中防治水污染的设施，应当与主体工程同时设计、同时</w:t>
                  </w:r>
                  <w:r>
                    <w:rPr>
                      <w:color w:val="auto"/>
                      <w:kern w:val="0"/>
                    </w:rPr>
                    <w:cr/>
                  </w:r>
                  <w:r>
                    <w:rPr>
                      <w:color w:val="auto"/>
                      <w:kern w:val="0"/>
                    </w:rPr>
                    <w:t>施工、同时投产使用。</w:t>
                  </w:r>
                </w:p>
              </w:tc>
              <w:tc>
                <w:tcPr>
                  <w:tcW w:w="1862" w:type="pct"/>
                  <w:tcBorders>
                    <w:tl2br w:val="nil"/>
                    <w:tr2bl w:val="nil"/>
                  </w:tcBorders>
                  <w:vAlign w:val="center"/>
                </w:tcPr>
                <w:p w14:paraId="3A84EF24">
                  <w:pPr>
                    <w:adjustRightInd w:val="0"/>
                    <w:snapToGrid w:val="0"/>
                    <w:jc w:val="center"/>
                    <w:rPr>
                      <w:color w:val="auto"/>
                      <w:kern w:val="0"/>
                    </w:rPr>
                  </w:pPr>
                  <w:r>
                    <w:rPr>
                      <w:color w:val="auto"/>
                      <w:kern w:val="0"/>
                    </w:rPr>
                    <w:t>本次环评要求建设单位严格执行</w:t>
                  </w:r>
                  <w:r>
                    <w:rPr>
                      <w:rFonts w:hint="eastAsia"/>
                      <w:color w:val="auto"/>
                      <w:kern w:val="0"/>
                    </w:rPr>
                    <w:t>“</w:t>
                  </w:r>
                  <w:r>
                    <w:rPr>
                      <w:color w:val="auto"/>
                      <w:kern w:val="0"/>
                    </w:rPr>
                    <w:t>三同时制度</w:t>
                  </w:r>
                  <w:r>
                    <w:rPr>
                      <w:rFonts w:hint="eastAsia"/>
                      <w:color w:val="auto"/>
                      <w:kern w:val="0"/>
                    </w:rPr>
                    <w:t>”</w:t>
                  </w:r>
                </w:p>
              </w:tc>
              <w:tc>
                <w:tcPr>
                  <w:tcW w:w="485" w:type="pct"/>
                  <w:tcBorders>
                    <w:tl2br w:val="nil"/>
                    <w:tr2bl w:val="nil"/>
                  </w:tcBorders>
                  <w:vAlign w:val="center"/>
                </w:tcPr>
                <w:p w14:paraId="3A84EF25">
                  <w:pPr>
                    <w:pStyle w:val="558"/>
                    <w:adjustRightInd w:val="0"/>
                    <w:rPr>
                      <w:color w:val="auto"/>
                      <w:spacing w:val="0"/>
                      <w:kern w:val="0"/>
                    </w:rPr>
                  </w:pPr>
                  <w:r>
                    <w:rPr>
                      <w:color w:val="auto"/>
                      <w:spacing w:val="0"/>
                      <w:kern w:val="0"/>
                    </w:rPr>
                    <w:t>相符</w:t>
                  </w:r>
                </w:p>
              </w:tc>
            </w:tr>
            <w:tr w14:paraId="3A84EF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3A84EF27">
                  <w:pPr>
                    <w:adjustRightInd w:val="0"/>
                    <w:snapToGrid w:val="0"/>
                    <w:jc w:val="center"/>
                    <w:rPr>
                      <w:color w:val="auto"/>
                      <w:kern w:val="0"/>
                    </w:rPr>
                  </w:pPr>
                </w:p>
              </w:tc>
              <w:tc>
                <w:tcPr>
                  <w:tcW w:w="1883" w:type="pct"/>
                  <w:gridSpan w:val="2"/>
                  <w:tcBorders>
                    <w:tl2br w:val="nil"/>
                    <w:tr2bl w:val="nil"/>
                  </w:tcBorders>
                  <w:vAlign w:val="center"/>
                </w:tcPr>
                <w:p w14:paraId="3A84EF28">
                  <w:pPr>
                    <w:adjustRightInd w:val="0"/>
                    <w:snapToGrid w:val="0"/>
                    <w:jc w:val="center"/>
                    <w:rPr>
                      <w:color w:val="auto"/>
                      <w:kern w:val="0"/>
                    </w:rPr>
                  </w:pPr>
                  <w:r>
                    <w:rPr>
                      <w:color w:val="auto"/>
                      <w:kern w:val="0"/>
                    </w:rPr>
                    <w:t>直接或者间接向水体排放污染物的企业事业单位和其他生产经营者应当按照国家和省有关规定设置排污口。禁止私设排污口。</w:t>
                  </w:r>
                </w:p>
              </w:tc>
              <w:tc>
                <w:tcPr>
                  <w:tcW w:w="1862" w:type="pct"/>
                  <w:tcBorders>
                    <w:tl2br w:val="nil"/>
                    <w:tr2bl w:val="nil"/>
                  </w:tcBorders>
                  <w:vAlign w:val="center"/>
                </w:tcPr>
                <w:p w14:paraId="3A84EF29">
                  <w:pPr>
                    <w:adjustRightInd w:val="0"/>
                    <w:snapToGrid w:val="0"/>
                    <w:jc w:val="center"/>
                    <w:rPr>
                      <w:color w:val="auto"/>
                      <w:kern w:val="0"/>
                    </w:rPr>
                  </w:pPr>
                  <w:r>
                    <w:rPr>
                      <w:color w:val="FF0000"/>
                    </w:rPr>
                    <w:t>项目</w:t>
                  </w:r>
                  <w:r>
                    <w:rPr>
                      <w:rFonts w:hint="eastAsia"/>
                      <w:color w:val="FF0000"/>
                      <w:lang w:val="en-US" w:eastAsia="zh-CN"/>
                    </w:rPr>
                    <w:t>仅排放</w:t>
                  </w:r>
                  <w:r>
                    <w:rPr>
                      <w:color w:val="FF0000"/>
                    </w:rPr>
                    <w:t>生活污水</w:t>
                  </w:r>
                  <w:r>
                    <w:rPr>
                      <w:rFonts w:hint="eastAsia"/>
                      <w:color w:val="FF0000"/>
                      <w:lang w:eastAsia="zh-CN"/>
                    </w:rPr>
                    <w:t>，</w:t>
                  </w:r>
                  <w:r>
                    <w:rPr>
                      <w:rFonts w:hint="eastAsia"/>
                      <w:color w:val="FF0000"/>
                      <w:lang w:val="en-US" w:eastAsia="zh-CN"/>
                    </w:rPr>
                    <w:t>经市政污水管网排入茅东污水处理厂处理。</w:t>
                  </w:r>
                  <w:r>
                    <w:rPr>
                      <w:color w:val="auto"/>
                    </w:rPr>
                    <w:t>依托</w:t>
                  </w:r>
                  <w:r>
                    <w:rPr>
                      <w:rFonts w:hint="eastAsia"/>
                      <w:color w:val="auto"/>
                    </w:rPr>
                    <w:t>厂区</w:t>
                  </w:r>
                  <w:r>
                    <w:rPr>
                      <w:color w:val="auto"/>
                    </w:rPr>
                    <w:t>已建排污口，建设单位不私设排污口</w:t>
                  </w:r>
                </w:p>
              </w:tc>
              <w:tc>
                <w:tcPr>
                  <w:tcW w:w="485" w:type="pct"/>
                  <w:tcBorders>
                    <w:tl2br w:val="nil"/>
                    <w:tr2bl w:val="nil"/>
                  </w:tcBorders>
                  <w:vAlign w:val="center"/>
                </w:tcPr>
                <w:p w14:paraId="3A84EF2A">
                  <w:pPr>
                    <w:pStyle w:val="558"/>
                    <w:adjustRightInd w:val="0"/>
                    <w:rPr>
                      <w:color w:val="auto"/>
                      <w:spacing w:val="0"/>
                      <w:kern w:val="0"/>
                    </w:rPr>
                  </w:pPr>
                  <w:r>
                    <w:rPr>
                      <w:color w:val="auto"/>
                      <w:spacing w:val="0"/>
                      <w:kern w:val="0"/>
                    </w:rPr>
                    <w:t>相符</w:t>
                  </w:r>
                </w:p>
              </w:tc>
            </w:tr>
            <w:tr w14:paraId="3A84EF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3A84EF2C">
                  <w:pPr>
                    <w:adjustRightInd w:val="0"/>
                    <w:snapToGrid w:val="0"/>
                    <w:jc w:val="center"/>
                    <w:rPr>
                      <w:color w:val="auto"/>
                      <w:kern w:val="0"/>
                    </w:rPr>
                  </w:pPr>
                </w:p>
              </w:tc>
              <w:tc>
                <w:tcPr>
                  <w:tcW w:w="1883" w:type="pct"/>
                  <w:gridSpan w:val="2"/>
                  <w:tcBorders>
                    <w:tl2br w:val="nil"/>
                    <w:tr2bl w:val="nil"/>
                  </w:tcBorders>
                  <w:vAlign w:val="center"/>
                </w:tcPr>
                <w:p w14:paraId="3A84EF2D">
                  <w:pPr>
                    <w:adjustRightInd w:val="0"/>
                    <w:snapToGrid w:val="0"/>
                    <w:jc w:val="center"/>
                    <w:rPr>
                      <w:color w:val="auto"/>
                      <w:kern w:val="0"/>
                    </w:rPr>
                  </w:pPr>
                  <w:r>
                    <w:rPr>
                      <w:color w:val="auto"/>
                      <w:kern w:val="0"/>
                    </w:rPr>
                    <w:t>各类污水处理设施产生的污泥应当进行安全处置，不得随意堆放和弃置，不得排入水体；属于危险废物的，应当委托有资质的单位处置。污泥的收集、贮存应当符合国家相关规定和标准。</w:t>
                  </w:r>
                </w:p>
              </w:tc>
              <w:tc>
                <w:tcPr>
                  <w:tcW w:w="1862" w:type="pct"/>
                  <w:tcBorders>
                    <w:tl2br w:val="nil"/>
                    <w:tr2bl w:val="nil"/>
                  </w:tcBorders>
                  <w:vAlign w:val="center"/>
                </w:tcPr>
                <w:p w14:paraId="3A84EF2E">
                  <w:pPr>
                    <w:adjustRightInd w:val="0"/>
                    <w:snapToGrid w:val="0"/>
                    <w:jc w:val="center"/>
                    <w:rPr>
                      <w:color w:val="auto"/>
                      <w:kern w:val="0"/>
                    </w:rPr>
                  </w:pPr>
                  <w:r>
                    <w:rPr>
                      <w:rFonts w:hint="eastAsia"/>
                      <w:color w:val="auto"/>
                      <w:lang w:val="en-US" w:eastAsia="zh-CN"/>
                    </w:rPr>
                    <w:t>本项目</w:t>
                  </w:r>
                  <w:r>
                    <w:rPr>
                      <w:color w:val="auto"/>
                    </w:rPr>
                    <w:t>无污泥产生</w:t>
                  </w:r>
                </w:p>
              </w:tc>
              <w:tc>
                <w:tcPr>
                  <w:tcW w:w="485" w:type="pct"/>
                  <w:tcBorders>
                    <w:tl2br w:val="nil"/>
                    <w:tr2bl w:val="nil"/>
                  </w:tcBorders>
                  <w:vAlign w:val="center"/>
                </w:tcPr>
                <w:p w14:paraId="3A84EF2F">
                  <w:pPr>
                    <w:pStyle w:val="558"/>
                    <w:adjustRightInd w:val="0"/>
                    <w:rPr>
                      <w:color w:val="auto"/>
                      <w:spacing w:val="0"/>
                      <w:kern w:val="0"/>
                    </w:rPr>
                  </w:pPr>
                  <w:r>
                    <w:rPr>
                      <w:color w:val="auto"/>
                      <w:spacing w:val="0"/>
                      <w:kern w:val="0"/>
                    </w:rPr>
                    <w:t>相符</w:t>
                  </w:r>
                </w:p>
              </w:tc>
            </w:tr>
            <w:tr w14:paraId="3A84EF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3A84EF31">
                  <w:pPr>
                    <w:adjustRightInd w:val="0"/>
                    <w:snapToGrid w:val="0"/>
                    <w:jc w:val="center"/>
                    <w:rPr>
                      <w:color w:val="auto"/>
                      <w:kern w:val="0"/>
                    </w:rPr>
                  </w:pPr>
                </w:p>
              </w:tc>
              <w:tc>
                <w:tcPr>
                  <w:tcW w:w="1883" w:type="pct"/>
                  <w:gridSpan w:val="2"/>
                  <w:tcBorders>
                    <w:tl2br w:val="nil"/>
                    <w:tr2bl w:val="nil"/>
                  </w:tcBorders>
                  <w:vAlign w:val="center"/>
                </w:tcPr>
                <w:p w14:paraId="3A84EF32">
                  <w:pPr>
                    <w:adjustRightInd w:val="0"/>
                    <w:snapToGrid w:val="0"/>
                    <w:jc w:val="center"/>
                    <w:rPr>
                      <w:color w:val="auto"/>
                      <w:kern w:val="0"/>
                    </w:rPr>
                  </w:pPr>
                  <w:r>
                    <w:rPr>
                      <w:color w:val="auto"/>
                      <w:kern w:val="0"/>
                    </w:rPr>
                    <w:t>太湖流域一、二、三级保护区禁止下列行为：（一）新建、改建、扩建化学制浆造纸、制革、酿造、染料、印染、电镀以及其他排放含磷、氮等污染物的企业和项目，城镇污水集中处理等环境基础设施项目和第四十六条规定的情形除外；（二）销售、使用含磷洗涤用品；（三）向水体排放或者倾倒油类、酸液、碱液、剧毒废渣废液、含放射性废渣废液、含病原体污水、工业废渣以及其他废弃物。</w:t>
                  </w:r>
                </w:p>
              </w:tc>
              <w:tc>
                <w:tcPr>
                  <w:tcW w:w="1862" w:type="pct"/>
                  <w:tcBorders>
                    <w:tl2br w:val="nil"/>
                    <w:tr2bl w:val="nil"/>
                  </w:tcBorders>
                  <w:vAlign w:val="center"/>
                </w:tcPr>
                <w:p w14:paraId="3A84EF33">
                  <w:pPr>
                    <w:adjustRightInd w:val="0"/>
                    <w:snapToGrid w:val="0"/>
                    <w:jc w:val="center"/>
                    <w:rPr>
                      <w:color w:val="auto"/>
                      <w:kern w:val="0"/>
                    </w:rPr>
                  </w:pPr>
                  <w:r>
                    <w:rPr>
                      <w:rFonts w:hint="eastAsia"/>
                      <w:color w:val="FF0000"/>
                      <w:kern w:val="0"/>
                      <w:lang w:val="en-US" w:eastAsia="zh-CN"/>
                    </w:rPr>
                    <w:t>本项目位于江苏省常州市金坛区薛埠镇奥托立夫大道1号，距离太湖水体最近直线距离约69km，属于太湖流域三级保护区范围：</w:t>
                  </w:r>
                  <w:r>
                    <w:rPr>
                      <w:color w:val="auto"/>
                      <w:kern w:val="0"/>
                    </w:rPr>
                    <w:t>（一）本项目不属于禁止类项目；</w:t>
                  </w:r>
                </w:p>
                <w:p w14:paraId="3A84EF34">
                  <w:pPr>
                    <w:adjustRightInd w:val="0"/>
                    <w:snapToGrid w:val="0"/>
                    <w:jc w:val="center"/>
                    <w:rPr>
                      <w:color w:val="auto"/>
                      <w:kern w:val="0"/>
                    </w:rPr>
                  </w:pPr>
                  <w:r>
                    <w:rPr>
                      <w:color w:val="auto"/>
                      <w:kern w:val="0"/>
                    </w:rPr>
                    <w:t>（二）本项目不销售、使用含磷洗涤用品；</w:t>
                  </w:r>
                </w:p>
                <w:p w14:paraId="3A84EF35">
                  <w:pPr>
                    <w:adjustRightInd w:val="0"/>
                    <w:snapToGrid w:val="0"/>
                    <w:jc w:val="center"/>
                    <w:rPr>
                      <w:color w:val="auto"/>
                      <w:kern w:val="0"/>
                    </w:rPr>
                  </w:pPr>
                  <w:r>
                    <w:rPr>
                      <w:color w:val="auto"/>
                      <w:kern w:val="0"/>
                    </w:rPr>
                    <w:t>（三）项目不产生及排放生产废水，不向水体排放或倾倒废水、废渣及其他废弃物</w:t>
                  </w:r>
                </w:p>
              </w:tc>
              <w:tc>
                <w:tcPr>
                  <w:tcW w:w="485" w:type="pct"/>
                  <w:tcBorders>
                    <w:tl2br w:val="nil"/>
                    <w:tr2bl w:val="nil"/>
                  </w:tcBorders>
                  <w:vAlign w:val="center"/>
                </w:tcPr>
                <w:p w14:paraId="3A84EF36">
                  <w:pPr>
                    <w:pStyle w:val="558"/>
                    <w:adjustRightInd w:val="0"/>
                    <w:rPr>
                      <w:color w:val="auto"/>
                      <w:spacing w:val="0"/>
                      <w:kern w:val="0"/>
                    </w:rPr>
                  </w:pPr>
                  <w:r>
                    <w:rPr>
                      <w:color w:val="auto"/>
                      <w:spacing w:val="0"/>
                      <w:kern w:val="0"/>
                    </w:rPr>
                    <w:t>相符</w:t>
                  </w:r>
                </w:p>
              </w:tc>
            </w:tr>
            <w:tr w14:paraId="3A84EF3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restart"/>
                  <w:tcBorders>
                    <w:tl2br w:val="nil"/>
                    <w:tr2bl w:val="nil"/>
                  </w:tcBorders>
                  <w:vAlign w:val="center"/>
                </w:tcPr>
                <w:p w14:paraId="3A84EF38">
                  <w:pPr>
                    <w:adjustRightInd w:val="0"/>
                    <w:snapToGrid w:val="0"/>
                    <w:jc w:val="center"/>
                    <w:rPr>
                      <w:color w:val="auto"/>
                      <w:kern w:val="0"/>
                    </w:rPr>
                  </w:pPr>
                  <w:r>
                    <w:rPr>
                      <w:rFonts w:hint="eastAsia"/>
                      <w:b/>
                      <w:bCs/>
                      <w:color w:val="auto"/>
                      <w:kern w:val="0"/>
                    </w:rPr>
                    <w:t>《国务院关于深入打好污染防治攻坚战的意见》（2021年11月2日）</w:t>
                  </w:r>
                </w:p>
              </w:tc>
              <w:tc>
                <w:tcPr>
                  <w:tcW w:w="590" w:type="pct"/>
                  <w:tcBorders>
                    <w:tl2br w:val="nil"/>
                    <w:tr2bl w:val="nil"/>
                  </w:tcBorders>
                  <w:vAlign w:val="center"/>
                </w:tcPr>
                <w:p w14:paraId="3A84EF39">
                  <w:pPr>
                    <w:adjustRightInd w:val="0"/>
                    <w:snapToGrid w:val="0"/>
                    <w:jc w:val="center"/>
                    <w:rPr>
                      <w:color w:val="auto"/>
                      <w:kern w:val="0"/>
                    </w:rPr>
                  </w:pPr>
                  <w:r>
                    <w:rPr>
                      <w:rFonts w:hint="eastAsia"/>
                      <w:color w:val="auto"/>
                      <w:kern w:val="0"/>
                    </w:rPr>
                    <w:t>（十一）着力打好重污染天气消除攻坚战</w:t>
                  </w:r>
                </w:p>
              </w:tc>
              <w:tc>
                <w:tcPr>
                  <w:tcW w:w="1292" w:type="pct"/>
                  <w:tcBorders>
                    <w:tl2br w:val="nil"/>
                    <w:tr2bl w:val="nil"/>
                  </w:tcBorders>
                  <w:vAlign w:val="center"/>
                </w:tcPr>
                <w:p w14:paraId="3A84EF3A">
                  <w:pPr>
                    <w:adjustRightInd w:val="0"/>
                    <w:snapToGrid w:val="0"/>
                    <w:jc w:val="center"/>
                    <w:rPr>
                      <w:color w:val="auto"/>
                      <w:kern w:val="0"/>
                    </w:rPr>
                  </w:pPr>
                  <w:r>
                    <w:rPr>
                      <w:rFonts w:hint="eastAsia"/>
                      <w:color w:val="auto"/>
                      <w:kern w:val="0"/>
                    </w:rPr>
                    <w:t>聚焦秋冬季细颗粒物污染，加大重点区域、重点行业结构调整和污染治理力度。</w:t>
                  </w:r>
                </w:p>
              </w:tc>
              <w:tc>
                <w:tcPr>
                  <w:tcW w:w="1862" w:type="pct"/>
                  <w:tcBorders>
                    <w:tl2br w:val="nil"/>
                    <w:tr2bl w:val="nil"/>
                  </w:tcBorders>
                  <w:vAlign w:val="center"/>
                </w:tcPr>
                <w:p w14:paraId="3A84EF3B">
                  <w:pPr>
                    <w:adjustRightInd w:val="0"/>
                    <w:snapToGrid w:val="0"/>
                    <w:jc w:val="center"/>
                    <w:rPr>
                      <w:color w:val="auto"/>
                      <w:kern w:val="0"/>
                    </w:rPr>
                  </w:pPr>
                  <w:r>
                    <w:rPr>
                      <w:rFonts w:hint="eastAsia"/>
                      <w:color w:val="auto"/>
                      <w:kern w:val="0"/>
                    </w:rPr>
                    <w:t>本项目不属于重点区域、重点行业</w:t>
                  </w:r>
                </w:p>
              </w:tc>
              <w:tc>
                <w:tcPr>
                  <w:tcW w:w="485" w:type="pct"/>
                  <w:tcBorders>
                    <w:tl2br w:val="nil"/>
                    <w:tr2bl w:val="nil"/>
                  </w:tcBorders>
                  <w:vAlign w:val="center"/>
                </w:tcPr>
                <w:p w14:paraId="3A84EF3C">
                  <w:pPr>
                    <w:pStyle w:val="558"/>
                    <w:adjustRightInd w:val="0"/>
                    <w:rPr>
                      <w:color w:val="auto"/>
                      <w:spacing w:val="0"/>
                      <w:kern w:val="0"/>
                    </w:rPr>
                  </w:pPr>
                  <w:r>
                    <w:rPr>
                      <w:rFonts w:hint="eastAsia"/>
                      <w:color w:val="auto"/>
                      <w:spacing w:val="0"/>
                      <w:kern w:val="0"/>
                    </w:rPr>
                    <w:t>相符</w:t>
                  </w:r>
                </w:p>
              </w:tc>
            </w:tr>
            <w:tr w14:paraId="3A84EF4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3A84EF3E">
                  <w:pPr>
                    <w:adjustRightInd w:val="0"/>
                    <w:snapToGrid w:val="0"/>
                    <w:jc w:val="center"/>
                    <w:rPr>
                      <w:b/>
                      <w:bCs/>
                      <w:color w:val="auto"/>
                      <w:kern w:val="0"/>
                    </w:rPr>
                  </w:pPr>
                </w:p>
              </w:tc>
              <w:tc>
                <w:tcPr>
                  <w:tcW w:w="590" w:type="pct"/>
                  <w:tcBorders>
                    <w:tl2br w:val="nil"/>
                    <w:tr2bl w:val="nil"/>
                  </w:tcBorders>
                  <w:vAlign w:val="center"/>
                </w:tcPr>
                <w:p w14:paraId="3A84EF3F">
                  <w:pPr>
                    <w:adjustRightInd w:val="0"/>
                    <w:snapToGrid w:val="0"/>
                    <w:jc w:val="center"/>
                    <w:rPr>
                      <w:color w:val="auto"/>
                      <w:kern w:val="0"/>
                    </w:rPr>
                  </w:pPr>
                  <w:r>
                    <w:rPr>
                      <w:rFonts w:hint="eastAsia"/>
                      <w:color w:val="auto"/>
                      <w:kern w:val="0"/>
                    </w:rPr>
                    <w:t>（十二）着力打好臭氧污染防治攻坚战</w:t>
                  </w:r>
                </w:p>
              </w:tc>
              <w:tc>
                <w:tcPr>
                  <w:tcW w:w="1292" w:type="pct"/>
                  <w:tcBorders>
                    <w:tl2br w:val="nil"/>
                    <w:tr2bl w:val="nil"/>
                  </w:tcBorders>
                  <w:vAlign w:val="center"/>
                </w:tcPr>
                <w:p w14:paraId="3A84EF40">
                  <w:pPr>
                    <w:adjustRightInd w:val="0"/>
                    <w:snapToGrid w:val="0"/>
                    <w:jc w:val="center"/>
                    <w:rPr>
                      <w:color w:val="auto"/>
                      <w:kern w:val="0"/>
                    </w:rPr>
                  </w:pPr>
                  <w:r>
                    <w:rPr>
                      <w:rFonts w:hint="eastAsia"/>
                      <w:color w:val="auto"/>
                      <w:kern w:val="0"/>
                    </w:rPr>
                    <w:t>以石化、化工、涂装、医药、包装印刷、油品储运销等行业领域为重点，安全高效推进挥发性有机物综合治理，实施原辅材料和产品源头替代工程。</w:t>
                  </w:r>
                </w:p>
              </w:tc>
              <w:tc>
                <w:tcPr>
                  <w:tcW w:w="1862" w:type="pct"/>
                  <w:tcBorders>
                    <w:tl2br w:val="nil"/>
                    <w:tr2bl w:val="nil"/>
                  </w:tcBorders>
                  <w:vAlign w:val="center"/>
                </w:tcPr>
                <w:p w14:paraId="3A84EF41">
                  <w:pPr>
                    <w:adjustRightInd w:val="0"/>
                    <w:snapToGrid w:val="0"/>
                    <w:jc w:val="center"/>
                    <w:rPr>
                      <w:rFonts w:hint="eastAsia" w:eastAsia="宋体"/>
                      <w:color w:val="auto"/>
                      <w:kern w:val="0"/>
                      <w:lang w:eastAsia="zh-CN"/>
                    </w:rPr>
                  </w:pPr>
                  <w:r>
                    <w:rPr>
                      <w:rFonts w:hint="eastAsia"/>
                      <w:color w:val="auto"/>
                      <w:kern w:val="0"/>
                    </w:rPr>
                    <w:t>本项目不属于石化、化工、涂装、医药、包装印刷、油品储运销等重点行业，</w:t>
                  </w:r>
                  <w:r>
                    <w:rPr>
                      <w:rFonts w:hint="eastAsia"/>
                      <w:color w:val="auto"/>
                      <w:kern w:val="0"/>
                      <w:lang w:eastAsia="zh-CN"/>
                    </w:rPr>
                    <w:t>项目不合格品焚烧产生的有机废气、颗粒物、二噁英等废气经管道密闭收集，收集后的废气进入1套“SNCR脱硝+急冷除盐+干粉吸收+布袋除尘+臭氧氧化+碱喷淋吸收装置”处理后通过1根25m高的排气筒3#排放</w:t>
                  </w:r>
                </w:p>
              </w:tc>
              <w:tc>
                <w:tcPr>
                  <w:tcW w:w="485" w:type="pct"/>
                  <w:tcBorders>
                    <w:tl2br w:val="nil"/>
                    <w:tr2bl w:val="nil"/>
                  </w:tcBorders>
                  <w:vAlign w:val="center"/>
                </w:tcPr>
                <w:p w14:paraId="3A84EF42">
                  <w:pPr>
                    <w:pStyle w:val="558"/>
                    <w:adjustRightInd w:val="0"/>
                    <w:rPr>
                      <w:color w:val="auto"/>
                      <w:spacing w:val="0"/>
                      <w:kern w:val="0"/>
                    </w:rPr>
                  </w:pPr>
                  <w:r>
                    <w:rPr>
                      <w:rFonts w:hint="eastAsia"/>
                      <w:color w:val="auto"/>
                      <w:spacing w:val="0"/>
                      <w:kern w:val="0"/>
                    </w:rPr>
                    <w:t>相符</w:t>
                  </w:r>
                </w:p>
              </w:tc>
            </w:tr>
            <w:tr w14:paraId="3A84EF4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3A84EF44">
                  <w:pPr>
                    <w:adjustRightInd w:val="0"/>
                    <w:snapToGrid w:val="0"/>
                    <w:jc w:val="center"/>
                    <w:rPr>
                      <w:color w:val="auto"/>
                      <w:kern w:val="0"/>
                    </w:rPr>
                  </w:pPr>
                  <w:r>
                    <w:rPr>
                      <w:b/>
                      <w:bCs/>
                      <w:color w:val="auto"/>
                      <w:kern w:val="0"/>
                    </w:rPr>
                    <w:t>常州市金坛区人民政府关于印发《2022年常州市金坛区深入打好污染防治攻坚战工作方案》的通知</w:t>
                  </w:r>
                </w:p>
              </w:tc>
              <w:tc>
                <w:tcPr>
                  <w:tcW w:w="1883" w:type="pct"/>
                  <w:gridSpan w:val="2"/>
                  <w:tcBorders>
                    <w:tl2br w:val="nil"/>
                    <w:tr2bl w:val="nil"/>
                  </w:tcBorders>
                  <w:vAlign w:val="center"/>
                </w:tcPr>
                <w:p w14:paraId="3A84EF45">
                  <w:pPr>
                    <w:adjustRightInd w:val="0"/>
                    <w:snapToGrid w:val="0"/>
                    <w:jc w:val="center"/>
                    <w:rPr>
                      <w:color w:val="auto"/>
                      <w:kern w:val="0"/>
                    </w:rPr>
                  </w:pPr>
                  <w:r>
                    <w:rPr>
                      <w:color w:val="auto"/>
                      <w:kern w:val="0"/>
                    </w:rPr>
                    <w:t>大力推进低（无）VOCs含量原辅材料替代。对照国家产品质量标准，加大对各类涂料、油墨、胶黏剂、清洗剂等产品生产、销售、使用环节的监督管理。以化工、涂装、医药、包装印刷、油品储运销等行业领域为重点，实施原辅材料和产品源头替代工程。完成12家重点企业VOCs清洁原料替代，优先推动使用溶剂型原辅材料且治理设施低效的企业先行开展清洁原料替代；对替代技术尚不成熟的，推动开展论证核实，并加强现场监管，确保VOCs无组织排放有效控制，废气排放口达标排放。结合产业特点，培育2家以上源头替代示范型企业。推动钢结构、包装印刷行业实施低（无）VOCs含量的涂料、油墨、胶粘剂等原辅材料源头替代。</w:t>
                  </w:r>
                </w:p>
              </w:tc>
              <w:tc>
                <w:tcPr>
                  <w:tcW w:w="1862" w:type="pct"/>
                  <w:tcBorders>
                    <w:tl2br w:val="nil"/>
                    <w:tr2bl w:val="nil"/>
                  </w:tcBorders>
                  <w:vAlign w:val="center"/>
                </w:tcPr>
                <w:p w14:paraId="3A84EF46">
                  <w:pPr>
                    <w:adjustRightInd w:val="0"/>
                    <w:snapToGrid w:val="0"/>
                    <w:jc w:val="center"/>
                    <w:rPr>
                      <w:color w:val="auto"/>
                      <w:kern w:val="0"/>
                    </w:rPr>
                  </w:pPr>
                  <w:r>
                    <w:rPr>
                      <w:color w:val="auto"/>
                      <w:kern w:val="0"/>
                    </w:rPr>
                    <w:t>本项目</w:t>
                  </w:r>
                  <w:r>
                    <w:rPr>
                      <w:rFonts w:hint="eastAsia"/>
                      <w:color w:val="auto"/>
                      <w:kern w:val="0"/>
                    </w:rPr>
                    <w:t>不涉及使用涂料、油墨、胶黏剂、清洗剂</w:t>
                  </w:r>
                </w:p>
              </w:tc>
              <w:tc>
                <w:tcPr>
                  <w:tcW w:w="485" w:type="pct"/>
                  <w:tcBorders>
                    <w:tl2br w:val="nil"/>
                    <w:tr2bl w:val="nil"/>
                  </w:tcBorders>
                  <w:vAlign w:val="center"/>
                </w:tcPr>
                <w:p w14:paraId="3A84EF47">
                  <w:pPr>
                    <w:pStyle w:val="558"/>
                    <w:adjustRightInd w:val="0"/>
                    <w:rPr>
                      <w:color w:val="auto"/>
                      <w:spacing w:val="0"/>
                      <w:kern w:val="0"/>
                    </w:rPr>
                  </w:pPr>
                  <w:r>
                    <w:rPr>
                      <w:color w:val="auto"/>
                      <w:spacing w:val="0"/>
                      <w:kern w:val="0"/>
                    </w:rPr>
                    <w:t>相符</w:t>
                  </w:r>
                </w:p>
              </w:tc>
            </w:tr>
            <w:tr w14:paraId="3A84EF5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3A84EF49">
                  <w:pPr>
                    <w:adjustRightInd w:val="0"/>
                    <w:snapToGrid w:val="0"/>
                    <w:jc w:val="center"/>
                    <w:rPr>
                      <w:b/>
                      <w:bCs/>
                      <w:color w:val="auto"/>
                      <w:kern w:val="0"/>
                    </w:rPr>
                  </w:pPr>
                  <w:r>
                    <w:rPr>
                      <w:b/>
                      <w:bCs/>
                      <w:color w:val="auto"/>
                      <w:kern w:val="0"/>
                    </w:rPr>
                    <w:t>《省生态环境厅关于印发江苏省环境影响评价文件环境应急相关内容编制要点的通知》（苏环办[2022]338）号</w:t>
                  </w:r>
                </w:p>
              </w:tc>
              <w:tc>
                <w:tcPr>
                  <w:tcW w:w="1883" w:type="pct"/>
                  <w:gridSpan w:val="2"/>
                  <w:tcBorders>
                    <w:tl2br w:val="nil"/>
                    <w:tr2bl w:val="nil"/>
                  </w:tcBorders>
                  <w:vAlign w:val="center"/>
                </w:tcPr>
                <w:p w14:paraId="3A84EF4A">
                  <w:pPr>
                    <w:adjustRightInd w:val="0"/>
                    <w:snapToGrid w:val="0"/>
                    <w:jc w:val="center"/>
                    <w:rPr>
                      <w:color w:val="auto"/>
                      <w:kern w:val="0"/>
                    </w:rPr>
                  </w:pPr>
                  <w:r>
                    <w:rPr>
                      <w:color w:val="auto"/>
                      <w:kern w:val="0"/>
                    </w:rPr>
                    <w:t>建设项目的编制要点适用于环境影响报告书、环境影响报告表所附环境风险专项的环境应急内容编制。</w:t>
                  </w:r>
                </w:p>
                <w:p w14:paraId="3A84EF4B">
                  <w:pPr>
                    <w:adjustRightInd w:val="0"/>
                    <w:snapToGrid w:val="0"/>
                    <w:jc w:val="center"/>
                    <w:rPr>
                      <w:color w:val="auto"/>
                      <w:kern w:val="0"/>
                    </w:rPr>
                  </w:pPr>
                  <w:r>
                    <w:rPr>
                      <w:color w:val="auto"/>
                      <w:kern w:val="0"/>
                    </w:rPr>
                    <w:t>1、建设项目的编制要点适用于环境影响报告书、环境影响报告表所附环境风险专项的环境应急内容编制。</w:t>
                  </w:r>
                </w:p>
                <w:p w14:paraId="3A84EF4C">
                  <w:pPr>
                    <w:adjustRightInd w:val="0"/>
                    <w:snapToGrid w:val="0"/>
                    <w:jc w:val="center"/>
                    <w:rPr>
                      <w:color w:val="auto"/>
                      <w:kern w:val="0"/>
                    </w:rPr>
                  </w:pPr>
                  <w:r>
                    <w:rPr>
                      <w:color w:val="auto"/>
                      <w:kern w:val="0"/>
                    </w:rPr>
                    <w:t>2、科学判定环境风险评价工作等级和评价范围，系统识别环境风险。合理分析代表性风险事故情形，预测其影响范围与程度；</w:t>
                  </w:r>
                </w:p>
                <w:p w14:paraId="3A84EF4D">
                  <w:pPr>
                    <w:pStyle w:val="5"/>
                    <w:adjustRightInd w:val="0"/>
                    <w:snapToGrid w:val="0"/>
                    <w:ind w:firstLine="0"/>
                    <w:jc w:val="center"/>
                    <w:rPr>
                      <w:color w:val="auto"/>
                      <w:kern w:val="0"/>
                      <w:szCs w:val="21"/>
                    </w:rPr>
                  </w:pPr>
                  <w:r>
                    <w:rPr>
                      <w:color w:val="auto"/>
                      <w:kern w:val="0"/>
                      <w:szCs w:val="21"/>
                    </w:rPr>
                    <w:t>3、明确环境风险防范措施的建设任务。大气环境风险防范应结合风险源实际状况明确环境风险的防范、减缓措施，提出环境</w:t>
                  </w:r>
                  <w:r>
                    <w:rPr>
                      <w:rFonts w:hint="eastAsia"/>
                      <w:color w:val="auto"/>
                      <w:kern w:val="0"/>
                      <w:szCs w:val="21"/>
                    </w:rPr>
                    <w:t>风</w:t>
                  </w:r>
                  <w:r>
                    <w:rPr>
                      <w:color w:val="auto"/>
                      <w:kern w:val="0"/>
                      <w:szCs w:val="21"/>
                    </w:rPr>
                    <w:t>险监控要求，特别是有毒有害气体厂界监控预警措施，并提供事故状态下区域人员疏散通道和安置场所位置图。事故废水环境风险防范应按照</w:t>
                  </w:r>
                  <w:r>
                    <w:rPr>
                      <w:rFonts w:hint="eastAsia"/>
                      <w:color w:val="auto"/>
                      <w:kern w:val="0"/>
                      <w:szCs w:val="21"/>
                    </w:rPr>
                    <w:t>“</w:t>
                  </w:r>
                  <w:r>
                    <w:rPr>
                      <w:color w:val="auto"/>
                      <w:kern w:val="0"/>
                      <w:szCs w:val="21"/>
                    </w:rPr>
                    <w:t>单元-厂区-园区/区域</w:t>
                  </w:r>
                  <w:r>
                    <w:rPr>
                      <w:rFonts w:hint="eastAsia"/>
                      <w:color w:val="auto"/>
                      <w:kern w:val="0"/>
                      <w:szCs w:val="21"/>
                    </w:rPr>
                    <w:t>”</w:t>
                  </w:r>
                  <w:r>
                    <w:rPr>
                      <w:color w:val="auto"/>
                      <w:kern w:val="0"/>
                      <w:szCs w:val="21"/>
                    </w:rPr>
                    <w:t>环境风险防控体系的要求，结合环境风险事故情形和预测结果，提出必要的应急设施（包括围堰、防火堤、应急池、雨污水排口闸阀及配套管网设施等)建设要求，并明确事故废水有效收集和妥善处理方式，以防进入外环境。要提供雨污水、事故废水收集排放管网示意图、环境应急设施分布图等防止事故废水进入外环境的控制、封堵系统图。明确企业与所在园区/区域的环境风险防控体系、设施的衔接和配套。</w:t>
                  </w:r>
                </w:p>
                <w:p w14:paraId="3A84EF4E">
                  <w:pPr>
                    <w:pStyle w:val="5"/>
                    <w:adjustRightInd w:val="0"/>
                    <w:snapToGrid w:val="0"/>
                    <w:ind w:firstLine="0"/>
                    <w:jc w:val="center"/>
                    <w:rPr>
                      <w:color w:val="auto"/>
                      <w:kern w:val="0"/>
                      <w:szCs w:val="21"/>
                    </w:rPr>
                  </w:pPr>
                  <w:r>
                    <w:rPr>
                      <w:color w:val="auto"/>
                      <w:kern w:val="0"/>
                      <w:szCs w:val="21"/>
                    </w:rPr>
                    <w:t>3、明确环境应急管理制度内容。包括：①突发环境事件应急预案的编制、修订和备案要求;②明确事故状态下的特征污染因子和应急监测能力；③参照相关规范明确环境应急物资装备配备要求；④建立突发环境事件隐患排查治理制度要求，明确隐患排查内容、方式和频次；⑤明确环境应急培训和演练内容、方式、频次和台账记录要求；⑥提出设置环境风险防范设施及环境应急处置卡标识标牌等相关要求。</w:t>
                  </w:r>
                </w:p>
                <w:p w14:paraId="3A84EF4F">
                  <w:pPr>
                    <w:pStyle w:val="5"/>
                    <w:adjustRightInd w:val="0"/>
                    <w:snapToGrid w:val="0"/>
                    <w:ind w:firstLine="0"/>
                    <w:jc w:val="center"/>
                    <w:rPr>
                      <w:color w:val="auto"/>
                      <w:kern w:val="0"/>
                      <w:szCs w:val="21"/>
                    </w:rPr>
                  </w:pPr>
                  <w:r>
                    <w:rPr>
                      <w:color w:val="auto"/>
                      <w:kern w:val="0"/>
                      <w:szCs w:val="21"/>
                    </w:rPr>
                    <w:t>4、环境风险防范措施</w:t>
                  </w:r>
                  <w:r>
                    <w:rPr>
                      <w:rFonts w:hint="eastAsia"/>
                      <w:color w:val="auto"/>
                      <w:kern w:val="0"/>
                      <w:szCs w:val="21"/>
                    </w:rPr>
                    <w:t>“</w:t>
                  </w:r>
                  <w:r>
                    <w:rPr>
                      <w:color w:val="auto"/>
                      <w:kern w:val="0"/>
                      <w:szCs w:val="21"/>
                    </w:rPr>
                    <w:t>三同时</w:t>
                  </w:r>
                  <w:r>
                    <w:rPr>
                      <w:rFonts w:hint="eastAsia"/>
                      <w:color w:val="auto"/>
                      <w:kern w:val="0"/>
                      <w:szCs w:val="21"/>
                    </w:rPr>
                    <w:t>”</w:t>
                  </w:r>
                  <w:r>
                    <w:rPr>
                      <w:color w:val="auto"/>
                      <w:kern w:val="0"/>
                      <w:szCs w:val="21"/>
                    </w:rPr>
                    <w:t>要求。环境风险防范措施应纳入环保投资和建设项目竣工环保验收内容。</w:t>
                  </w:r>
                </w:p>
                <w:p w14:paraId="3A84EF50">
                  <w:pPr>
                    <w:pStyle w:val="5"/>
                    <w:adjustRightInd w:val="0"/>
                    <w:snapToGrid w:val="0"/>
                    <w:ind w:firstLine="0"/>
                    <w:jc w:val="center"/>
                    <w:rPr>
                      <w:color w:val="auto"/>
                      <w:kern w:val="0"/>
                      <w:szCs w:val="21"/>
                    </w:rPr>
                  </w:pPr>
                  <w:r>
                    <w:rPr>
                      <w:color w:val="auto"/>
                      <w:kern w:val="0"/>
                      <w:szCs w:val="21"/>
                    </w:rPr>
                    <w:t>5、明确环境风险评价结论。根据项目危险因素、环境敏感性及风险事故分析结果，结合环境风险防范措施和应急管理建设内容，明确给出建设项目环境风险是否可防控的结论。</w:t>
                  </w:r>
                </w:p>
              </w:tc>
              <w:tc>
                <w:tcPr>
                  <w:tcW w:w="1862" w:type="pct"/>
                  <w:tcBorders>
                    <w:tl2br w:val="nil"/>
                    <w:tr2bl w:val="nil"/>
                  </w:tcBorders>
                  <w:vAlign w:val="center"/>
                </w:tcPr>
                <w:p w14:paraId="3A84EF51">
                  <w:pPr>
                    <w:pStyle w:val="558"/>
                    <w:adjustRightInd w:val="0"/>
                    <w:rPr>
                      <w:color w:val="auto"/>
                      <w:spacing w:val="0"/>
                      <w:kern w:val="0"/>
                    </w:rPr>
                  </w:pPr>
                  <w:r>
                    <w:rPr>
                      <w:color w:val="auto"/>
                      <w:spacing w:val="0"/>
                      <w:kern w:val="0"/>
                    </w:rPr>
                    <w:t>本项目</w:t>
                  </w:r>
                  <w:r>
                    <w:rPr>
                      <w:rFonts w:hint="eastAsia"/>
                      <w:color w:val="auto"/>
                      <w:spacing w:val="0"/>
                      <w:kern w:val="0"/>
                      <w:lang w:val="en-US" w:eastAsia="zh-CN"/>
                    </w:rPr>
                    <w:t>已设置环境风险专项评价</w:t>
                  </w:r>
                  <w:r>
                    <w:rPr>
                      <w:color w:val="auto"/>
                      <w:spacing w:val="0"/>
                      <w:kern w:val="0"/>
                    </w:rPr>
                    <w:t>，本环评仅对环境风险及应急内容提出简要要求，</w:t>
                  </w:r>
                  <w:r>
                    <w:rPr>
                      <w:rFonts w:hint="eastAsia"/>
                      <w:color w:val="auto"/>
                      <w:spacing w:val="0"/>
                      <w:kern w:val="0"/>
                    </w:rPr>
                    <w:t>要求建设单位将</w:t>
                  </w:r>
                  <w:r>
                    <w:rPr>
                      <w:color w:val="auto"/>
                      <w:spacing w:val="0"/>
                      <w:kern w:val="0"/>
                    </w:rPr>
                    <w:t>环境风险防范措施纳入环保投资和建设项目竣工环保验收</w:t>
                  </w:r>
                  <w:r>
                    <w:rPr>
                      <w:rFonts w:hint="eastAsia"/>
                      <w:color w:val="auto"/>
                      <w:spacing w:val="0"/>
                      <w:kern w:val="0"/>
                    </w:rPr>
                    <w:t>中</w:t>
                  </w:r>
                  <w:r>
                    <w:rPr>
                      <w:color w:val="auto"/>
                      <w:spacing w:val="0"/>
                      <w:kern w:val="0"/>
                    </w:rPr>
                    <w:t>。明确给出建设项目环境风险是可防控的结论。项目详细的应急预案编制要点要求、环境风险防范措施等将纳入突发环境事件应急预案中</w:t>
                  </w:r>
                </w:p>
              </w:tc>
              <w:tc>
                <w:tcPr>
                  <w:tcW w:w="485" w:type="pct"/>
                  <w:tcBorders>
                    <w:tl2br w:val="nil"/>
                    <w:tr2bl w:val="nil"/>
                  </w:tcBorders>
                  <w:vAlign w:val="center"/>
                </w:tcPr>
                <w:p w14:paraId="3A84EF52">
                  <w:pPr>
                    <w:pStyle w:val="558"/>
                    <w:adjustRightInd w:val="0"/>
                    <w:rPr>
                      <w:color w:val="auto"/>
                      <w:spacing w:val="0"/>
                      <w:kern w:val="0"/>
                    </w:rPr>
                  </w:pPr>
                  <w:r>
                    <w:rPr>
                      <w:color w:val="auto"/>
                      <w:spacing w:val="0"/>
                      <w:kern w:val="0"/>
                    </w:rPr>
                    <w:t>相符</w:t>
                  </w:r>
                </w:p>
              </w:tc>
            </w:tr>
            <w:tr w14:paraId="3A84EF5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3A84EF54">
                  <w:pPr>
                    <w:adjustRightInd w:val="0"/>
                    <w:snapToGrid w:val="0"/>
                    <w:jc w:val="center"/>
                    <w:rPr>
                      <w:b/>
                      <w:bCs/>
                      <w:color w:val="FF0000"/>
                      <w:kern w:val="0"/>
                    </w:rPr>
                  </w:pPr>
                  <w:r>
                    <w:rPr>
                      <w:b/>
                      <w:bCs/>
                      <w:color w:val="FF0000"/>
                      <w:kern w:val="0"/>
                    </w:rPr>
                    <w:t>《关于做好生态环境和应急管理部门联动工作的意见》（苏环办[2020]101号）</w:t>
                  </w:r>
                </w:p>
              </w:tc>
              <w:tc>
                <w:tcPr>
                  <w:tcW w:w="1883" w:type="pct"/>
                  <w:gridSpan w:val="2"/>
                  <w:tcBorders>
                    <w:tl2br w:val="nil"/>
                    <w:tr2bl w:val="nil"/>
                  </w:tcBorders>
                  <w:vAlign w:val="center"/>
                </w:tcPr>
                <w:p w14:paraId="3A84EF55">
                  <w:pPr>
                    <w:pStyle w:val="5"/>
                    <w:adjustRightInd w:val="0"/>
                    <w:snapToGrid w:val="0"/>
                    <w:ind w:firstLine="0"/>
                    <w:jc w:val="center"/>
                    <w:rPr>
                      <w:color w:val="FF0000"/>
                      <w:kern w:val="0"/>
                      <w:szCs w:val="21"/>
                    </w:rPr>
                  </w:pPr>
                  <w:r>
                    <w:rPr>
                      <w:color w:val="FF0000"/>
                      <w:kern w:val="0"/>
                      <w:szCs w:val="21"/>
                    </w:rPr>
                    <w:t>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tc>
              <w:tc>
                <w:tcPr>
                  <w:tcW w:w="1862" w:type="pct"/>
                  <w:tcBorders>
                    <w:tl2br w:val="nil"/>
                    <w:tr2bl w:val="nil"/>
                  </w:tcBorders>
                  <w:vAlign w:val="center"/>
                </w:tcPr>
                <w:p w14:paraId="3A84EF56">
                  <w:pPr>
                    <w:pStyle w:val="558"/>
                    <w:adjustRightInd w:val="0"/>
                    <w:rPr>
                      <w:color w:val="FF0000"/>
                      <w:spacing w:val="0"/>
                      <w:kern w:val="0"/>
                    </w:rPr>
                  </w:pPr>
                  <w:r>
                    <w:rPr>
                      <w:color w:val="FF0000"/>
                      <w:spacing w:val="0"/>
                      <w:kern w:val="0"/>
                    </w:rPr>
                    <w:t>企业需按照要求对</w:t>
                  </w:r>
                  <w:r>
                    <w:rPr>
                      <w:rFonts w:hint="eastAsia"/>
                      <w:color w:val="FF0000"/>
                      <w:spacing w:val="0"/>
                      <w:kern w:val="0"/>
                    </w:rPr>
                    <w:t>环保</w:t>
                  </w:r>
                  <w:r>
                    <w:rPr>
                      <w:color w:val="FF0000"/>
                      <w:spacing w:val="0"/>
                      <w:kern w:val="0"/>
                    </w:rPr>
                    <w:t>设施开展安全风险辨识，确保</w:t>
                  </w:r>
                  <w:r>
                    <w:rPr>
                      <w:rFonts w:hint="eastAsia"/>
                      <w:color w:val="FF0000"/>
                      <w:spacing w:val="0"/>
                      <w:kern w:val="0"/>
                    </w:rPr>
                    <w:t>环保设施</w:t>
                  </w:r>
                  <w:r>
                    <w:rPr>
                      <w:color w:val="FF0000"/>
                      <w:spacing w:val="0"/>
                      <w:kern w:val="0"/>
                    </w:rPr>
                    <w:t>安全、稳定、有效运行</w:t>
                  </w:r>
                </w:p>
              </w:tc>
              <w:tc>
                <w:tcPr>
                  <w:tcW w:w="485" w:type="pct"/>
                  <w:tcBorders>
                    <w:tl2br w:val="nil"/>
                    <w:tr2bl w:val="nil"/>
                  </w:tcBorders>
                  <w:vAlign w:val="center"/>
                </w:tcPr>
                <w:p w14:paraId="3A84EF57">
                  <w:pPr>
                    <w:pStyle w:val="558"/>
                    <w:adjustRightInd w:val="0"/>
                    <w:rPr>
                      <w:color w:val="auto"/>
                      <w:spacing w:val="0"/>
                      <w:kern w:val="0"/>
                    </w:rPr>
                  </w:pPr>
                  <w:r>
                    <w:rPr>
                      <w:color w:val="auto"/>
                      <w:spacing w:val="0"/>
                      <w:kern w:val="0"/>
                    </w:rPr>
                    <w:t>相符</w:t>
                  </w:r>
                </w:p>
              </w:tc>
            </w:tr>
            <w:tr w14:paraId="3A84EF5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3A84EF59">
                  <w:pPr>
                    <w:adjustRightInd w:val="0"/>
                    <w:snapToGrid w:val="0"/>
                    <w:jc w:val="center"/>
                    <w:rPr>
                      <w:b/>
                      <w:bCs/>
                      <w:color w:val="auto"/>
                      <w:kern w:val="0"/>
                    </w:rPr>
                  </w:pPr>
                  <w:r>
                    <w:rPr>
                      <w:rFonts w:hint="eastAsia"/>
                      <w:b/>
                      <w:bCs/>
                      <w:color w:val="auto"/>
                      <w:kern w:val="0"/>
                    </w:rPr>
                    <w:t>《关于切实加强产业园区规划环境影响评价工作的通知》（苏环办〔2017〕140号）</w:t>
                  </w:r>
                </w:p>
              </w:tc>
              <w:tc>
                <w:tcPr>
                  <w:tcW w:w="1883" w:type="pct"/>
                  <w:gridSpan w:val="2"/>
                  <w:tcBorders>
                    <w:tl2br w:val="nil"/>
                    <w:tr2bl w:val="nil"/>
                  </w:tcBorders>
                  <w:vAlign w:val="center"/>
                </w:tcPr>
                <w:p w14:paraId="3A84EF5A">
                  <w:pPr>
                    <w:pStyle w:val="5"/>
                    <w:adjustRightInd w:val="0"/>
                    <w:snapToGrid w:val="0"/>
                    <w:ind w:firstLine="0"/>
                    <w:jc w:val="center"/>
                    <w:rPr>
                      <w:color w:val="auto"/>
                      <w:kern w:val="0"/>
                      <w:szCs w:val="21"/>
                    </w:rPr>
                  </w:pPr>
                  <w:r>
                    <w:rPr>
                      <w:rFonts w:hint="eastAsia"/>
                      <w:color w:val="auto"/>
                      <w:kern w:val="0"/>
                      <w:szCs w:val="21"/>
                    </w:rPr>
                    <w:t>根据《关于切实加强产业园区规划环境影响评价工作的通知》（苏环办〔2017〕140号）中要求“规划环评要作为规划所包含项目环评的重要依据，对于不符合规划环评结论及审查意见的项目环评，依法不予审批”。</w:t>
                  </w:r>
                </w:p>
              </w:tc>
              <w:tc>
                <w:tcPr>
                  <w:tcW w:w="1862" w:type="pct"/>
                  <w:tcBorders>
                    <w:tl2br w:val="nil"/>
                    <w:tr2bl w:val="nil"/>
                  </w:tcBorders>
                  <w:vAlign w:val="center"/>
                </w:tcPr>
                <w:p w14:paraId="3A84EF5B">
                  <w:pPr>
                    <w:pStyle w:val="558"/>
                    <w:adjustRightInd w:val="0"/>
                    <w:rPr>
                      <w:color w:val="auto"/>
                      <w:spacing w:val="0"/>
                      <w:kern w:val="0"/>
                    </w:rPr>
                  </w:pPr>
                  <w:r>
                    <w:rPr>
                      <w:rFonts w:hint="eastAsia"/>
                      <w:color w:val="auto"/>
                      <w:spacing w:val="0"/>
                      <w:kern w:val="0"/>
                    </w:rPr>
                    <w:t>本项目符合园区规划</w:t>
                  </w:r>
                </w:p>
              </w:tc>
              <w:tc>
                <w:tcPr>
                  <w:tcW w:w="485" w:type="pct"/>
                  <w:tcBorders>
                    <w:tl2br w:val="nil"/>
                    <w:tr2bl w:val="nil"/>
                  </w:tcBorders>
                  <w:vAlign w:val="center"/>
                </w:tcPr>
                <w:p w14:paraId="3A84EF5C">
                  <w:pPr>
                    <w:pStyle w:val="558"/>
                    <w:adjustRightInd w:val="0"/>
                    <w:rPr>
                      <w:color w:val="auto"/>
                      <w:spacing w:val="0"/>
                      <w:kern w:val="0"/>
                    </w:rPr>
                  </w:pPr>
                  <w:r>
                    <w:rPr>
                      <w:rFonts w:hint="eastAsia"/>
                      <w:color w:val="auto"/>
                      <w:spacing w:val="0"/>
                      <w:kern w:val="0"/>
                    </w:rPr>
                    <w:t>相符</w:t>
                  </w:r>
                </w:p>
              </w:tc>
            </w:tr>
          </w:tbl>
          <w:p w14:paraId="3A84EF5E">
            <w:pPr>
              <w:adjustRightInd w:val="0"/>
              <w:snapToGrid w:val="0"/>
              <w:spacing w:line="360" w:lineRule="auto"/>
              <w:ind w:firstLine="422" w:firstLineChars="200"/>
              <w:rPr>
                <w:b/>
                <w:bCs/>
                <w:color w:val="auto"/>
              </w:rPr>
            </w:pPr>
            <w:r>
              <w:rPr>
                <w:rFonts w:hint="eastAsia"/>
                <w:b/>
                <w:color w:val="auto"/>
              </w:rPr>
              <w:t>（2）与《江苏省“三线一单”生态环境分区管控方案（苏政发[2020]49号）》、</w:t>
            </w:r>
            <w:r>
              <w:rPr>
                <w:b/>
                <w:bCs/>
                <w:color w:val="auto"/>
              </w:rPr>
              <w:t>《常州市</w:t>
            </w:r>
            <w:r>
              <w:rPr>
                <w:rFonts w:hint="eastAsia"/>
                <w:b/>
                <w:bCs/>
                <w:color w:val="auto"/>
              </w:rPr>
              <w:t>“</w:t>
            </w:r>
            <w:r>
              <w:rPr>
                <w:b/>
                <w:bCs/>
                <w:color w:val="auto"/>
              </w:rPr>
              <w:t>三线一单</w:t>
            </w:r>
            <w:r>
              <w:rPr>
                <w:rFonts w:hint="eastAsia"/>
                <w:b/>
                <w:bCs/>
                <w:color w:val="auto"/>
              </w:rPr>
              <w:t>”</w:t>
            </w:r>
            <w:r>
              <w:rPr>
                <w:b/>
                <w:bCs/>
                <w:color w:val="auto"/>
              </w:rPr>
              <w:t>生态环境分区管控实施方案》（常环[2020]95号）相符性</w:t>
            </w:r>
            <w:r>
              <w:rPr>
                <w:rFonts w:hint="eastAsia"/>
                <w:b/>
                <w:bCs/>
                <w:color w:val="auto"/>
              </w:rPr>
              <w:t>分析</w:t>
            </w:r>
          </w:p>
          <w:p w14:paraId="3A84EF5F">
            <w:pPr>
              <w:overflowPunct w:val="0"/>
              <w:adjustRightInd w:val="0"/>
              <w:snapToGrid w:val="0"/>
              <w:spacing w:line="360" w:lineRule="auto"/>
              <w:ind w:firstLine="420" w:firstLineChars="200"/>
              <w:rPr>
                <w:bCs/>
                <w:color w:val="auto"/>
              </w:rPr>
            </w:pPr>
            <w:r>
              <w:rPr>
                <w:rFonts w:hint="eastAsia"/>
                <w:bCs/>
                <w:color w:val="auto"/>
              </w:rPr>
              <w:t>对照《江苏省“三线一单”生态环境分区管控方案》（苏政发〔2020〕49 号）文件中“（五）落实生态环境管控要求-严格落实生态环境法律法规标准，国家、省和重点区域（流域）环境管理政策，准确把握区域发展战略和生态功能定位，建立完善并落实省域、重点区域（流域）、市域及各类环境管控单元的“1+4+13+N”生态环境分区管控体系，包括全省“1”个总体管控要求，长江流域、太湖流域、淮河流域、沿海地区等“4”个重点区域（流域）管控要求，“13”个设区市管控要求，以及全省“N”个（4365个）环境管控单元的生态环境准入清单。”</w:t>
            </w:r>
          </w:p>
          <w:p w14:paraId="3A84EF60">
            <w:pPr>
              <w:overflowPunct w:val="0"/>
              <w:adjustRightInd w:val="0"/>
              <w:snapToGrid w:val="0"/>
              <w:spacing w:line="360" w:lineRule="auto"/>
              <w:ind w:firstLine="420" w:firstLineChars="200"/>
              <w:rPr>
                <w:bCs/>
                <w:color w:val="auto"/>
              </w:rPr>
            </w:pPr>
            <w:r>
              <w:rPr>
                <w:rFonts w:hint="eastAsia"/>
                <w:bCs/>
                <w:color w:val="auto"/>
              </w:rPr>
              <w:t>本项目位于江苏省常州市金坛区薛埠镇奥托立夫大道1号，属于长江流域及太湖流域，为重点区域（流域）。对照江苏省重点区域（流域）生态环境分区管控要求，具体分析见下表。</w:t>
            </w:r>
          </w:p>
          <w:p w14:paraId="3A84EF61">
            <w:pPr>
              <w:overflowPunct w:val="0"/>
              <w:adjustRightInd w:val="0"/>
              <w:snapToGrid w:val="0"/>
              <w:jc w:val="center"/>
              <w:rPr>
                <w:b/>
                <w:color w:val="auto"/>
              </w:rPr>
            </w:pPr>
            <w:r>
              <w:rPr>
                <w:rFonts w:hint="eastAsia"/>
                <w:b/>
                <w:color w:val="auto"/>
              </w:rPr>
              <w:t>表1-</w:t>
            </w:r>
            <w:r>
              <w:rPr>
                <w:rFonts w:hint="eastAsia"/>
                <w:b/>
                <w:color w:val="auto"/>
                <w:lang w:val="en-US" w:eastAsia="zh-CN"/>
              </w:rPr>
              <w:t>6</w:t>
            </w:r>
            <w:r>
              <w:rPr>
                <w:rFonts w:hint="eastAsia"/>
                <w:b/>
                <w:color w:val="auto"/>
              </w:rPr>
              <w:t xml:space="preserve">   与《江苏省“三线一单”生态环境分区管控方案》相符性</w:t>
            </w:r>
          </w:p>
          <w:tbl>
            <w:tblPr>
              <w:tblStyle w:val="59"/>
              <w:tblW w:w="4999"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12"/>
              <w:gridCol w:w="3239"/>
              <w:gridCol w:w="3185"/>
              <w:gridCol w:w="914"/>
            </w:tblGrid>
            <w:tr w14:paraId="3A84EF6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c>
                <w:tcPr>
                  <w:tcW w:w="498" w:type="pct"/>
                  <w:vAlign w:val="center"/>
                </w:tcPr>
                <w:p w14:paraId="3A84EF62">
                  <w:pPr>
                    <w:overflowPunct w:val="0"/>
                    <w:adjustRightInd w:val="0"/>
                    <w:snapToGrid w:val="0"/>
                    <w:jc w:val="center"/>
                    <w:rPr>
                      <w:b/>
                      <w:color w:val="auto"/>
                    </w:rPr>
                  </w:pPr>
                  <w:r>
                    <w:rPr>
                      <w:rFonts w:hint="eastAsia"/>
                      <w:b/>
                      <w:color w:val="auto"/>
                    </w:rPr>
                    <w:t>管控类别</w:t>
                  </w:r>
                </w:p>
              </w:tc>
              <w:tc>
                <w:tcPr>
                  <w:tcW w:w="1987" w:type="pct"/>
                  <w:vAlign w:val="center"/>
                </w:tcPr>
                <w:p w14:paraId="3A84EF63">
                  <w:pPr>
                    <w:overflowPunct w:val="0"/>
                    <w:adjustRightInd w:val="0"/>
                    <w:snapToGrid w:val="0"/>
                    <w:jc w:val="center"/>
                    <w:rPr>
                      <w:b/>
                      <w:color w:val="auto"/>
                    </w:rPr>
                  </w:pPr>
                  <w:r>
                    <w:rPr>
                      <w:rFonts w:hint="eastAsia"/>
                      <w:b/>
                      <w:color w:val="auto"/>
                    </w:rPr>
                    <w:t>重点管控要求</w:t>
                  </w:r>
                </w:p>
              </w:tc>
              <w:tc>
                <w:tcPr>
                  <w:tcW w:w="1954" w:type="pct"/>
                  <w:vAlign w:val="center"/>
                </w:tcPr>
                <w:p w14:paraId="3A84EF64">
                  <w:pPr>
                    <w:overflowPunct w:val="0"/>
                    <w:adjustRightInd w:val="0"/>
                    <w:snapToGrid w:val="0"/>
                    <w:jc w:val="center"/>
                    <w:rPr>
                      <w:b/>
                      <w:color w:val="auto"/>
                    </w:rPr>
                  </w:pPr>
                  <w:r>
                    <w:rPr>
                      <w:rStyle w:val="71"/>
                      <w:rFonts w:hint="eastAsia"/>
                      <w:b/>
                      <w:bCs/>
                      <w:color w:val="auto"/>
                      <w:kern w:val="0"/>
                    </w:rPr>
                    <w:t>本项目情况</w:t>
                  </w:r>
                </w:p>
              </w:tc>
              <w:tc>
                <w:tcPr>
                  <w:tcW w:w="559" w:type="pct"/>
                  <w:vAlign w:val="center"/>
                </w:tcPr>
                <w:p w14:paraId="3A84EF65">
                  <w:pPr>
                    <w:overflowPunct w:val="0"/>
                    <w:adjustRightInd w:val="0"/>
                    <w:snapToGrid w:val="0"/>
                    <w:jc w:val="center"/>
                    <w:rPr>
                      <w:rStyle w:val="71"/>
                      <w:color w:val="auto"/>
                      <w:kern w:val="0"/>
                    </w:rPr>
                  </w:pPr>
                  <w:r>
                    <w:rPr>
                      <w:rStyle w:val="71"/>
                      <w:rFonts w:hint="eastAsia"/>
                      <w:b/>
                      <w:bCs/>
                      <w:color w:val="auto"/>
                      <w:kern w:val="0"/>
                    </w:rPr>
                    <w:t>相符性</w:t>
                  </w:r>
                </w:p>
              </w:tc>
            </w:tr>
            <w:tr w14:paraId="3A84EF6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000" w:type="pct"/>
                  <w:gridSpan w:val="4"/>
                  <w:vAlign w:val="center"/>
                </w:tcPr>
                <w:p w14:paraId="3A84EF67">
                  <w:pPr>
                    <w:overflowPunct w:val="0"/>
                    <w:adjustRightInd w:val="0"/>
                    <w:snapToGrid w:val="0"/>
                    <w:jc w:val="center"/>
                    <w:rPr>
                      <w:b/>
                      <w:color w:val="auto"/>
                    </w:rPr>
                  </w:pPr>
                  <w:r>
                    <w:rPr>
                      <w:rFonts w:hint="eastAsia"/>
                      <w:b/>
                      <w:color w:val="auto"/>
                    </w:rPr>
                    <w:t>一、长江流域</w:t>
                  </w:r>
                </w:p>
              </w:tc>
            </w:tr>
            <w:tr w14:paraId="3A84EF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vAlign w:val="center"/>
                </w:tcPr>
                <w:p w14:paraId="3A84EF69">
                  <w:pPr>
                    <w:overflowPunct w:val="0"/>
                    <w:adjustRightInd w:val="0"/>
                    <w:snapToGrid w:val="0"/>
                    <w:jc w:val="center"/>
                    <w:rPr>
                      <w:bCs/>
                      <w:color w:val="auto"/>
                    </w:rPr>
                  </w:pPr>
                  <w:r>
                    <w:rPr>
                      <w:rFonts w:hint="eastAsia"/>
                      <w:bCs/>
                      <w:color w:val="auto"/>
                    </w:rPr>
                    <w:t>空间布局约束</w:t>
                  </w:r>
                </w:p>
              </w:tc>
              <w:tc>
                <w:tcPr>
                  <w:tcW w:w="1987" w:type="pct"/>
                  <w:vAlign w:val="center"/>
                </w:tcPr>
                <w:p w14:paraId="3A84EF6A">
                  <w:pPr>
                    <w:overflowPunct w:val="0"/>
                    <w:adjustRightInd w:val="0"/>
                    <w:snapToGrid w:val="0"/>
                    <w:jc w:val="left"/>
                    <w:rPr>
                      <w:bCs/>
                      <w:color w:val="auto"/>
                    </w:rPr>
                  </w:pPr>
                  <w:r>
                    <w:rPr>
                      <w:rFonts w:hint="eastAsia"/>
                      <w:bCs/>
                      <w:color w:val="auto"/>
                    </w:rPr>
                    <w:t>1.始终把长江生态修复放在首位，坚持共抓大保护、不搞大开发，引导长江流域产业转型升级和布局优化调整，实现科学发展、有序发展、高质量发展。</w:t>
                  </w:r>
                </w:p>
                <w:p w14:paraId="3A84EF6B">
                  <w:pPr>
                    <w:overflowPunct w:val="0"/>
                    <w:adjustRightInd w:val="0"/>
                    <w:snapToGrid w:val="0"/>
                    <w:jc w:val="left"/>
                    <w:rPr>
                      <w:bCs/>
                      <w:color w:val="auto"/>
                    </w:rPr>
                  </w:pPr>
                  <w:r>
                    <w:rPr>
                      <w:rFonts w:hint="eastAsia"/>
                      <w:bCs/>
                      <w:color w:val="auto"/>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3A84EF6C">
                  <w:pPr>
                    <w:overflowPunct w:val="0"/>
                    <w:adjustRightInd w:val="0"/>
                    <w:snapToGrid w:val="0"/>
                    <w:jc w:val="left"/>
                    <w:rPr>
                      <w:bCs/>
                      <w:color w:val="auto"/>
                    </w:rPr>
                  </w:pPr>
                  <w:r>
                    <w:rPr>
                      <w:rFonts w:hint="eastAsia"/>
                      <w:bCs/>
                      <w:color w:val="auto"/>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3A84EF6D">
                  <w:pPr>
                    <w:overflowPunct w:val="0"/>
                    <w:adjustRightInd w:val="0"/>
                    <w:snapToGrid w:val="0"/>
                    <w:jc w:val="left"/>
                    <w:rPr>
                      <w:bCs/>
                      <w:color w:val="auto"/>
                    </w:rPr>
                  </w:pPr>
                  <w:r>
                    <w:rPr>
                      <w:rFonts w:hint="eastAsia"/>
                      <w:bCs/>
                      <w:color w:val="auto"/>
                    </w:rPr>
                    <w:t>4.强化港口布局优化，禁止建设不符合国家港口布局规划和《江苏省沿江沿海港口布局规划（2015-2030年）》《江苏省内河港口布局规划（2017-2035年）》的码头项目，禁止建设未纳入《长江干线过江通道布局规划》的过江干线通道项目。</w:t>
                  </w:r>
                </w:p>
                <w:p w14:paraId="3A84EF6E">
                  <w:pPr>
                    <w:overflowPunct w:val="0"/>
                    <w:adjustRightInd w:val="0"/>
                    <w:snapToGrid w:val="0"/>
                    <w:jc w:val="left"/>
                    <w:rPr>
                      <w:bCs/>
                      <w:color w:val="auto"/>
                    </w:rPr>
                  </w:pPr>
                  <w:r>
                    <w:rPr>
                      <w:rFonts w:hint="eastAsia"/>
                      <w:bCs/>
                      <w:color w:val="auto"/>
                    </w:rPr>
                    <w:t>5.禁止新建独立焦化项目。</w:t>
                  </w:r>
                </w:p>
              </w:tc>
              <w:tc>
                <w:tcPr>
                  <w:tcW w:w="1954" w:type="pct"/>
                  <w:vAlign w:val="center"/>
                </w:tcPr>
                <w:p w14:paraId="3A84EF6F">
                  <w:pPr>
                    <w:overflowPunct w:val="0"/>
                    <w:adjustRightInd w:val="0"/>
                    <w:snapToGrid w:val="0"/>
                    <w:jc w:val="center"/>
                    <w:rPr>
                      <w:bCs/>
                      <w:color w:val="auto"/>
                    </w:rPr>
                  </w:pPr>
                  <w:r>
                    <w:rPr>
                      <w:color w:val="auto"/>
                    </w:rPr>
                    <w:t>本项目位于</w:t>
                  </w:r>
                  <w:r>
                    <w:rPr>
                      <w:rFonts w:hint="eastAsia"/>
                      <w:color w:val="auto"/>
                    </w:rPr>
                    <w:t>江苏省常州市金坛区薛埠镇奥托立夫大道1号，</w:t>
                  </w:r>
                  <w:r>
                    <w:rPr>
                      <w:color w:val="auto"/>
                    </w:rPr>
                    <w:t>不在生态保护红线和永久基本农田范围内，属于沿江地区，</w:t>
                  </w:r>
                  <w:r>
                    <w:rPr>
                      <w:rFonts w:hint="eastAsia"/>
                      <w:color w:val="auto"/>
                    </w:rPr>
                    <w:t>不在</w:t>
                  </w:r>
                  <w:r>
                    <w:rPr>
                      <w:color w:val="auto"/>
                      <w:kern w:val="24"/>
                    </w:rPr>
                    <w:t>长江干流和主要支流岸线1公里范围内</w:t>
                  </w:r>
                  <w:r>
                    <w:rPr>
                      <w:rFonts w:hint="eastAsia"/>
                      <w:color w:val="auto"/>
                      <w:kern w:val="24"/>
                    </w:rPr>
                    <w:t>，</w:t>
                  </w:r>
                  <w:r>
                    <w:rPr>
                      <w:color w:val="auto"/>
                    </w:rPr>
                    <w:t>不在港口</w:t>
                  </w:r>
                  <w:r>
                    <w:rPr>
                      <w:rFonts w:hint="eastAsia"/>
                      <w:color w:val="auto"/>
                    </w:rPr>
                    <w:t>范围</w:t>
                  </w:r>
                  <w:r>
                    <w:rPr>
                      <w:color w:val="auto"/>
                    </w:rPr>
                    <w:t>内。本项目属于</w:t>
                  </w:r>
                  <w:r>
                    <w:rPr>
                      <w:rFonts w:hint="eastAsia"/>
                      <w:color w:val="auto"/>
                      <w:lang w:eastAsia="zh-CN"/>
                    </w:rPr>
                    <w:t>C3670汽车零部件及配件制造</w:t>
                  </w:r>
                  <w:r>
                    <w:rPr>
                      <w:rFonts w:hint="eastAsia"/>
                      <w:color w:val="auto"/>
                    </w:rPr>
                    <w:t>，项目建设不涉及化工、石油化工、码头、焦化等禁止建设项目。</w:t>
                  </w:r>
                </w:p>
              </w:tc>
              <w:tc>
                <w:tcPr>
                  <w:tcW w:w="559" w:type="pct"/>
                  <w:vAlign w:val="center"/>
                </w:tcPr>
                <w:p w14:paraId="3A84EF70">
                  <w:pPr>
                    <w:overflowPunct w:val="0"/>
                    <w:adjustRightInd w:val="0"/>
                    <w:snapToGrid w:val="0"/>
                    <w:jc w:val="center"/>
                    <w:rPr>
                      <w:bCs/>
                      <w:color w:val="auto"/>
                    </w:rPr>
                  </w:pPr>
                  <w:r>
                    <w:rPr>
                      <w:rFonts w:hint="eastAsia"/>
                      <w:bCs/>
                      <w:color w:val="auto"/>
                    </w:rPr>
                    <w:t>符合</w:t>
                  </w:r>
                </w:p>
              </w:tc>
            </w:tr>
            <w:tr w14:paraId="3A84EF7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vAlign w:val="center"/>
                </w:tcPr>
                <w:p w14:paraId="3A84EF72">
                  <w:pPr>
                    <w:overflowPunct w:val="0"/>
                    <w:adjustRightInd w:val="0"/>
                    <w:snapToGrid w:val="0"/>
                    <w:jc w:val="center"/>
                    <w:rPr>
                      <w:bCs/>
                      <w:color w:val="auto"/>
                    </w:rPr>
                  </w:pPr>
                  <w:r>
                    <w:rPr>
                      <w:rFonts w:hint="eastAsia"/>
                      <w:bCs/>
                      <w:color w:val="auto"/>
                    </w:rPr>
                    <w:t>污染物排放管控</w:t>
                  </w:r>
                </w:p>
              </w:tc>
              <w:tc>
                <w:tcPr>
                  <w:tcW w:w="1987" w:type="pct"/>
                  <w:vAlign w:val="center"/>
                </w:tcPr>
                <w:p w14:paraId="3A84EF73">
                  <w:pPr>
                    <w:overflowPunct w:val="0"/>
                    <w:adjustRightInd w:val="0"/>
                    <w:snapToGrid w:val="0"/>
                    <w:rPr>
                      <w:bCs/>
                      <w:color w:val="auto"/>
                    </w:rPr>
                  </w:pPr>
                  <w:r>
                    <w:rPr>
                      <w:rFonts w:hint="eastAsia"/>
                      <w:bCs/>
                      <w:color w:val="auto"/>
                    </w:rPr>
                    <w:t>1.根据《江苏省长江水污染防治条例》实施污染物总量控制制度。</w:t>
                  </w:r>
                </w:p>
                <w:p w14:paraId="3A84EF74">
                  <w:pPr>
                    <w:overflowPunct w:val="0"/>
                    <w:adjustRightInd w:val="0"/>
                    <w:snapToGrid w:val="0"/>
                    <w:rPr>
                      <w:bCs/>
                      <w:color w:val="auto"/>
                    </w:rPr>
                  </w:pPr>
                  <w:r>
                    <w:rPr>
                      <w:rFonts w:hint="eastAsia"/>
                      <w:bCs/>
                      <w:color w:val="auto"/>
                    </w:rPr>
                    <w:t>2.全面加强和规范长江入河排污口管理，有效管控入河污染物排放，形成权责清晰、监控到位、管理规范的长江入河排污口监管体系，加快改善长江水环境质量。</w:t>
                  </w:r>
                </w:p>
              </w:tc>
              <w:tc>
                <w:tcPr>
                  <w:tcW w:w="1954" w:type="pct"/>
                  <w:vAlign w:val="center"/>
                </w:tcPr>
                <w:p w14:paraId="3A84EF75">
                  <w:pPr>
                    <w:adjustRightInd w:val="0"/>
                    <w:snapToGrid w:val="0"/>
                    <w:jc w:val="center"/>
                    <w:rPr>
                      <w:bCs/>
                      <w:color w:val="auto"/>
                    </w:rPr>
                  </w:pPr>
                  <w:r>
                    <w:rPr>
                      <w:rFonts w:hint="eastAsia"/>
                      <w:color w:val="auto"/>
                    </w:rPr>
                    <w:t>本项目实施污染物总量控制制度，总量区域内平衡。本项目不涉及</w:t>
                  </w:r>
                  <w:r>
                    <w:rPr>
                      <w:color w:val="auto"/>
                    </w:rPr>
                    <w:t>长江入河排污口</w:t>
                  </w:r>
                  <w:r>
                    <w:rPr>
                      <w:rFonts w:hint="eastAsia"/>
                      <w:color w:val="auto"/>
                    </w:rPr>
                    <w:t>。</w:t>
                  </w:r>
                </w:p>
              </w:tc>
              <w:tc>
                <w:tcPr>
                  <w:tcW w:w="559" w:type="pct"/>
                  <w:vAlign w:val="center"/>
                </w:tcPr>
                <w:p w14:paraId="3A84EF76">
                  <w:pPr>
                    <w:overflowPunct w:val="0"/>
                    <w:adjustRightInd w:val="0"/>
                    <w:snapToGrid w:val="0"/>
                    <w:jc w:val="center"/>
                    <w:rPr>
                      <w:bCs/>
                      <w:color w:val="auto"/>
                    </w:rPr>
                  </w:pPr>
                  <w:r>
                    <w:rPr>
                      <w:rFonts w:hint="eastAsia"/>
                      <w:bCs/>
                      <w:color w:val="auto"/>
                    </w:rPr>
                    <w:t>符合</w:t>
                  </w:r>
                </w:p>
              </w:tc>
            </w:tr>
            <w:tr w14:paraId="3A84EF7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vAlign w:val="center"/>
                </w:tcPr>
                <w:p w14:paraId="3A84EF78">
                  <w:pPr>
                    <w:overflowPunct w:val="0"/>
                    <w:adjustRightInd w:val="0"/>
                    <w:snapToGrid w:val="0"/>
                    <w:jc w:val="center"/>
                    <w:rPr>
                      <w:bCs/>
                      <w:color w:val="auto"/>
                    </w:rPr>
                  </w:pPr>
                  <w:r>
                    <w:rPr>
                      <w:rFonts w:hint="eastAsia"/>
                      <w:bCs/>
                      <w:color w:val="auto"/>
                    </w:rPr>
                    <w:t>环境风险防控</w:t>
                  </w:r>
                </w:p>
              </w:tc>
              <w:tc>
                <w:tcPr>
                  <w:tcW w:w="1987" w:type="pct"/>
                  <w:vAlign w:val="center"/>
                </w:tcPr>
                <w:p w14:paraId="3A84EF79">
                  <w:pPr>
                    <w:overflowPunct w:val="0"/>
                    <w:adjustRightInd w:val="0"/>
                    <w:snapToGrid w:val="0"/>
                    <w:rPr>
                      <w:bCs/>
                      <w:color w:val="auto"/>
                    </w:rPr>
                  </w:pPr>
                  <w:r>
                    <w:rPr>
                      <w:rFonts w:hint="eastAsia"/>
                      <w:bCs/>
                      <w:color w:val="auto"/>
                    </w:rPr>
                    <w:t>1.防范沿江环境风险。深化沿江石化、化工、医药、纺织、印染、化纤、危化品和石油类仓储、涉重金属和危险废物处置等重点企业环境风险防控。</w:t>
                  </w:r>
                </w:p>
                <w:p w14:paraId="3A84EF7A">
                  <w:pPr>
                    <w:overflowPunct w:val="0"/>
                    <w:adjustRightInd w:val="0"/>
                    <w:snapToGrid w:val="0"/>
                    <w:rPr>
                      <w:bCs/>
                      <w:color w:val="auto"/>
                    </w:rPr>
                  </w:pPr>
                  <w:r>
                    <w:rPr>
                      <w:rFonts w:hint="eastAsia"/>
                      <w:bCs/>
                      <w:color w:val="auto"/>
                    </w:rPr>
                    <w:t>2.加强饮用水水源保护。优化水源保护区划定，推动饮用水水源地规范化建设。</w:t>
                  </w:r>
                </w:p>
              </w:tc>
              <w:tc>
                <w:tcPr>
                  <w:tcW w:w="1954" w:type="pct"/>
                  <w:vAlign w:val="center"/>
                </w:tcPr>
                <w:p w14:paraId="3A84EF7B">
                  <w:pPr>
                    <w:adjustRightInd w:val="0"/>
                    <w:snapToGrid w:val="0"/>
                    <w:jc w:val="center"/>
                    <w:rPr>
                      <w:bCs/>
                      <w:color w:val="auto"/>
                    </w:rPr>
                  </w:pPr>
                  <w:r>
                    <w:rPr>
                      <w:rFonts w:hint="eastAsia"/>
                      <w:color w:val="auto"/>
                    </w:rPr>
                    <w:t>本项目所在地属于沿江范围。本项目不属于石化、化工等重点环境风险防控单位，企业仍加强环境风险防控。本项目不在</w:t>
                  </w:r>
                  <w:r>
                    <w:rPr>
                      <w:color w:val="auto"/>
                    </w:rPr>
                    <w:t>饮用水水源保护区</w:t>
                  </w:r>
                  <w:r>
                    <w:rPr>
                      <w:rFonts w:hint="eastAsia"/>
                      <w:color w:val="auto"/>
                    </w:rPr>
                    <w:t>范围内，</w:t>
                  </w:r>
                  <w:r>
                    <w:rPr>
                      <w:color w:val="auto"/>
                      <w:kern w:val="24"/>
                    </w:rPr>
                    <w:t>项目的建设不会对饮水水源地造成影响</w:t>
                  </w:r>
                  <w:r>
                    <w:rPr>
                      <w:rFonts w:hint="eastAsia"/>
                      <w:color w:val="auto"/>
                    </w:rPr>
                    <w:t>。</w:t>
                  </w:r>
                </w:p>
              </w:tc>
              <w:tc>
                <w:tcPr>
                  <w:tcW w:w="559" w:type="pct"/>
                  <w:vAlign w:val="center"/>
                </w:tcPr>
                <w:p w14:paraId="3A84EF7C">
                  <w:pPr>
                    <w:overflowPunct w:val="0"/>
                    <w:adjustRightInd w:val="0"/>
                    <w:snapToGrid w:val="0"/>
                    <w:jc w:val="center"/>
                    <w:rPr>
                      <w:bCs/>
                      <w:color w:val="auto"/>
                    </w:rPr>
                  </w:pPr>
                  <w:r>
                    <w:rPr>
                      <w:rFonts w:hint="eastAsia"/>
                      <w:bCs/>
                      <w:color w:val="auto"/>
                    </w:rPr>
                    <w:t>符合</w:t>
                  </w:r>
                </w:p>
              </w:tc>
            </w:tr>
            <w:tr w14:paraId="3A84EF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vAlign w:val="center"/>
                </w:tcPr>
                <w:p w14:paraId="3A84EF7E">
                  <w:pPr>
                    <w:overflowPunct w:val="0"/>
                    <w:adjustRightInd w:val="0"/>
                    <w:snapToGrid w:val="0"/>
                    <w:jc w:val="center"/>
                    <w:rPr>
                      <w:bCs/>
                      <w:color w:val="auto"/>
                    </w:rPr>
                  </w:pPr>
                  <w:r>
                    <w:rPr>
                      <w:rFonts w:hint="eastAsia"/>
                      <w:bCs/>
                      <w:color w:val="auto"/>
                    </w:rPr>
                    <w:t>资源利用效率要求</w:t>
                  </w:r>
                </w:p>
              </w:tc>
              <w:tc>
                <w:tcPr>
                  <w:tcW w:w="1987" w:type="pct"/>
                  <w:vAlign w:val="center"/>
                </w:tcPr>
                <w:p w14:paraId="3A84EF7F">
                  <w:pPr>
                    <w:overflowPunct w:val="0"/>
                    <w:adjustRightInd w:val="0"/>
                    <w:snapToGrid w:val="0"/>
                    <w:rPr>
                      <w:bCs/>
                      <w:color w:val="auto"/>
                    </w:rPr>
                  </w:pPr>
                  <w:r>
                    <w:rPr>
                      <w:rFonts w:hint="eastAsia"/>
                      <w:bCs/>
                      <w:color w:val="auto"/>
                    </w:rPr>
                    <w:t>到2020年长江干支流自然岸线保有率达到国家要求。</w:t>
                  </w:r>
                </w:p>
              </w:tc>
              <w:tc>
                <w:tcPr>
                  <w:tcW w:w="1954" w:type="pct"/>
                  <w:vAlign w:val="center"/>
                </w:tcPr>
                <w:p w14:paraId="3A84EF80">
                  <w:pPr>
                    <w:overflowPunct w:val="0"/>
                    <w:adjustRightInd w:val="0"/>
                    <w:snapToGrid w:val="0"/>
                    <w:jc w:val="center"/>
                    <w:rPr>
                      <w:bCs/>
                      <w:color w:val="auto"/>
                    </w:rPr>
                  </w:pPr>
                  <w:r>
                    <w:rPr>
                      <w:rFonts w:hint="eastAsia"/>
                      <w:bCs/>
                      <w:color w:val="auto"/>
                    </w:rPr>
                    <w:t>本项目不涉及。</w:t>
                  </w:r>
                </w:p>
              </w:tc>
              <w:tc>
                <w:tcPr>
                  <w:tcW w:w="559" w:type="pct"/>
                  <w:vAlign w:val="center"/>
                </w:tcPr>
                <w:p w14:paraId="3A84EF81">
                  <w:pPr>
                    <w:overflowPunct w:val="0"/>
                    <w:adjustRightInd w:val="0"/>
                    <w:snapToGrid w:val="0"/>
                    <w:jc w:val="center"/>
                    <w:rPr>
                      <w:bCs/>
                      <w:color w:val="auto"/>
                    </w:rPr>
                  </w:pPr>
                  <w:r>
                    <w:rPr>
                      <w:rFonts w:hint="eastAsia"/>
                      <w:bCs/>
                      <w:color w:val="auto"/>
                    </w:rPr>
                    <w:t>符合</w:t>
                  </w:r>
                </w:p>
              </w:tc>
            </w:tr>
            <w:tr w14:paraId="3A84EF8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000" w:type="pct"/>
                  <w:gridSpan w:val="4"/>
                  <w:vAlign w:val="center"/>
                </w:tcPr>
                <w:p w14:paraId="3A84EF83">
                  <w:pPr>
                    <w:overflowPunct w:val="0"/>
                    <w:adjustRightInd w:val="0"/>
                    <w:snapToGrid w:val="0"/>
                    <w:jc w:val="center"/>
                    <w:rPr>
                      <w:b/>
                      <w:color w:val="auto"/>
                    </w:rPr>
                  </w:pPr>
                  <w:r>
                    <w:rPr>
                      <w:rFonts w:hint="eastAsia"/>
                      <w:b/>
                      <w:color w:val="auto"/>
                    </w:rPr>
                    <w:t>二、太湖流域</w:t>
                  </w:r>
                </w:p>
              </w:tc>
            </w:tr>
            <w:tr w14:paraId="3A84EF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vAlign w:val="center"/>
                </w:tcPr>
                <w:p w14:paraId="3A84EF85">
                  <w:pPr>
                    <w:overflowPunct w:val="0"/>
                    <w:adjustRightInd w:val="0"/>
                    <w:snapToGrid w:val="0"/>
                    <w:jc w:val="center"/>
                    <w:rPr>
                      <w:bCs/>
                      <w:color w:val="auto"/>
                    </w:rPr>
                  </w:pPr>
                  <w:r>
                    <w:rPr>
                      <w:rFonts w:hint="eastAsia"/>
                      <w:bCs/>
                      <w:color w:val="auto"/>
                    </w:rPr>
                    <w:t>空间布局约束</w:t>
                  </w:r>
                </w:p>
              </w:tc>
              <w:tc>
                <w:tcPr>
                  <w:tcW w:w="1987" w:type="pct"/>
                  <w:vAlign w:val="center"/>
                </w:tcPr>
                <w:p w14:paraId="3A84EF86">
                  <w:pPr>
                    <w:overflowPunct w:val="0"/>
                    <w:adjustRightInd w:val="0"/>
                    <w:snapToGrid w:val="0"/>
                    <w:rPr>
                      <w:bCs/>
                      <w:color w:val="auto"/>
                    </w:rPr>
                  </w:pPr>
                  <w:r>
                    <w:rPr>
                      <w:rFonts w:hint="eastAsia"/>
                      <w:bCs/>
                      <w:color w:val="auto"/>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3A84EF87">
                  <w:pPr>
                    <w:overflowPunct w:val="0"/>
                    <w:adjustRightInd w:val="0"/>
                    <w:snapToGrid w:val="0"/>
                    <w:rPr>
                      <w:bCs/>
                      <w:color w:val="auto"/>
                    </w:rPr>
                  </w:pPr>
                  <w:r>
                    <w:rPr>
                      <w:rFonts w:hint="eastAsia"/>
                      <w:bCs/>
                      <w:color w:val="auto"/>
                    </w:rPr>
                    <w:t>2.在太湖流域一级保护区，禁止新建、扩建向水体排放污染物的建设项目，禁止新建、扩建畜禽养殖场，禁止新建、扩建高尔夫球场、水上游乐园等开发项目以及设置水上餐饮经营设施。</w:t>
                  </w:r>
                </w:p>
                <w:p w14:paraId="3A84EF88">
                  <w:pPr>
                    <w:overflowPunct w:val="0"/>
                    <w:adjustRightInd w:val="0"/>
                    <w:snapToGrid w:val="0"/>
                    <w:rPr>
                      <w:bCs/>
                      <w:color w:val="auto"/>
                    </w:rPr>
                  </w:pPr>
                  <w:r>
                    <w:rPr>
                      <w:rFonts w:hint="eastAsia"/>
                      <w:bCs/>
                      <w:color w:val="auto"/>
                    </w:rPr>
                    <w:t>3.在太湖流域二级保护区，禁止新建、扩建化工、医药生产项目，禁止新建、扩建污水集中处理设施排污口以外的排污口。</w:t>
                  </w:r>
                </w:p>
              </w:tc>
              <w:tc>
                <w:tcPr>
                  <w:tcW w:w="1954" w:type="pct"/>
                  <w:vAlign w:val="center"/>
                </w:tcPr>
                <w:p w14:paraId="3A84EF89">
                  <w:pPr>
                    <w:overflowPunct w:val="0"/>
                    <w:adjustRightInd w:val="0"/>
                    <w:snapToGrid w:val="0"/>
                    <w:jc w:val="center"/>
                    <w:rPr>
                      <w:bCs/>
                      <w:color w:val="auto"/>
                    </w:rPr>
                  </w:pPr>
                  <w:r>
                    <w:rPr>
                      <w:rFonts w:hint="eastAsia"/>
                      <w:bCs/>
                      <w:color w:val="auto"/>
                    </w:rPr>
                    <w:t>本项目行业类别为</w:t>
                  </w:r>
                  <w:r>
                    <w:rPr>
                      <w:rFonts w:hint="eastAsia"/>
                      <w:bCs/>
                      <w:color w:val="auto"/>
                      <w:lang w:eastAsia="zh-CN"/>
                    </w:rPr>
                    <w:t>C3670汽车零部件及配件制造</w:t>
                  </w:r>
                  <w:r>
                    <w:rPr>
                      <w:rFonts w:hint="eastAsia"/>
                      <w:bCs/>
                      <w:color w:val="auto"/>
                    </w:rPr>
                    <w:t>，不属于造纸、制革、酒精、淀粉、冶金、酿造、印染、电镀等行业；无含氮、磷生产废水产生及排放。</w:t>
                  </w:r>
                </w:p>
              </w:tc>
              <w:tc>
                <w:tcPr>
                  <w:tcW w:w="559" w:type="pct"/>
                  <w:vAlign w:val="center"/>
                </w:tcPr>
                <w:p w14:paraId="3A84EF8A">
                  <w:pPr>
                    <w:overflowPunct w:val="0"/>
                    <w:adjustRightInd w:val="0"/>
                    <w:snapToGrid w:val="0"/>
                    <w:jc w:val="center"/>
                    <w:rPr>
                      <w:bCs/>
                      <w:color w:val="auto"/>
                    </w:rPr>
                  </w:pPr>
                  <w:r>
                    <w:rPr>
                      <w:rFonts w:hint="eastAsia"/>
                      <w:bCs/>
                      <w:color w:val="auto"/>
                    </w:rPr>
                    <w:t>符合</w:t>
                  </w:r>
                </w:p>
              </w:tc>
            </w:tr>
            <w:tr w14:paraId="3A84EF9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vAlign w:val="center"/>
                </w:tcPr>
                <w:p w14:paraId="3A84EF8C">
                  <w:pPr>
                    <w:overflowPunct w:val="0"/>
                    <w:adjustRightInd w:val="0"/>
                    <w:snapToGrid w:val="0"/>
                    <w:jc w:val="center"/>
                    <w:rPr>
                      <w:bCs/>
                      <w:color w:val="auto"/>
                    </w:rPr>
                  </w:pPr>
                  <w:r>
                    <w:rPr>
                      <w:rFonts w:hint="eastAsia"/>
                      <w:bCs/>
                      <w:color w:val="auto"/>
                    </w:rPr>
                    <w:t>污染物排放管控</w:t>
                  </w:r>
                </w:p>
              </w:tc>
              <w:tc>
                <w:tcPr>
                  <w:tcW w:w="1987" w:type="pct"/>
                  <w:vAlign w:val="center"/>
                </w:tcPr>
                <w:p w14:paraId="3A84EF8D">
                  <w:pPr>
                    <w:overflowPunct w:val="0"/>
                    <w:adjustRightInd w:val="0"/>
                    <w:snapToGrid w:val="0"/>
                    <w:rPr>
                      <w:bCs/>
                      <w:color w:val="auto"/>
                    </w:rPr>
                  </w:pPr>
                  <w:r>
                    <w:rPr>
                      <w:rFonts w:hint="eastAsia"/>
                      <w:bCs/>
                      <w:color w:val="auto"/>
                    </w:rPr>
                    <w:t>城镇污水处理厂、纺织工业、化学工业、造纸工业、钢铁工业、电镀工业和食品工业的污水处理设施执行《太湖地区城镇污水处理厂及重点工业行业主要水污染物排放限值》。</w:t>
                  </w:r>
                </w:p>
              </w:tc>
              <w:tc>
                <w:tcPr>
                  <w:tcW w:w="1954" w:type="pct"/>
                  <w:vAlign w:val="center"/>
                </w:tcPr>
                <w:p w14:paraId="3A84EF8E">
                  <w:pPr>
                    <w:overflowPunct w:val="0"/>
                    <w:adjustRightInd w:val="0"/>
                    <w:snapToGrid w:val="0"/>
                    <w:jc w:val="center"/>
                    <w:rPr>
                      <w:bCs/>
                      <w:color w:val="auto"/>
                    </w:rPr>
                  </w:pPr>
                  <w:r>
                    <w:rPr>
                      <w:rFonts w:hint="eastAsia"/>
                      <w:bCs/>
                      <w:color w:val="auto"/>
                    </w:rPr>
                    <w:t>本项目行业类别为</w:t>
                  </w:r>
                  <w:r>
                    <w:rPr>
                      <w:rFonts w:hint="eastAsia"/>
                      <w:bCs/>
                      <w:color w:val="auto"/>
                      <w:lang w:eastAsia="zh-CN"/>
                    </w:rPr>
                    <w:t>C3670汽车零部件及配件制造</w:t>
                  </w:r>
                  <w:r>
                    <w:rPr>
                      <w:rFonts w:hint="eastAsia"/>
                      <w:bCs/>
                      <w:color w:val="auto"/>
                    </w:rPr>
                    <w:t>，不属于城镇污水处理厂、纺织工业、化学工业、造纸工业、钢铁工业、电镀工业和食品工业。</w:t>
                  </w:r>
                </w:p>
              </w:tc>
              <w:tc>
                <w:tcPr>
                  <w:tcW w:w="559" w:type="pct"/>
                  <w:vAlign w:val="center"/>
                </w:tcPr>
                <w:p w14:paraId="3A84EF8F">
                  <w:pPr>
                    <w:overflowPunct w:val="0"/>
                    <w:adjustRightInd w:val="0"/>
                    <w:snapToGrid w:val="0"/>
                    <w:jc w:val="center"/>
                    <w:rPr>
                      <w:bCs/>
                      <w:color w:val="auto"/>
                    </w:rPr>
                  </w:pPr>
                  <w:r>
                    <w:rPr>
                      <w:rFonts w:hint="eastAsia"/>
                      <w:bCs/>
                      <w:color w:val="auto"/>
                    </w:rPr>
                    <w:t>符合</w:t>
                  </w:r>
                </w:p>
              </w:tc>
            </w:tr>
            <w:tr w14:paraId="3A84EF9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vAlign w:val="center"/>
                </w:tcPr>
                <w:p w14:paraId="3A84EF91">
                  <w:pPr>
                    <w:overflowPunct w:val="0"/>
                    <w:adjustRightInd w:val="0"/>
                    <w:snapToGrid w:val="0"/>
                    <w:jc w:val="center"/>
                    <w:rPr>
                      <w:bCs/>
                      <w:color w:val="auto"/>
                    </w:rPr>
                  </w:pPr>
                  <w:r>
                    <w:rPr>
                      <w:rFonts w:hint="eastAsia"/>
                      <w:bCs/>
                      <w:color w:val="auto"/>
                    </w:rPr>
                    <w:t>环境风险防控</w:t>
                  </w:r>
                </w:p>
              </w:tc>
              <w:tc>
                <w:tcPr>
                  <w:tcW w:w="1987" w:type="pct"/>
                  <w:vAlign w:val="center"/>
                </w:tcPr>
                <w:p w14:paraId="3A84EF92">
                  <w:pPr>
                    <w:overflowPunct w:val="0"/>
                    <w:adjustRightInd w:val="0"/>
                    <w:snapToGrid w:val="0"/>
                    <w:rPr>
                      <w:bCs/>
                      <w:color w:val="auto"/>
                    </w:rPr>
                  </w:pPr>
                  <w:r>
                    <w:rPr>
                      <w:rFonts w:hint="eastAsia"/>
                      <w:bCs/>
                      <w:color w:val="auto"/>
                    </w:rPr>
                    <w:t>1.运输剧毒物质、危险化学品的船舶不得进入太湖。</w:t>
                  </w:r>
                </w:p>
                <w:p w14:paraId="3A84EF93">
                  <w:pPr>
                    <w:overflowPunct w:val="0"/>
                    <w:adjustRightInd w:val="0"/>
                    <w:snapToGrid w:val="0"/>
                    <w:rPr>
                      <w:bCs/>
                      <w:color w:val="auto"/>
                    </w:rPr>
                  </w:pPr>
                  <w:r>
                    <w:rPr>
                      <w:rFonts w:hint="eastAsia"/>
                      <w:bCs/>
                      <w:color w:val="auto"/>
                    </w:rPr>
                    <w:t>2.禁止向太湖流域水体排放或者倾倒油类、酸液、碱液、剧毒废渣废液、含放射性废渣废液、含病原体污水、工业废渣以及其他废弃物。</w:t>
                  </w:r>
                </w:p>
                <w:p w14:paraId="3A84EF94">
                  <w:pPr>
                    <w:overflowPunct w:val="0"/>
                    <w:adjustRightInd w:val="0"/>
                    <w:snapToGrid w:val="0"/>
                    <w:rPr>
                      <w:bCs/>
                      <w:color w:val="auto"/>
                    </w:rPr>
                  </w:pPr>
                  <w:r>
                    <w:rPr>
                      <w:rFonts w:hint="eastAsia"/>
                      <w:bCs/>
                      <w:color w:val="auto"/>
                    </w:rPr>
                    <w:t>3.加强太湖流域生态环境风险应急管控，着力提高防控太湖蓝藻水华风险预警和应急处置能力。</w:t>
                  </w:r>
                </w:p>
              </w:tc>
              <w:tc>
                <w:tcPr>
                  <w:tcW w:w="1954" w:type="pct"/>
                  <w:vAlign w:val="center"/>
                </w:tcPr>
                <w:p w14:paraId="3A84EF95">
                  <w:pPr>
                    <w:overflowPunct w:val="0"/>
                    <w:adjustRightInd w:val="0"/>
                    <w:snapToGrid w:val="0"/>
                    <w:jc w:val="center"/>
                    <w:rPr>
                      <w:bCs/>
                      <w:color w:val="auto"/>
                    </w:rPr>
                  </w:pPr>
                  <w:r>
                    <w:rPr>
                      <w:color w:val="auto"/>
                      <w:kern w:val="24"/>
                    </w:rPr>
                    <w:t>本项目不使用船舶运输剧毒物质、危险化学品等</w:t>
                  </w:r>
                  <w:r>
                    <w:rPr>
                      <w:rFonts w:hint="eastAsia"/>
                      <w:color w:val="auto"/>
                      <w:kern w:val="24"/>
                    </w:rPr>
                    <w:t>，</w:t>
                  </w:r>
                  <w:r>
                    <w:rPr>
                      <w:rFonts w:hint="eastAsia"/>
                      <w:color w:val="auto"/>
                    </w:rPr>
                    <w:t>不向太湖流域水体排放或者倾倒油类、酸液、碱液、剧毒废渣废液、含放射性废渣废液、含病原体污水、工业废渣以及其他废弃物，</w:t>
                  </w:r>
                  <w:r>
                    <w:rPr>
                      <w:color w:val="auto"/>
                      <w:kern w:val="24"/>
                    </w:rPr>
                    <w:t>项目建成后实施严格的环境风险防控，建立环境应急预案，定期进行演练。</w:t>
                  </w:r>
                </w:p>
              </w:tc>
              <w:tc>
                <w:tcPr>
                  <w:tcW w:w="559" w:type="pct"/>
                  <w:vAlign w:val="center"/>
                </w:tcPr>
                <w:p w14:paraId="3A84EF96">
                  <w:pPr>
                    <w:overflowPunct w:val="0"/>
                    <w:adjustRightInd w:val="0"/>
                    <w:snapToGrid w:val="0"/>
                    <w:jc w:val="center"/>
                    <w:rPr>
                      <w:color w:val="auto"/>
                      <w:kern w:val="24"/>
                    </w:rPr>
                  </w:pPr>
                  <w:r>
                    <w:rPr>
                      <w:rFonts w:hint="eastAsia"/>
                      <w:bCs/>
                      <w:color w:val="auto"/>
                    </w:rPr>
                    <w:t>符合</w:t>
                  </w:r>
                </w:p>
              </w:tc>
            </w:tr>
            <w:tr w14:paraId="3A84EF9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vAlign w:val="center"/>
                </w:tcPr>
                <w:p w14:paraId="3A84EF98">
                  <w:pPr>
                    <w:overflowPunct w:val="0"/>
                    <w:adjustRightInd w:val="0"/>
                    <w:snapToGrid w:val="0"/>
                    <w:jc w:val="center"/>
                    <w:rPr>
                      <w:bCs/>
                      <w:color w:val="auto"/>
                    </w:rPr>
                  </w:pPr>
                  <w:r>
                    <w:rPr>
                      <w:rFonts w:hint="eastAsia"/>
                      <w:bCs/>
                      <w:color w:val="auto"/>
                    </w:rPr>
                    <w:t>资源利用效率要求</w:t>
                  </w:r>
                </w:p>
              </w:tc>
              <w:tc>
                <w:tcPr>
                  <w:tcW w:w="1987" w:type="pct"/>
                  <w:vAlign w:val="center"/>
                </w:tcPr>
                <w:p w14:paraId="3A84EF99">
                  <w:pPr>
                    <w:overflowPunct w:val="0"/>
                    <w:adjustRightInd w:val="0"/>
                    <w:snapToGrid w:val="0"/>
                    <w:rPr>
                      <w:bCs/>
                      <w:color w:val="auto"/>
                    </w:rPr>
                  </w:pPr>
                  <w:r>
                    <w:rPr>
                      <w:rFonts w:hint="eastAsia"/>
                      <w:bCs/>
                      <w:color w:val="auto"/>
                    </w:rPr>
                    <w:t>1.太湖流域加强水资源配置与调度，优先满足居民生活用水，兼顾生产、生态用水以及航运等需要。</w:t>
                  </w:r>
                </w:p>
                <w:p w14:paraId="3A84EF9A">
                  <w:pPr>
                    <w:overflowPunct w:val="0"/>
                    <w:adjustRightInd w:val="0"/>
                    <w:snapToGrid w:val="0"/>
                    <w:rPr>
                      <w:bCs/>
                      <w:color w:val="auto"/>
                    </w:rPr>
                  </w:pPr>
                  <w:r>
                    <w:rPr>
                      <w:rFonts w:hint="eastAsia"/>
                      <w:bCs/>
                      <w:color w:val="auto"/>
                    </w:rPr>
                    <w:t>2.2020年底前，太湖流域所有省级以上开发区开展园区循环化改造。</w:t>
                  </w:r>
                </w:p>
              </w:tc>
              <w:tc>
                <w:tcPr>
                  <w:tcW w:w="1954" w:type="pct"/>
                  <w:vAlign w:val="center"/>
                </w:tcPr>
                <w:p w14:paraId="3A84EF9B">
                  <w:pPr>
                    <w:overflowPunct w:val="0"/>
                    <w:adjustRightInd w:val="0"/>
                    <w:snapToGrid w:val="0"/>
                    <w:jc w:val="center"/>
                    <w:rPr>
                      <w:bCs/>
                      <w:color w:val="auto"/>
                    </w:rPr>
                  </w:pPr>
                  <w:r>
                    <w:rPr>
                      <w:rFonts w:hint="eastAsia"/>
                      <w:color w:val="auto"/>
                    </w:rPr>
                    <w:t>项目运营过程中将消耗一定量的水资源，水资源消耗量相对区域资源利用总量较少，不会影响居民生活用水。</w:t>
                  </w:r>
                </w:p>
              </w:tc>
              <w:tc>
                <w:tcPr>
                  <w:tcW w:w="559" w:type="pct"/>
                  <w:vAlign w:val="center"/>
                </w:tcPr>
                <w:p w14:paraId="3A84EF9C">
                  <w:pPr>
                    <w:overflowPunct w:val="0"/>
                    <w:adjustRightInd w:val="0"/>
                    <w:snapToGrid w:val="0"/>
                    <w:jc w:val="center"/>
                    <w:rPr>
                      <w:color w:val="auto"/>
                    </w:rPr>
                  </w:pPr>
                  <w:r>
                    <w:rPr>
                      <w:rFonts w:hint="eastAsia"/>
                      <w:bCs/>
                      <w:color w:val="auto"/>
                    </w:rPr>
                    <w:t>符合</w:t>
                  </w:r>
                </w:p>
              </w:tc>
            </w:tr>
          </w:tbl>
          <w:p w14:paraId="3A84EF9E">
            <w:pPr>
              <w:autoSpaceDE w:val="0"/>
              <w:autoSpaceDN w:val="0"/>
              <w:adjustRightInd w:val="0"/>
              <w:snapToGrid w:val="0"/>
              <w:spacing w:line="360" w:lineRule="auto"/>
              <w:ind w:firstLine="420" w:firstLineChars="200"/>
              <w:jc w:val="left"/>
              <w:rPr>
                <w:rFonts w:cs="宋体"/>
                <w:color w:val="auto"/>
                <w:kern w:val="0"/>
                <w:lang w:bidi="ar"/>
              </w:rPr>
            </w:pPr>
            <w:r>
              <w:rPr>
                <w:rFonts w:hint="eastAsia"/>
                <w:color w:val="auto"/>
              </w:rPr>
              <w:t>根据上表分析可知，本项目符合《江苏省“三线一单”生态环境分区管控方案》（苏政发</w:t>
            </w:r>
            <w:r>
              <w:rPr>
                <w:color w:val="auto"/>
              </w:rPr>
              <w:t>[2020]49</w:t>
            </w:r>
            <w:r>
              <w:rPr>
                <w:rFonts w:hint="eastAsia"/>
                <w:color w:val="auto"/>
              </w:rPr>
              <w:t>号）中的各项管控要求</w:t>
            </w:r>
            <w:r>
              <w:rPr>
                <w:rFonts w:hint="eastAsia" w:cs="宋体"/>
                <w:color w:val="auto"/>
                <w:kern w:val="0"/>
                <w:lang w:bidi="ar"/>
              </w:rPr>
              <w:t>。</w:t>
            </w:r>
          </w:p>
          <w:p w14:paraId="3A84EF9F">
            <w:pPr>
              <w:pStyle w:val="5"/>
              <w:adjustRightInd w:val="0"/>
              <w:snapToGrid w:val="0"/>
              <w:ind w:firstLine="0"/>
              <w:jc w:val="center"/>
              <w:rPr>
                <w:b/>
                <w:bCs/>
                <w:color w:val="auto"/>
                <w:szCs w:val="21"/>
              </w:rPr>
            </w:pPr>
            <w:r>
              <w:rPr>
                <w:b/>
                <w:bCs/>
                <w:color w:val="auto"/>
                <w:szCs w:val="21"/>
              </w:rPr>
              <w:t>表1-</w:t>
            </w:r>
            <w:r>
              <w:rPr>
                <w:rFonts w:hint="eastAsia"/>
                <w:b/>
                <w:bCs/>
                <w:color w:val="auto"/>
                <w:szCs w:val="21"/>
                <w:lang w:val="en-US" w:eastAsia="zh-CN"/>
              </w:rPr>
              <w:t>7</w:t>
            </w:r>
            <w:r>
              <w:rPr>
                <w:rFonts w:hint="eastAsia"/>
                <w:b/>
                <w:bCs/>
                <w:color w:val="auto"/>
                <w:szCs w:val="21"/>
              </w:rPr>
              <w:t xml:space="preserve">   </w:t>
            </w:r>
            <w:r>
              <w:rPr>
                <w:b/>
                <w:bCs/>
                <w:color w:val="auto"/>
                <w:szCs w:val="21"/>
              </w:rPr>
              <w:t>与常州市</w:t>
            </w:r>
            <w:r>
              <w:rPr>
                <w:rFonts w:hint="eastAsia"/>
                <w:b/>
                <w:bCs/>
                <w:color w:val="auto"/>
                <w:szCs w:val="21"/>
              </w:rPr>
              <w:t>“</w:t>
            </w:r>
            <w:r>
              <w:rPr>
                <w:b/>
                <w:bCs/>
                <w:color w:val="auto"/>
                <w:szCs w:val="21"/>
              </w:rPr>
              <w:t>三线一单</w:t>
            </w:r>
            <w:r>
              <w:rPr>
                <w:rFonts w:hint="eastAsia"/>
                <w:b/>
                <w:bCs/>
                <w:color w:val="auto"/>
                <w:szCs w:val="21"/>
              </w:rPr>
              <w:t>”</w:t>
            </w:r>
            <w:r>
              <w:rPr>
                <w:b/>
                <w:bCs/>
                <w:color w:val="auto"/>
                <w:szCs w:val="21"/>
              </w:rPr>
              <w:t>生态环境分区管控实施方案相符性</w:t>
            </w:r>
          </w:p>
          <w:tbl>
            <w:tblPr>
              <w:tblStyle w:val="5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07"/>
              <w:gridCol w:w="750"/>
              <w:gridCol w:w="4497"/>
              <w:gridCol w:w="1599"/>
              <w:gridCol w:w="696"/>
            </w:tblGrid>
            <w:tr w14:paraId="3A84EF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72" w:type="pct"/>
                  <w:vAlign w:val="center"/>
                </w:tcPr>
                <w:p w14:paraId="3A84EFA0">
                  <w:pPr>
                    <w:adjustRightInd w:val="0"/>
                    <w:snapToGrid w:val="0"/>
                    <w:jc w:val="center"/>
                    <w:rPr>
                      <w:b/>
                      <w:bCs/>
                      <w:color w:val="auto"/>
                      <w:kern w:val="0"/>
                    </w:rPr>
                  </w:pPr>
                  <w:r>
                    <w:rPr>
                      <w:b/>
                      <w:bCs/>
                      <w:color w:val="auto"/>
                      <w:kern w:val="0"/>
                    </w:rPr>
                    <w:t>序号</w:t>
                  </w:r>
                </w:p>
              </w:tc>
              <w:tc>
                <w:tcPr>
                  <w:tcW w:w="3218" w:type="pct"/>
                  <w:gridSpan w:val="2"/>
                  <w:vAlign w:val="center"/>
                </w:tcPr>
                <w:p w14:paraId="3A84EFA1">
                  <w:pPr>
                    <w:adjustRightInd w:val="0"/>
                    <w:snapToGrid w:val="0"/>
                    <w:jc w:val="center"/>
                    <w:rPr>
                      <w:b/>
                      <w:bCs/>
                      <w:color w:val="auto"/>
                      <w:kern w:val="0"/>
                    </w:rPr>
                  </w:pPr>
                  <w:r>
                    <w:rPr>
                      <w:b/>
                      <w:bCs/>
                      <w:color w:val="auto"/>
                      <w:kern w:val="0"/>
                    </w:rPr>
                    <w:t>管控要求</w:t>
                  </w:r>
                </w:p>
              </w:tc>
              <w:tc>
                <w:tcPr>
                  <w:tcW w:w="981" w:type="pct"/>
                  <w:vAlign w:val="center"/>
                </w:tcPr>
                <w:p w14:paraId="3A84EFA2">
                  <w:pPr>
                    <w:adjustRightInd w:val="0"/>
                    <w:snapToGrid w:val="0"/>
                    <w:jc w:val="center"/>
                    <w:rPr>
                      <w:b/>
                      <w:bCs/>
                      <w:color w:val="auto"/>
                      <w:kern w:val="0"/>
                    </w:rPr>
                  </w:pPr>
                  <w:r>
                    <w:rPr>
                      <w:b/>
                      <w:color w:val="auto"/>
                      <w:kern w:val="0"/>
                    </w:rPr>
                    <w:t>本项目相关内容</w:t>
                  </w:r>
                </w:p>
              </w:tc>
              <w:tc>
                <w:tcPr>
                  <w:tcW w:w="427" w:type="pct"/>
                  <w:vAlign w:val="center"/>
                </w:tcPr>
                <w:p w14:paraId="3A84EFA3">
                  <w:pPr>
                    <w:adjustRightInd w:val="0"/>
                    <w:snapToGrid w:val="0"/>
                    <w:jc w:val="center"/>
                    <w:rPr>
                      <w:b/>
                      <w:bCs/>
                      <w:color w:val="auto"/>
                      <w:kern w:val="0"/>
                    </w:rPr>
                  </w:pPr>
                  <w:r>
                    <w:rPr>
                      <w:b/>
                      <w:bCs/>
                      <w:color w:val="auto"/>
                      <w:kern w:val="0"/>
                    </w:rPr>
                    <w:t>相符性</w:t>
                  </w:r>
                </w:p>
              </w:tc>
            </w:tr>
            <w:tr w14:paraId="3A84EF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72" w:type="pct"/>
                  <w:vAlign w:val="center"/>
                </w:tcPr>
                <w:p w14:paraId="3A84EFA5">
                  <w:pPr>
                    <w:adjustRightInd w:val="0"/>
                    <w:snapToGrid w:val="0"/>
                    <w:jc w:val="center"/>
                    <w:rPr>
                      <w:color w:val="auto"/>
                      <w:kern w:val="0"/>
                    </w:rPr>
                  </w:pPr>
                  <w:r>
                    <w:rPr>
                      <w:color w:val="auto"/>
                      <w:kern w:val="0"/>
                    </w:rPr>
                    <w:t>1</w:t>
                  </w:r>
                </w:p>
              </w:tc>
              <w:tc>
                <w:tcPr>
                  <w:tcW w:w="460" w:type="pct"/>
                  <w:vAlign w:val="center"/>
                </w:tcPr>
                <w:p w14:paraId="3A84EFA6">
                  <w:pPr>
                    <w:adjustRightInd w:val="0"/>
                    <w:snapToGrid w:val="0"/>
                    <w:jc w:val="center"/>
                    <w:rPr>
                      <w:color w:val="auto"/>
                      <w:kern w:val="0"/>
                    </w:rPr>
                  </w:pPr>
                  <w:r>
                    <w:rPr>
                      <w:color w:val="auto"/>
                      <w:kern w:val="0"/>
                    </w:rPr>
                    <w:t>空间布局约束</w:t>
                  </w:r>
                </w:p>
              </w:tc>
              <w:tc>
                <w:tcPr>
                  <w:tcW w:w="2757" w:type="pct"/>
                  <w:vAlign w:val="center"/>
                </w:tcPr>
                <w:p w14:paraId="3A84EFA7">
                  <w:pPr>
                    <w:adjustRightInd w:val="0"/>
                    <w:snapToGrid w:val="0"/>
                    <w:jc w:val="center"/>
                    <w:rPr>
                      <w:color w:val="auto"/>
                      <w:kern w:val="0"/>
                    </w:rPr>
                  </w:pPr>
                  <w:r>
                    <w:rPr>
                      <w:color w:val="auto"/>
                      <w:kern w:val="0"/>
                    </w:rPr>
                    <w:t>（1）不得新建、改建、扩建化学制浆造纸、制革、酿造、染料、印染、电镀以及其他排放含磷、氮等污染物的企业和项目；不得新建、扩建化工、医药等企业和项目；不得增设排污口；禁止建设排放致癌、致畸、致突变物质和恶臭气体的项目。</w:t>
                  </w:r>
                </w:p>
                <w:p w14:paraId="3A84EFA8">
                  <w:pPr>
                    <w:adjustRightInd w:val="0"/>
                    <w:snapToGrid w:val="0"/>
                    <w:jc w:val="center"/>
                    <w:rPr>
                      <w:color w:val="auto"/>
                      <w:kern w:val="0"/>
                    </w:rPr>
                  </w:pPr>
                  <w:r>
                    <w:rPr>
                      <w:color w:val="auto"/>
                      <w:kern w:val="0"/>
                    </w:rPr>
                    <w:t>（2）鼓励发展低污染、无污染、节水和资源综合利用的项目，不得新上、转移、生产和采用国家明令禁止的工艺和产品。凡属《江苏省太湖水污染防治条例》（省十届人大常委会公告第141号）明确禁止建设的项目；《国务院关于环境保护若干问题的决定》（国发﹝1996﹞31号）明确禁止建设的</w:t>
                  </w:r>
                  <w:r>
                    <w:rPr>
                      <w:rFonts w:hint="eastAsia"/>
                      <w:color w:val="auto"/>
                      <w:kern w:val="0"/>
                    </w:rPr>
                    <w:t>“</w:t>
                  </w:r>
                  <w:r>
                    <w:rPr>
                      <w:color w:val="auto"/>
                      <w:kern w:val="0"/>
                    </w:rPr>
                    <w:t>十五小</w:t>
                  </w:r>
                  <w:r>
                    <w:rPr>
                      <w:rFonts w:hint="eastAsia"/>
                      <w:color w:val="auto"/>
                      <w:kern w:val="0"/>
                    </w:rPr>
                    <w:t>”</w:t>
                  </w:r>
                  <w:r>
                    <w:rPr>
                      <w:color w:val="auto"/>
                      <w:kern w:val="0"/>
                    </w:rPr>
                    <w:t>项目；</w:t>
                  </w:r>
                  <w:r>
                    <w:rPr>
                      <w:rFonts w:hint="eastAsia"/>
                      <w:color w:val="auto"/>
                      <w:kern w:val="0"/>
                    </w:rPr>
                    <w:t>“</w:t>
                  </w:r>
                  <w:r>
                    <w:rPr>
                      <w:color w:val="auto"/>
                      <w:kern w:val="0"/>
                    </w:rPr>
                    <w:t>新五小</w:t>
                  </w:r>
                  <w:r>
                    <w:rPr>
                      <w:rFonts w:hint="eastAsia"/>
                      <w:color w:val="auto"/>
                      <w:kern w:val="0"/>
                    </w:rPr>
                    <w:t>”</w:t>
                  </w:r>
                  <w:r>
                    <w:rPr>
                      <w:color w:val="auto"/>
                      <w:kern w:val="0"/>
                    </w:rPr>
                    <w:t>项目</w:t>
                  </w:r>
                  <w:r>
                    <w:rPr>
                      <w:rFonts w:hint="eastAsia"/>
                      <w:color w:val="auto"/>
                      <w:kern w:val="0"/>
                    </w:rPr>
                    <w:t>（</w:t>
                  </w:r>
                  <w:r>
                    <w:rPr>
                      <w:color w:val="auto"/>
                      <w:kern w:val="0"/>
                    </w:rPr>
                    <w:t>小火电机组、小玻璃厂、小水泥厂、小炼油厂、小钢铁厂</w:t>
                  </w:r>
                  <w:r>
                    <w:rPr>
                      <w:rFonts w:hint="eastAsia"/>
                      <w:color w:val="auto"/>
                      <w:kern w:val="0"/>
                    </w:rPr>
                    <w:t>）</w:t>
                  </w:r>
                  <w:r>
                    <w:rPr>
                      <w:color w:val="auto"/>
                      <w:kern w:val="0"/>
                    </w:rPr>
                    <w:t>；以及国家明令淘汰和禁止发展的能耗物耗高、环境污染严重、不符合产业政策和市场准入条件的建设项目，均禁止建设。</w:t>
                  </w:r>
                </w:p>
              </w:tc>
              <w:tc>
                <w:tcPr>
                  <w:tcW w:w="981" w:type="pct"/>
                  <w:vAlign w:val="center"/>
                </w:tcPr>
                <w:p w14:paraId="3A84EFA9">
                  <w:pPr>
                    <w:adjustRightInd w:val="0"/>
                    <w:snapToGrid w:val="0"/>
                    <w:jc w:val="center"/>
                    <w:rPr>
                      <w:color w:val="auto"/>
                      <w:kern w:val="0"/>
                    </w:rPr>
                  </w:pPr>
                  <w:r>
                    <w:rPr>
                      <w:color w:val="auto"/>
                      <w:kern w:val="0"/>
                    </w:rPr>
                    <w:t>项目行业</w:t>
                  </w:r>
                  <w:r>
                    <w:rPr>
                      <w:rFonts w:hint="eastAsia"/>
                      <w:color w:val="auto"/>
                      <w:kern w:val="0"/>
                    </w:rPr>
                    <w:t>类别为</w:t>
                  </w:r>
                  <w:r>
                    <w:rPr>
                      <w:rFonts w:hint="eastAsia"/>
                      <w:color w:val="auto"/>
                      <w:kern w:val="0"/>
                      <w:lang w:eastAsia="zh-CN"/>
                    </w:rPr>
                    <w:t>C3670汽车零部件及配件制造</w:t>
                  </w:r>
                  <w:r>
                    <w:rPr>
                      <w:color w:val="auto"/>
                      <w:kern w:val="0"/>
                    </w:rPr>
                    <w:t>，不属于以上禁止类项目</w:t>
                  </w:r>
                </w:p>
              </w:tc>
              <w:tc>
                <w:tcPr>
                  <w:tcW w:w="427" w:type="pct"/>
                  <w:vAlign w:val="center"/>
                </w:tcPr>
                <w:p w14:paraId="3A84EFAA">
                  <w:pPr>
                    <w:adjustRightInd w:val="0"/>
                    <w:snapToGrid w:val="0"/>
                    <w:jc w:val="center"/>
                    <w:rPr>
                      <w:color w:val="auto"/>
                      <w:kern w:val="0"/>
                    </w:rPr>
                  </w:pPr>
                  <w:r>
                    <w:rPr>
                      <w:color w:val="auto"/>
                      <w:kern w:val="0"/>
                    </w:rPr>
                    <w:t>相符</w:t>
                  </w:r>
                </w:p>
              </w:tc>
            </w:tr>
            <w:tr w14:paraId="3A84E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72" w:type="pct"/>
                  <w:vAlign w:val="center"/>
                </w:tcPr>
                <w:p w14:paraId="3A84EFAC">
                  <w:pPr>
                    <w:adjustRightInd w:val="0"/>
                    <w:snapToGrid w:val="0"/>
                    <w:jc w:val="center"/>
                    <w:rPr>
                      <w:color w:val="auto"/>
                      <w:kern w:val="0"/>
                    </w:rPr>
                  </w:pPr>
                  <w:r>
                    <w:rPr>
                      <w:color w:val="auto"/>
                      <w:kern w:val="0"/>
                    </w:rPr>
                    <w:t>2</w:t>
                  </w:r>
                </w:p>
              </w:tc>
              <w:tc>
                <w:tcPr>
                  <w:tcW w:w="460" w:type="pct"/>
                  <w:vAlign w:val="center"/>
                </w:tcPr>
                <w:p w14:paraId="3A84EFAD">
                  <w:pPr>
                    <w:adjustRightInd w:val="0"/>
                    <w:snapToGrid w:val="0"/>
                    <w:jc w:val="center"/>
                    <w:rPr>
                      <w:color w:val="auto"/>
                      <w:kern w:val="0"/>
                    </w:rPr>
                  </w:pPr>
                  <w:r>
                    <w:rPr>
                      <w:color w:val="auto"/>
                      <w:kern w:val="0"/>
                    </w:rPr>
                    <w:t>污染物排放管控</w:t>
                  </w:r>
                </w:p>
              </w:tc>
              <w:tc>
                <w:tcPr>
                  <w:tcW w:w="2757" w:type="pct"/>
                  <w:vAlign w:val="center"/>
                </w:tcPr>
                <w:p w14:paraId="3A84EFAE">
                  <w:pPr>
                    <w:adjustRightInd w:val="0"/>
                    <w:snapToGrid w:val="0"/>
                    <w:jc w:val="center"/>
                    <w:rPr>
                      <w:color w:val="auto"/>
                      <w:kern w:val="0"/>
                    </w:rPr>
                  </w:pPr>
                  <w:r>
                    <w:rPr>
                      <w:color w:val="auto"/>
                      <w:kern w:val="0"/>
                    </w:rPr>
                    <w:t>（1）严格实施污染物总量控制制度，根据区域环境质量改善目标，采取有效措施减少主要污染物排放总量，确保区域环境质量持续改善。（2）园区污染物排放总量不得突破环评报告及批复的总量。</w:t>
                  </w:r>
                </w:p>
              </w:tc>
              <w:tc>
                <w:tcPr>
                  <w:tcW w:w="981" w:type="pct"/>
                  <w:vAlign w:val="center"/>
                </w:tcPr>
                <w:p w14:paraId="3A84EFAF">
                  <w:pPr>
                    <w:adjustRightInd w:val="0"/>
                    <w:snapToGrid w:val="0"/>
                    <w:jc w:val="center"/>
                    <w:rPr>
                      <w:color w:val="auto"/>
                      <w:kern w:val="0"/>
                    </w:rPr>
                  </w:pPr>
                  <w:r>
                    <w:rPr>
                      <w:color w:val="auto"/>
                      <w:kern w:val="0"/>
                    </w:rPr>
                    <w:t>建设项目将根据要求向常州市金坛生态环境局申请总量</w:t>
                  </w:r>
                </w:p>
              </w:tc>
              <w:tc>
                <w:tcPr>
                  <w:tcW w:w="427" w:type="pct"/>
                  <w:vAlign w:val="center"/>
                </w:tcPr>
                <w:p w14:paraId="3A84EFB0">
                  <w:pPr>
                    <w:adjustRightInd w:val="0"/>
                    <w:snapToGrid w:val="0"/>
                    <w:jc w:val="center"/>
                    <w:rPr>
                      <w:color w:val="auto"/>
                      <w:kern w:val="0"/>
                    </w:rPr>
                  </w:pPr>
                  <w:r>
                    <w:rPr>
                      <w:color w:val="auto"/>
                      <w:kern w:val="0"/>
                    </w:rPr>
                    <w:t>相符</w:t>
                  </w:r>
                </w:p>
              </w:tc>
            </w:tr>
            <w:tr w14:paraId="3A84EF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72" w:type="pct"/>
                  <w:vAlign w:val="center"/>
                </w:tcPr>
                <w:p w14:paraId="3A84EFB2">
                  <w:pPr>
                    <w:adjustRightInd w:val="0"/>
                    <w:snapToGrid w:val="0"/>
                    <w:jc w:val="center"/>
                    <w:rPr>
                      <w:color w:val="auto"/>
                      <w:kern w:val="0"/>
                    </w:rPr>
                  </w:pPr>
                  <w:r>
                    <w:rPr>
                      <w:color w:val="auto"/>
                      <w:kern w:val="0"/>
                    </w:rPr>
                    <w:t>3</w:t>
                  </w:r>
                </w:p>
              </w:tc>
              <w:tc>
                <w:tcPr>
                  <w:tcW w:w="460" w:type="pct"/>
                  <w:vAlign w:val="center"/>
                </w:tcPr>
                <w:p w14:paraId="3A84EFB3">
                  <w:pPr>
                    <w:adjustRightInd w:val="0"/>
                    <w:snapToGrid w:val="0"/>
                    <w:jc w:val="center"/>
                    <w:rPr>
                      <w:color w:val="auto"/>
                      <w:kern w:val="0"/>
                    </w:rPr>
                  </w:pPr>
                  <w:r>
                    <w:rPr>
                      <w:color w:val="auto"/>
                      <w:kern w:val="0"/>
                    </w:rPr>
                    <w:t>环境风险防控</w:t>
                  </w:r>
                </w:p>
              </w:tc>
              <w:tc>
                <w:tcPr>
                  <w:tcW w:w="2757" w:type="pct"/>
                  <w:vAlign w:val="center"/>
                </w:tcPr>
                <w:p w14:paraId="3A84EFB4">
                  <w:pPr>
                    <w:adjustRightInd w:val="0"/>
                    <w:snapToGrid w:val="0"/>
                    <w:jc w:val="center"/>
                    <w:rPr>
                      <w:color w:val="auto"/>
                      <w:kern w:val="0"/>
                    </w:rPr>
                  </w:pPr>
                  <w:r>
                    <w:rPr>
                      <w:color w:val="auto"/>
                      <w:kern w:val="0"/>
                    </w:rPr>
                    <w:t>（1）园区建立环境应急体系，完善事故应急救援体系，加强应急物资装备储备，编制突发环境事件应急预案，定期开展演练。（2）生产、使用、储存</w:t>
                  </w:r>
                  <w:r>
                    <w:rPr>
                      <w:rFonts w:hint="eastAsia"/>
                      <w:color w:val="auto"/>
                      <w:kern w:val="0"/>
                    </w:rPr>
                    <w:t>化学品</w:t>
                  </w:r>
                  <w:r>
                    <w:rPr>
                      <w:color w:val="auto"/>
                      <w:kern w:val="0"/>
                    </w:rPr>
                    <w:t>或其他存在环境风险的企事业单位，应当制定风险防范措施，编制完善突发环境事件应急预案，防止发生环境污染事故。（3）加强环境影响跟踪监测，建立健全各环境要素监控体系，完善并落实园区日常环境监测与污染源监控计划。</w:t>
                  </w:r>
                </w:p>
              </w:tc>
              <w:tc>
                <w:tcPr>
                  <w:tcW w:w="981" w:type="pct"/>
                  <w:vAlign w:val="center"/>
                </w:tcPr>
                <w:p w14:paraId="3A84EFB5">
                  <w:pPr>
                    <w:adjustRightInd w:val="0"/>
                    <w:snapToGrid w:val="0"/>
                    <w:jc w:val="center"/>
                    <w:rPr>
                      <w:color w:val="auto"/>
                      <w:kern w:val="0"/>
                    </w:rPr>
                  </w:pPr>
                  <w:r>
                    <w:rPr>
                      <w:rFonts w:hint="eastAsia"/>
                      <w:color w:val="auto"/>
                      <w:kern w:val="0"/>
                    </w:rPr>
                    <w:t>项目生产等工程涉及到环境风险，将自行按照要求</w:t>
                  </w:r>
                  <w:r>
                    <w:rPr>
                      <w:color w:val="auto"/>
                      <w:kern w:val="0"/>
                    </w:rPr>
                    <w:t>编制完善突发环境事件应急预案，将根据要求制定监测计划</w:t>
                  </w:r>
                </w:p>
              </w:tc>
              <w:tc>
                <w:tcPr>
                  <w:tcW w:w="427" w:type="pct"/>
                  <w:vAlign w:val="center"/>
                </w:tcPr>
                <w:p w14:paraId="3A84EFB6">
                  <w:pPr>
                    <w:adjustRightInd w:val="0"/>
                    <w:snapToGrid w:val="0"/>
                    <w:jc w:val="center"/>
                    <w:rPr>
                      <w:color w:val="auto"/>
                      <w:kern w:val="0"/>
                    </w:rPr>
                  </w:pPr>
                  <w:r>
                    <w:rPr>
                      <w:color w:val="auto"/>
                      <w:kern w:val="0"/>
                    </w:rPr>
                    <w:t>相符</w:t>
                  </w:r>
                </w:p>
              </w:tc>
            </w:tr>
            <w:tr w14:paraId="3A84E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72" w:type="pct"/>
                  <w:vAlign w:val="center"/>
                </w:tcPr>
                <w:p w14:paraId="3A84EFB8">
                  <w:pPr>
                    <w:adjustRightInd w:val="0"/>
                    <w:snapToGrid w:val="0"/>
                    <w:jc w:val="center"/>
                    <w:rPr>
                      <w:color w:val="auto"/>
                      <w:kern w:val="0"/>
                    </w:rPr>
                  </w:pPr>
                  <w:r>
                    <w:rPr>
                      <w:color w:val="auto"/>
                      <w:kern w:val="0"/>
                    </w:rPr>
                    <w:t>4</w:t>
                  </w:r>
                </w:p>
              </w:tc>
              <w:tc>
                <w:tcPr>
                  <w:tcW w:w="460" w:type="pct"/>
                  <w:vAlign w:val="center"/>
                </w:tcPr>
                <w:p w14:paraId="3A84EFB9">
                  <w:pPr>
                    <w:adjustRightInd w:val="0"/>
                    <w:snapToGrid w:val="0"/>
                    <w:jc w:val="center"/>
                    <w:rPr>
                      <w:color w:val="auto"/>
                      <w:kern w:val="0"/>
                    </w:rPr>
                  </w:pPr>
                  <w:r>
                    <w:rPr>
                      <w:color w:val="auto"/>
                      <w:kern w:val="0"/>
                    </w:rPr>
                    <w:t>资源利用效率要求</w:t>
                  </w:r>
                </w:p>
              </w:tc>
              <w:tc>
                <w:tcPr>
                  <w:tcW w:w="2757" w:type="pct"/>
                  <w:vAlign w:val="center"/>
                </w:tcPr>
                <w:p w14:paraId="3A84EFBA">
                  <w:pPr>
                    <w:adjustRightInd w:val="0"/>
                    <w:snapToGrid w:val="0"/>
                    <w:jc w:val="center"/>
                    <w:rPr>
                      <w:color w:val="auto"/>
                      <w:kern w:val="0"/>
                    </w:rPr>
                  </w:pPr>
                  <w:r>
                    <w:rPr>
                      <w:color w:val="auto"/>
                      <w:kern w:val="0"/>
                    </w:rPr>
                    <w:t>（1）大力倡导使用清洁能源。（2）提升废水资源化技术，提高水资源回用率。（3）严禁自建燃煤设施。</w:t>
                  </w:r>
                </w:p>
              </w:tc>
              <w:tc>
                <w:tcPr>
                  <w:tcW w:w="981" w:type="pct"/>
                  <w:vAlign w:val="center"/>
                </w:tcPr>
                <w:p w14:paraId="3A84EFBB">
                  <w:pPr>
                    <w:adjustRightInd w:val="0"/>
                    <w:snapToGrid w:val="0"/>
                    <w:jc w:val="center"/>
                    <w:rPr>
                      <w:color w:val="auto"/>
                      <w:kern w:val="0"/>
                    </w:rPr>
                  </w:pPr>
                  <w:r>
                    <w:rPr>
                      <w:color w:val="auto"/>
                      <w:kern w:val="0"/>
                    </w:rPr>
                    <w:t>项目无生产废水排放，不使用燃料</w:t>
                  </w:r>
                  <w:r>
                    <w:rPr>
                      <w:rFonts w:hint="eastAsia"/>
                      <w:color w:val="auto"/>
                      <w:kern w:val="0"/>
                    </w:rPr>
                    <w:t>，不建设燃煤设施</w:t>
                  </w:r>
                </w:p>
              </w:tc>
              <w:tc>
                <w:tcPr>
                  <w:tcW w:w="427" w:type="pct"/>
                  <w:vAlign w:val="center"/>
                </w:tcPr>
                <w:p w14:paraId="3A84EFBC">
                  <w:pPr>
                    <w:adjustRightInd w:val="0"/>
                    <w:snapToGrid w:val="0"/>
                    <w:jc w:val="center"/>
                    <w:rPr>
                      <w:color w:val="auto"/>
                      <w:kern w:val="0"/>
                    </w:rPr>
                  </w:pPr>
                  <w:r>
                    <w:rPr>
                      <w:color w:val="auto"/>
                      <w:kern w:val="0"/>
                    </w:rPr>
                    <w:t>相符</w:t>
                  </w:r>
                </w:p>
              </w:tc>
            </w:tr>
          </w:tbl>
          <w:p w14:paraId="3A84EFBE">
            <w:pPr>
              <w:autoSpaceDE w:val="0"/>
              <w:autoSpaceDN w:val="0"/>
              <w:adjustRightInd w:val="0"/>
              <w:snapToGrid w:val="0"/>
              <w:spacing w:line="360" w:lineRule="auto"/>
              <w:ind w:firstLine="420" w:firstLineChars="200"/>
              <w:jc w:val="left"/>
              <w:rPr>
                <w:rFonts w:cs="宋体"/>
                <w:color w:val="auto"/>
                <w:kern w:val="0"/>
                <w:lang w:bidi="ar"/>
              </w:rPr>
            </w:pPr>
            <w:r>
              <w:rPr>
                <w:rFonts w:hint="eastAsia"/>
                <w:color w:val="auto"/>
              </w:rPr>
              <w:t>根据上表分析可知，本项目符合</w:t>
            </w:r>
            <w:r>
              <w:rPr>
                <w:color w:val="auto"/>
              </w:rPr>
              <w:t>《常州市</w:t>
            </w:r>
            <w:r>
              <w:rPr>
                <w:rFonts w:hint="eastAsia"/>
                <w:color w:val="auto"/>
              </w:rPr>
              <w:t>“</w:t>
            </w:r>
            <w:r>
              <w:rPr>
                <w:color w:val="auto"/>
              </w:rPr>
              <w:t>三线一单</w:t>
            </w:r>
            <w:r>
              <w:rPr>
                <w:rFonts w:hint="eastAsia"/>
                <w:color w:val="auto"/>
              </w:rPr>
              <w:t>”</w:t>
            </w:r>
            <w:r>
              <w:rPr>
                <w:color w:val="auto"/>
              </w:rPr>
              <w:t>生态环境分区管控实施方案》（常环[2020]95号）</w:t>
            </w:r>
            <w:r>
              <w:rPr>
                <w:rFonts w:hint="eastAsia"/>
                <w:color w:val="auto"/>
              </w:rPr>
              <w:t>中的各项管控要求</w:t>
            </w:r>
            <w:r>
              <w:rPr>
                <w:rFonts w:hint="eastAsia" w:cs="宋体"/>
                <w:color w:val="auto"/>
                <w:kern w:val="0"/>
                <w:lang w:bidi="ar"/>
              </w:rPr>
              <w:t>。</w:t>
            </w:r>
          </w:p>
          <w:p w14:paraId="3A84EFBF">
            <w:pPr>
              <w:pStyle w:val="5"/>
              <w:adjustRightInd w:val="0"/>
              <w:snapToGrid w:val="0"/>
              <w:spacing w:line="360" w:lineRule="auto"/>
              <w:ind w:firstLine="482"/>
              <w:rPr>
                <w:b/>
                <w:bCs/>
                <w:color w:val="auto"/>
                <w:szCs w:val="21"/>
              </w:rPr>
            </w:pPr>
            <w:r>
              <w:rPr>
                <w:b/>
                <w:bCs/>
                <w:color w:val="auto"/>
                <w:szCs w:val="21"/>
              </w:rPr>
              <w:t>（</w:t>
            </w:r>
            <w:r>
              <w:rPr>
                <w:rFonts w:hint="eastAsia"/>
                <w:b/>
                <w:bCs/>
                <w:color w:val="auto"/>
                <w:szCs w:val="21"/>
              </w:rPr>
              <w:t>3</w:t>
            </w:r>
            <w:r>
              <w:rPr>
                <w:b/>
                <w:bCs/>
                <w:color w:val="auto"/>
                <w:szCs w:val="21"/>
              </w:rPr>
              <w:t>）与《省生态环境厅关于进一步做好建设项目环境审批工作的通知》（苏环办[2019]36号）相符性</w:t>
            </w:r>
          </w:p>
          <w:p w14:paraId="3A84EFC0">
            <w:pPr>
              <w:pStyle w:val="5"/>
              <w:adjustRightInd w:val="0"/>
              <w:snapToGrid w:val="0"/>
              <w:spacing w:line="360" w:lineRule="auto"/>
              <w:ind w:firstLine="480"/>
              <w:rPr>
                <w:b/>
                <w:bCs/>
                <w:color w:val="auto"/>
                <w:szCs w:val="21"/>
              </w:rPr>
            </w:pPr>
            <w:r>
              <w:rPr>
                <w:color w:val="auto"/>
                <w:szCs w:val="21"/>
              </w:rPr>
              <w:t>项目与《省生态环境厅关于进一步做好建设项目环境审批工作的通知》（苏环办[2019]36号）相符性分析见</w:t>
            </w:r>
            <w:r>
              <w:rPr>
                <w:rFonts w:hint="eastAsia"/>
                <w:color w:val="auto"/>
                <w:szCs w:val="21"/>
              </w:rPr>
              <w:t>下表</w:t>
            </w:r>
            <w:r>
              <w:rPr>
                <w:color w:val="auto"/>
                <w:szCs w:val="21"/>
              </w:rPr>
              <w:t>。</w:t>
            </w:r>
          </w:p>
          <w:p w14:paraId="3A84EFC1">
            <w:pPr>
              <w:pStyle w:val="5"/>
              <w:adjustRightInd w:val="0"/>
              <w:snapToGrid w:val="0"/>
              <w:ind w:firstLine="0"/>
              <w:jc w:val="center"/>
              <w:rPr>
                <w:b/>
                <w:bCs/>
                <w:color w:val="auto"/>
                <w:szCs w:val="21"/>
              </w:rPr>
            </w:pPr>
            <w:r>
              <w:rPr>
                <w:b/>
                <w:bCs/>
                <w:color w:val="auto"/>
                <w:szCs w:val="21"/>
              </w:rPr>
              <w:t>表1-</w:t>
            </w:r>
            <w:r>
              <w:rPr>
                <w:rFonts w:hint="eastAsia"/>
                <w:b/>
                <w:bCs/>
                <w:color w:val="auto"/>
                <w:szCs w:val="21"/>
                <w:lang w:val="en-US" w:eastAsia="zh-CN"/>
              </w:rPr>
              <w:t>8</w:t>
            </w:r>
            <w:r>
              <w:rPr>
                <w:rFonts w:hint="eastAsia"/>
                <w:b/>
                <w:bCs/>
                <w:color w:val="auto"/>
                <w:szCs w:val="21"/>
              </w:rPr>
              <w:t xml:space="preserve">   </w:t>
            </w:r>
            <w:r>
              <w:rPr>
                <w:b/>
                <w:bCs/>
                <w:color w:val="auto"/>
                <w:szCs w:val="21"/>
              </w:rPr>
              <w:t>与《省生态环境厅关于进一步做好建设项目环评审批工作的通知》相符性分析</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562"/>
              <w:gridCol w:w="2856"/>
              <w:gridCol w:w="734"/>
            </w:tblGrid>
            <w:tr w14:paraId="3A84E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797" w:type="pct"/>
                  <w:vAlign w:val="center"/>
                </w:tcPr>
                <w:p w14:paraId="3A84EFC2">
                  <w:pPr>
                    <w:pStyle w:val="558"/>
                    <w:adjustRightInd w:val="0"/>
                    <w:rPr>
                      <w:b/>
                      <w:color w:val="auto"/>
                    </w:rPr>
                  </w:pPr>
                  <w:r>
                    <w:rPr>
                      <w:b/>
                      <w:color w:val="auto"/>
                    </w:rPr>
                    <w:t>与项目相关要求</w:t>
                  </w:r>
                </w:p>
              </w:tc>
              <w:tc>
                <w:tcPr>
                  <w:tcW w:w="1751" w:type="pct"/>
                  <w:vAlign w:val="center"/>
                </w:tcPr>
                <w:p w14:paraId="3A84EFC3">
                  <w:pPr>
                    <w:pStyle w:val="558"/>
                    <w:adjustRightInd w:val="0"/>
                    <w:rPr>
                      <w:b/>
                      <w:color w:val="auto"/>
                    </w:rPr>
                  </w:pPr>
                  <w:r>
                    <w:rPr>
                      <w:b/>
                      <w:color w:val="auto"/>
                    </w:rPr>
                    <w:t>本项目相符性分析</w:t>
                  </w:r>
                </w:p>
              </w:tc>
              <w:tc>
                <w:tcPr>
                  <w:tcW w:w="450" w:type="pct"/>
                  <w:vAlign w:val="center"/>
                </w:tcPr>
                <w:p w14:paraId="3A84EFC4">
                  <w:pPr>
                    <w:pStyle w:val="558"/>
                    <w:adjustRightInd w:val="0"/>
                    <w:rPr>
                      <w:b/>
                      <w:color w:val="auto"/>
                    </w:rPr>
                  </w:pPr>
                  <w:r>
                    <w:rPr>
                      <w:b/>
                      <w:color w:val="auto"/>
                    </w:rPr>
                    <w:t>是否符合</w:t>
                  </w:r>
                </w:p>
              </w:tc>
            </w:tr>
            <w:tr w14:paraId="3A84E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797" w:type="pct"/>
                  <w:vAlign w:val="center"/>
                </w:tcPr>
                <w:p w14:paraId="3A84EFC6">
                  <w:pPr>
                    <w:adjustRightInd w:val="0"/>
                    <w:snapToGrid w:val="0"/>
                    <w:jc w:val="center"/>
                    <w:rPr>
                      <w:color w:val="auto"/>
                    </w:rPr>
                  </w:pPr>
                  <w:r>
                    <w:rPr>
                      <w:color w:val="auto"/>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止措施；（5）建设项目的环境影响报告书、环境影响报告表的基础资料数据明显不实，内容存在重大缺陷、遗漏，或者环境影响评价结论不明确、不合理。</w:t>
                  </w:r>
                </w:p>
              </w:tc>
              <w:tc>
                <w:tcPr>
                  <w:tcW w:w="1751" w:type="pct"/>
                  <w:vAlign w:val="center"/>
                </w:tcPr>
                <w:p w14:paraId="3A84EFC7">
                  <w:pPr>
                    <w:adjustRightInd w:val="0"/>
                    <w:snapToGrid w:val="0"/>
                    <w:jc w:val="center"/>
                    <w:rPr>
                      <w:color w:val="auto"/>
                    </w:rPr>
                  </w:pPr>
                  <w:r>
                    <w:rPr>
                      <w:color w:val="auto"/>
                    </w:rPr>
                    <w:t>（1）项目选址位于</w:t>
                  </w:r>
                  <w:r>
                    <w:rPr>
                      <w:rFonts w:hint="eastAsia"/>
                      <w:color w:val="auto"/>
                    </w:rPr>
                    <w:t>江苏省常州市金坛区薛埠镇奥托立夫大道1号</w:t>
                  </w:r>
                  <w:r>
                    <w:rPr>
                      <w:color w:val="auto"/>
                    </w:rPr>
                    <w:t>，符合其规划要求；（2）项目采取的措施能够满足区域环境质量改善目标管理要求；（3）项目采取的污染防治措施能够满足污染物排放达到相关排放标准；（4）本项目为</w:t>
                  </w:r>
                  <w:r>
                    <w:rPr>
                      <w:rFonts w:hint="eastAsia"/>
                      <w:color w:val="auto"/>
                      <w:lang w:val="en-US" w:eastAsia="zh-CN"/>
                    </w:rPr>
                    <w:t>扩建</w:t>
                  </w:r>
                  <w:r>
                    <w:rPr>
                      <w:color w:val="auto"/>
                    </w:rPr>
                    <w:t>项目，</w:t>
                  </w:r>
                  <w:r>
                    <w:rPr>
                      <w:rFonts w:hint="eastAsia"/>
                      <w:color w:val="auto"/>
                    </w:rPr>
                    <w:t>无原有环境污染和生态破坏；</w:t>
                  </w:r>
                  <w:r>
                    <w:rPr>
                      <w:color w:val="auto"/>
                    </w:rPr>
                    <w:t>（5）本项目基础资料数据符合实际情况。</w:t>
                  </w:r>
                </w:p>
              </w:tc>
              <w:tc>
                <w:tcPr>
                  <w:tcW w:w="450" w:type="pct"/>
                  <w:vAlign w:val="center"/>
                </w:tcPr>
                <w:p w14:paraId="3A84EFC8">
                  <w:pPr>
                    <w:pStyle w:val="558"/>
                    <w:adjustRightInd w:val="0"/>
                    <w:rPr>
                      <w:color w:val="auto"/>
                    </w:rPr>
                  </w:pPr>
                  <w:r>
                    <w:rPr>
                      <w:color w:val="auto"/>
                    </w:rPr>
                    <w:t>符合</w:t>
                  </w:r>
                </w:p>
              </w:tc>
            </w:tr>
            <w:tr w14:paraId="3A84E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797" w:type="pct"/>
                  <w:vAlign w:val="center"/>
                </w:tcPr>
                <w:p w14:paraId="3A84EFCA">
                  <w:pPr>
                    <w:adjustRightInd w:val="0"/>
                    <w:snapToGrid w:val="0"/>
                    <w:jc w:val="center"/>
                    <w:rPr>
                      <w:color w:val="auto"/>
                    </w:rPr>
                  </w:pPr>
                  <w:r>
                    <w:rPr>
                      <w:color w:val="auto"/>
                    </w:rPr>
                    <w:t>排放主要污染物的建设项目，在环境影响评价文件审批前，须取得主要污染物排放总量指标。</w:t>
                  </w:r>
                </w:p>
              </w:tc>
              <w:tc>
                <w:tcPr>
                  <w:tcW w:w="1751" w:type="pct"/>
                  <w:vAlign w:val="center"/>
                </w:tcPr>
                <w:p w14:paraId="3A84EFCB">
                  <w:pPr>
                    <w:adjustRightInd w:val="0"/>
                    <w:snapToGrid w:val="0"/>
                    <w:jc w:val="center"/>
                    <w:rPr>
                      <w:color w:val="auto"/>
                    </w:rPr>
                  </w:pPr>
                  <w:r>
                    <w:rPr>
                      <w:color w:val="auto"/>
                    </w:rPr>
                    <w:t>本项目需按要求取得总量指标。</w:t>
                  </w:r>
                </w:p>
              </w:tc>
              <w:tc>
                <w:tcPr>
                  <w:tcW w:w="450" w:type="pct"/>
                  <w:vAlign w:val="center"/>
                </w:tcPr>
                <w:p w14:paraId="3A84EFCC">
                  <w:pPr>
                    <w:adjustRightInd w:val="0"/>
                    <w:snapToGrid w:val="0"/>
                    <w:jc w:val="center"/>
                    <w:rPr>
                      <w:color w:val="auto"/>
                    </w:rPr>
                  </w:pPr>
                  <w:r>
                    <w:rPr>
                      <w:color w:val="auto"/>
                    </w:rPr>
                    <w:t>符合</w:t>
                  </w:r>
                </w:p>
              </w:tc>
            </w:tr>
            <w:tr w14:paraId="3A84E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797" w:type="pct"/>
                  <w:vAlign w:val="center"/>
                </w:tcPr>
                <w:p w14:paraId="3A84EFCE">
                  <w:pPr>
                    <w:adjustRightInd w:val="0"/>
                    <w:snapToGrid w:val="0"/>
                    <w:jc w:val="center"/>
                    <w:rPr>
                      <w:color w:val="auto"/>
                    </w:rPr>
                  </w:pPr>
                  <w:r>
                    <w:rPr>
                      <w:color w:val="auto"/>
                    </w:rPr>
                    <w:t>严禁在长江干流及主要支流岸线1公里范围内新建布局化工园区和化工企业。</w:t>
                  </w:r>
                </w:p>
              </w:tc>
              <w:tc>
                <w:tcPr>
                  <w:tcW w:w="1751" w:type="pct"/>
                  <w:vAlign w:val="center"/>
                </w:tcPr>
                <w:p w14:paraId="3A84EFCF">
                  <w:pPr>
                    <w:adjustRightInd w:val="0"/>
                    <w:snapToGrid w:val="0"/>
                    <w:jc w:val="center"/>
                    <w:rPr>
                      <w:color w:val="auto"/>
                    </w:rPr>
                  </w:pPr>
                  <w:r>
                    <w:rPr>
                      <w:color w:val="auto"/>
                    </w:rPr>
                    <w:t>本项目不在长江干流及主要支流岸线1公里范围内。</w:t>
                  </w:r>
                </w:p>
              </w:tc>
              <w:tc>
                <w:tcPr>
                  <w:tcW w:w="450" w:type="pct"/>
                  <w:vAlign w:val="center"/>
                </w:tcPr>
                <w:p w14:paraId="3A84EFD0">
                  <w:pPr>
                    <w:adjustRightInd w:val="0"/>
                    <w:snapToGrid w:val="0"/>
                    <w:jc w:val="center"/>
                    <w:rPr>
                      <w:color w:val="auto"/>
                    </w:rPr>
                  </w:pPr>
                  <w:r>
                    <w:rPr>
                      <w:color w:val="auto"/>
                    </w:rPr>
                    <w:t>符合</w:t>
                  </w:r>
                </w:p>
              </w:tc>
            </w:tr>
            <w:tr w14:paraId="3A84EF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797" w:type="pct"/>
                  <w:vAlign w:val="center"/>
                </w:tcPr>
                <w:p w14:paraId="3A84EFD2">
                  <w:pPr>
                    <w:adjustRightInd w:val="0"/>
                    <w:snapToGrid w:val="0"/>
                    <w:jc w:val="center"/>
                    <w:rPr>
                      <w:color w:val="auto"/>
                    </w:rPr>
                  </w:pPr>
                  <w:r>
                    <w:rPr>
                      <w:color w:val="auto"/>
                    </w:rPr>
                    <w:t>生态保护红线原则上按禁止开发区域的要求进行管理，严禁不符合主体功能定位的各类开发活动，严禁任意改变用途。</w:t>
                  </w:r>
                </w:p>
              </w:tc>
              <w:tc>
                <w:tcPr>
                  <w:tcW w:w="1751" w:type="pct"/>
                  <w:vAlign w:val="center"/>
                </w:tcPr>
                <w:p w14:paraId="3A84EFD3">
                  <w:pPr>
                    <w:adjustRightInd w:val="0"/>
                    <w:snapToGrid w:val="0"/>
                    <w:jc w:val="center"/>
                    <w:rPr>
                      <w:color w:val="auto"/>
                    </w:rPr>
                  </w:pPr>
                  <w:r>
                    <w:rPr>
                      <w:color w:val="auto"/>
                    </w:rPr>
                    <w:t>本项目不在生态保护红线范围内。</w:t>
                  </w:r>
                </w:p>
              </w:tc>
              <w:tc>
                <w:tcPr>
                  <w:tcW w:w="450" w:type="pct"/>
                  <w:vAlign w:val="center"/>
                </w:tcPr>
                <w:p w14:paraId="3A84EFD4">
                  <w:pPr>
                    <w:adjustRightInd w:val="0"/>
                    <w:snapToGrid w:val="0"/>
                    <w:jc w:val="center"/>
                    <w:rPr>
                      <w:color w:val="auto"/>
                    </w:rPr>
                  </w:pPr>
                  <w:r>
                    <w:rPr>
                      <w:color w:val="auto"/>
                    </w:rPr>
                    <w:t>符合</w:t>
                  </w:r>
                </w:p>
              </w:tc>
            </w:tr>
            <w:tr w14:paraId="3A84EF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797" w:type="pct"/>
                  <w:vAlign w:val="center"/>
                </w:tcPr>
                <w:p w14:paraId="3A84EFD6">
                  <w:pPr>
                    <w:adjustRightInd w:val="0"/>
                    <w:snapToGrid w:val="0"/>
                    <w:jc w:val="center"/>
                    <w:rPr>
                      <w:color w:val="auto"/>
                    </w:rPr>
                  </w:pPr>
                  <w:r>
                    <w:rPr>
                      <w:color w:val="auto"/>
                    </w:rPr>
                    <w:t>禁止审批无法落实危险废物利用、处置途径的项目，从严审批危险废物产生量大、本地无配套利用处置能力、且需设区市统筹解决的项目。</w:t>
                  </w:r>
                </w:p>
              </w:tc>
              <w:tc>
                <w:tcPr>
                  <w:tcW w:w="1751" w:type="pct"/>
                  <w:vAlign w:val="center"/>
                </w:tcPr>
                <w:p w14:paraId="3A84EFD7">
                  <w:pPr>
                    <w:adjustRightInd w:val="0"/>
                    <w:snapToGrid w:val="0"/>
                    <w:jc w:val="center"/>
                    <w:rPr>
                      <w:color w:val="auto"/>
                    </w:rPr>
                  </w:pPr>
                  <w:r>
                    <w:rPr>
                      <w:color w:val="auto"/>
                    </w:rPr>
                    <w:t>本项目产生的危险废物</w:t>
                  </w:r>
                  <w:r>
                    <w:rPr>
                      <w:rFonts w:hint="eastAsia"/>
                      <w:color w:val="auto"/>
                    </w:rPr>
                    <w:t>均收集后</w:t>
                  </w:r>
                  <w:r>
                    <w:rPr>
                      <w:color w:val="auto"/>
                    </w:rPr>
                    <w:t>委托有资质单位处置。</w:t>
                  </w:r>
                </w:p>
              </w:tc>
              <w:tc>
                <w:tcPr>
                  <w:tcW w:w="450" w:type="pct"/>
                  <w:vAlign w:val="center"/>
                </w:tcPr>
                <w:p w14:paraId="3A84EFD8">
                  <w:pPr>
                    <w:adjustRightInd w:val="0"/>
                    <w:snapToGrid w:val="0"/>
                    <w:jc w:val="center"/>
                    <w:rPr>
                      <w:color w:val="auto"/>
                    </w:rPr>
                  </w:pPr>
                  <w:r>
                    <w:rPr>
                      <w:color w:val="auto"/>
                    </w:rPr>
                    <w:t>符合</w:t>
                  </w:r>
                </w:p>
              </w:tc>
            </w:tr>
          </w:tbl>
          <w:p w14:paraId="3A84EFDA">
            <w:pPr>
              <w:pStyle w:val="2"/>
              <w:keepNext/>
              <w:keepLines/>
              <w:pageBreakBefore w:val="0"/>
              <w:widowControl w:val="0"/>
              <w:kinsoku/>
              <w:wordWrap/>
              <w:overflowPunct/>
              <w:topLinePunct w:val="0"/>
              <w:autoSpaceDE/>
              <w:autoSpaceDN/>
              <w:bidi w:val="0"/>
              <w:adjustRightInd w:val="0"/>
              <w:snapToGrid w:val="0"/>
              <w:spacing w:before="0" w:after="0" w:line="360" w:lineRule="auto"/>
              <w:ind w:firstLine="422" w:firstLineChars="200"/>
              <w:textAlignment w:val="auto"/>
              <w:rPr>
                <w:rFonts w:hint="eastAsia" w:eastAsia="宋体"/>
                <w:b/>
                <w:bCs/>
                <w:color w:val="auto"/>
                <w:kern w:val="0"/>
                <w:sz w:val="21"/>
                <w:szCs w:val="21"/>
                <w:lang w:val="en-US" w:eastAsia="zh-CN"/>
              </w:rPr>
            </w:pPr>
            <w:r>
              <w:rPr>
                <w:rFonts w:hint="eastAsia"/>
                <w:b/>
                <w:bCs/>
                <w:color w:val="auto"/>
                <w:kern w:val="0"/>
                <w:sz w:val="21"/>
                <w:szCs w:val="21"/>
                <w:lang w:val="en-US" w:eastAsia="zh-CN"/>
              </w:rPr>
              <w:t>4、与《省政府办公厅关于加强危险废物污染防治工作的意见》（苏政办发[2018]91号）的相符性分析</w:t>
            </w:r>
          </w:p>
          <w:p w14:paraId="0691D7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表1-9   与《省政府办公厅关于加强危险废物污染防治工作的意见》（苏政办发[2018]91号）的相符性分析</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91"/>
              <w:gridCol w:w="3555"/>
              <w:gridCol w:w="2895"/>
              <w:gridCol w:w="909"/>
            </w:tblGrid>
            <w:tr w14:paraId="2CB762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791" w:type="dxa"/>
                  <w:tcBorders>
                    <w:tl2br w:val="nil"/>
                    <w:tr2bl w:val="nil"/>
                  </w:tcBorders>
                  <w:vAlign w:val="center"/>
                </w:tcPr>
                <w:p w14:paraId="71B8BC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类别</w:t>
                  </w:r>
                </w:p>
              </w:tc>
              <w:tc>
                <w:tcPr>
                  <w:tcW w:w="3555" w:type="dxa"/>
                  <w:tcBorders>
                    <w:tl2br w:val="nil"/>
                    <w:tr2bl w:val="nil"/>
                  </w:tcBorders>
                  <w:vAlign w:val="center"/>
                </w:tcPr>
                <w:p w14:paraId="617105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文件要求</w:t>
                  </w:r>
                </w:p>
              </w:tc>
              <w:tc>
                <w:tcPr>
                  <w:tcW w:w="2895" w:type="dxa"/>
                  <w:tcBorders>
                    <w:tl2br w:val="nil"/>
                    <w:tr2bl w:val="nil"/>
                  </w:tcBorders>
                  <w:vAlign w:val="center"/>
                </w:tcPr>
                <w:p w14:paraId="6E466B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本项目</w:t>
                  </w:r>
                </w:p>
              </w:tc>
              <w:tc>
                <w:tcPr>
                  <w:tcW w:w="909" w:type="dxa"/>
                  <w:tcBorders>
                    <w:tl2br w:val="nil"/>
                    <w:tr2bl w:val="nil"/>
                  </w:tcBorders>
                  <w:vAlign w:val="center"/>
                </w:tcPr>
                <w:p w14:paraId="6B7194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相符性</w:t>
                  </w:r>
                </w:p>
              </w:tc>
            </w:tr>
            <w:tr w14:paraId="1ACD915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91" w:type="dxa"/>
                  <w:vMerge w:val="restart"/>
                  <w:tcBorders>
                    <w:tl2br w:val="nil"/>
                    <w:tr2bl w:val="nil"/>
                  </w:tcBorders>
                  <w:vAlign w:val="center"/>
                </w:tcPr>
                <w:p w14:paraId="78ECE4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着力调整产业结构</w:t>
                  </w:r>
                </w:p>
              </w:tc>
              <w:tc>
                <w:tcPr>
                  <w:tcW w:w="3555" w:type="dxa"/>
                  <w:tcBorders>
                    <w:tl2br w:val="nil"/>
                    <w:tr2bl w:val="nil"/>
                  </w:tcBorders>
                  <w:vAlign w:val="center"/>
                </w:tcPr>
                <w:p w14:paraId="2F6D96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推动产业结构优化调整，提升工业绿色发展水平，不得新建、改建、扩建三类中间体项目，减少低价值、难处理危险废物的产生量。严格淘汰落后产能，依法关闭规模小、污染重、危险废物治理难度大的企业。</w:t>
                  </w:r>
                </w:p>
              </w:tc>
              <w:tc>
                <w:tcPr>
                  <w:tcW w:w="2895" w:type="dxa"/>
                  <w:tcBorders>
                    <w:tl2br w:val="nil"/>
                    <w:tr2bl w:val="nil"/>
                  </w:tcBorders>
                  <w:vAlign w:val="center"/>
                </w:tcPr>
                <w:p w14:paraId="773CB0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本项目不属于三类中间体项目，危废仓库面积为274平方米，用于暂存厂内产生的危废等</w:t>
                  </w:r>
                </w:p>
              </w:tc>
              <w:tc>
                <w:tcPr>
                  <w:tcW w:w="909" w:type="dxa"/>
                  <w:tcBorders>
                    <w:tl2br w:val="nil"/>
                    <w:tr2bl w:val="nil"/>
                  </w:tcBorders>
                  <w:vAlign w:val="center"/>
                </w:tcPr>
                <w:p w14:paraId="74DC5B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相符</w:t>
                  </w:r>
                </w:p>
              </w:tc>
            </w:tr>
            <w:tr w14:paraId="24328A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91" w:type="dxa"/>
                  <w:vMerge w:val="continue"/>
                  <w:tcBorders>
                    <w:tl2br w:val="nil"/>
                    <w:tr2bl w:val="nil"/>
                  </w:tcBorders>
                  <w:vAlign w:val="center"/>
                </w:tcPr>
                <w:p w14:paraId="2C26DD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p>
              </w:tc>
              <w:tc>
                <w:tcPr>
                  <w:tcW w:w="3555" w:type="dxa"/>
                  <w:tcBorders>
                    <w:tl2br w:val="nil"/>
                    <w:tr2bl w:val="nil"/>
                  </w:tcBorders>
                  <w:vAlign w:val="center"/>
                </w:tcPr>
                <w:p w14:paraId="3AFBC7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对年产危险废物量500吨以上且当年均未落实处置去向，以及累计贮存2000吨以上的化工企业，督促企业限期整改，未按要求完成整改的，依法依规予以处理。</w:t>
                  </w:r>
                </w:p>
              </w:tc>
              <w:tc>
                <w:tcPr>
                  <w:tcW w:w="2895" w:type="dxa"/>
                  <w:tcBorders>
                    <w:tl2br w:val="nil"/>
                    <w:tr2bl w:val="nil"/>
                  </w:tcBorders>
                  <w:vAlign w:val="center"/>
                </w:tcPr>
                <w:p w14:paraId="0E511B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企业危废均落实处置，不属于化工企业</w:t>
                  </w:r>
                </w:p>
              </w:tc>
              <w:tc>
                <w:tcPr>
                  <w:tcW w:w="909" w:type="dxa"/>
                  <w:tcBorders>
                    <w:tl2br w:val="nil"/>
                    <w:tr2bl w:val="nil"/>
                  </w:tcBorders>
                  <w:vAlign w:val="center"/>
                </w:tcPr>
                <w:p w14:paraId="5D51A0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相符</w:t>
                  </w:r>
                </w:p>
              </w:tc>
            </w:tr>
            <w:tr w14:paraId="555364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91" w:type="dxa"/>
                  <w:tcBorders>
                    <w:tl2br w:val="nil"/>
                    <w:tr2bl w:val="nil"/>
                  </w:tcBorders>
                  <w:vAlign w:val="center"/>
                </w:tcPr>
                <w:p w14:paraId="24D06F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严格涉危项目准入</w:t>
                  </w:r>
                </w:p>
              </w:tc>
              <w:tc>
                <w:tcPr>
                  <w:tcW w:w="3555" w:type="dxa"/>
                  <w:tcBorders>
                    <w:tl2br w:val="nil"/>
                    <w:tr2bl w:val="nil"/>
                  </w:tcBorders>
                  <w:vAlign w:val="center"/>
                </w:tcPr>
                <w:p w14:paraId="4DFB91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严格控制产生危险废物的项目建设，禁止审批无法落实危险废物利用、处置途径的项目，从严审批危险废物产生量大、本地无法配套利用处置能力、且需设区市统筹解决的项目。</w:t>
                  </w:r>
                </w:p>
              </w:tc>
              <w:tc>
                <w:tcPr>
                  <w:tcW w:w="2895" w:type="dxa"/>
                  <w:tcBorders>
                    <w:tl2br w:val="nil"/>
                    <w:tr2bl w:val="nil"/>
                  </w:tcBorders>
                  <w:vAlign w:val="center"/>
                </w:tcPr>
                <w:p w14:paraId="6C6D00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本项目产生的危险废物均能有效处置，处理处置率100%，不会对周围环境产生二次影响</w:t>
                  </w:r>
                </w:p>
              </w:tc>
              <w:tc>
                <w:tcPr>
                  <w:tcW w:w="909" w:type="dxa"/>
                  <w:tcBorders>
                    <w:tl2br w:val="nil"/>
                    <w:tr2bl w:val="nil"/>
                  </w:tcBorders>
                  <w:vAlign w:val="center"/>
                </w:tcPr>
                <w:p w14:paraId="11C74E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相符</w:t>
                  </w:r>
                </w:p>
              </w:tc>
            </w:tr>
            <w:tr w14:paraId="687378A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91" w:type="dxa"/>
                  <w:tcBorders>
                    <w:tl2br w:val="nil"/>
                    <w:tr2bl w:val="nil"/>
                  </w:tcBorders>
                  <w:vAlign w:val="center"/>
                </w:tcPr>
                <w:p w14:paraId="071643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强化规范化管理</w:t>
                  </w:r>
                </w:p>
              </w:tc>
              <w:tc>
                <w:tcPr>
                  <w:tcW w:w="3555" w:type="dxa"/>
                  <w:tcBorders>
                    <w:tl2br w:val="nil"/>
                    <w:tr2bl w:val="nil"/>
                  </w:tcBorders>
                  <w:vAlign w:val="center"/>
                </w:tcPr>
                <w:p w14:paraId="54C053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落实企业污染防治主体责任，严格执行危险废物各项法律法规和标准规范，以及危险废物申报登记、经营许可、转移联单、应急预案等管理制度。</w:t>
                  </w:r>
                </w:p>
              </w:tc>
              <w:tc>
                <w:tcPr>
                  <w:tcW w:w="2895" w:type="dxa"/>
                  <w:tcBorders>
                    <w:tl2br w:val="nil"/>
                    <w:tr2bl w:val="nil"/>
                  </w:tcBorders>
                  <w:vAlign w:val="center"/>
                </w:tcPr>
                <w:p w14:paraId="7F675B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企业在今后生产过程中，将严格执行危险废物各项法律法规和标准规范，以及危险废物申报登记、转移联单、应急预案等管理制度</w:t>
                  </w:r>
                </w:p>
              </w:tc>
              <w:tc>
                <w:tcPr>
                  <w:tcW w:w="909" w:type="dxa"/>
                  <w:tcBorders>
                    <w:tl2br w:val="nil"/>
                    <w:tr2bl w:val="nil"/>
                  </w:tcBorders>
                  <w:vAlign w:val="center"/>
                </w:tcPr>
                <w:p w14:paraId="4BCCED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相符</w:t>
                  </w:r>
                </w:p>
              </w:tc>
            </w:tr>
          </w:tbl>
          <w:p w14:paraId="5FB4DE3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sz w:val="21"/>
                <w:szCs w:val="21"/>
              </w:rPr>
            </w:pPr>
            <w:r>
              <w:rPr>
                <w:rFonts w:hint="eastAsia"/>
                <w:color w:val="auto"/>
                <w:sz w:val="21"/>
                <w:szCs w:val="21"/>
              </w:rPr>
              <w:t>由上表可知，本项目符合苏政办发[2018]91 号文的相关要求。</w:t>
            </w:r>
          </w:p>
          <w:p w14:paraId="06E6D533">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eastAsia="宋体"/>
                <w:b/>
                <w:bCs/>
                <w:color w:val="auto"/>
                <w:kern w:val="0"/>
                <w:sz w:val="21"/>
                <w:szCs w:val="21"/>
                <w:lang w:val="en-US" w:eastAsia="zh-CN"/>
              </w:rPr>
            </w:pPr>
            <w:r>
              <w:rPr>
                <w:rFonts w:hint="eastAsia"/>
                <w:b/>
                <w:bCs/>
                <w:color w:val="auto"/>
                <w:kern w:val="0"/>
                <w:sz w:val="21"/>
                <w:szCs w:val="21"/>
                <w:lang w:val="en-US" w:eastAsia="zh-CN"/>
              </w:rPr>
              <w:t>5、与《常州市生态环境局关于进一步加强危险废物处理处置能力建设的指导意见》（常环[2021]33号）的相符性分析</w:t>
            </w:r>
          </w:p>
          <w:p w14:paraId="3D1C63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auto"/>
                <w:sz w:val="21"/>
                <w:szCs w:val="21"/>
                <w:lang w:val="en-US" w:eastAsia="zh-CN"/>
              </w:rPr>
            </w:pPr>
            <w:r>
              <w:rPr>
                <w:rFonts w:hint="eastAsia"/>
                <w:b/>
                <w:bCs/>
                <w:color w:val="auto"/>
                <w:kern w:val="0"/>
                <w:sz w:val="21"/>
                <w:szCs w:val="21"/>
                <w:lang w:val="en-US" w:eastAsia="zh-CN"/>
              </w:rPr>
              <w:t>表1-10   与《常州市生态环境局关于进一步加强危险废物处理处置能力建设的指导意见》（常环[2021]33号）的相符性分析</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81"/>
              <w:gridCol w:w="3330"/>
              <w:gridCol w:w="3030"/>
              <w:gridCol w:w="909"/>
            </w:tblGrid>
            <w:tr w14:paraId="026B3A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81" w:type="dxa"/>
                  <w:tcBorders>
                    <w:tl2br w:val="nil"/>
                    <w:tr2bl w:val="nil"/>
                  </w:tcBorders>
                  <w:vAlign w:val="center"/>
                </w:tcPr>
                <w:p w14:paraId="619F9E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类别</w:t>
                  </w:r>
                </w:p>
              </w:tc>
              <w:tc>
                <w:tcPr>
                  <w:tcW w:w="3330" w:type="dxa"/>
                  <w:tcBorders>
                    <w:tl2br w:val="nil"/>
                    <w:tr2bl w:val="nil"/>
                  </w:tcBorders>
                  <w:vAlign w:val="center"/>
                </w:tcPr>
                <w:p w14:paraId="3F55D3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文件要求</w:t>
                  </w:r>
                </w:p>
              </w:tc>
              <w:tc>
                <w:tcPr>
                  <w:tcW w:w="3030" w:type="dxa"/>
                  <w:tcBorders>
                    <w:tl2br w:val="nil"/>
                    <w:tr2bl w:val="nil"/>
                  </w:tcBorders>
                  <w:vAlign w:val="center"/>
                </w:tcPr>
                <w:p w14:paraId="17C8B9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本项目</w:t>
                  </w:r>
                </w:p>
              </w:tc>
              <w:tc>
                <w:tcPr>
                  <w:tcW w:w="909" w:type="dxa"/>
                  <w:tcBorders>
                    <w:tl2br w:val="nil"/>
                    <w:tr2bl w:val="nil"/>
                  </w:tcBorders>
                  <w:vAlign w:val="center"/>
                </w:tcPr>
                <w:p w14:paraId="111ADE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相符性</w:t>
                  </w:r>
                </w:p>
              </w:tc>
            </w:tr>
            <w:tr w14:paraId="0D3F6F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81" w:type="dxa"/>
                  <w:tcBorders>
                    <w:tl2br w:val="nil"/>
                    <w:tr2bl w:val="nil"/>
                  </w:tcBorders>
                  <w:vAlign w:val="center"/>
                </w:tcPr>
                <w:p w14:paraId="72B139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强化项目准入，严格危废经营许可</w:t>
                  </w:r>
                </w:p>
              </w:tc>
              <w:tc>
                <w:tcPr>
                  <w:tcW w:w="3330" w:type="dxa"/>
                  <w:tcBorders>
                    <w:tl2br w:val="nil"/>
                    <w:tr2bl w:val="nil"/>
                  </w:tcBorders>
                  <w:vAlign w:val="center"/>
                </w:tcPr>
                <w:p w14:paraId="3FFC40B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为促进全市危废行业健康有序发展，建立环评、固管、规财等多处室联动和协作机制，在项目环评审批前加强沟通，各辖市、区环评审批部门审批涉危废经营项目前应向市局固废主管处</w:t>
                  </w:r>
                </w:p>
              </w:tc>
              <w:tc>
                <w:tcPr>
                  <w:tcW w:w="3030" w:type="dxa"/>
                  <w:tcBorders>
                    <w:tl2br w:val="nil"/>
                    <w:tr2bl w:val="nil"/>
                  </w:tcBorders>
                  <w:vAlign w:val="center"/>
                </w:tcPr>
                <w:p w14:paraId="596473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本项目不属于危险废物集中焚烧处置项目，只处置自身危废，工程选址及建设满足国家相关规定及生态环境部《危险废物集中焚烧处置工程建设技术规范》及其修改方案、《危险废物焚烧污染控制标准》、《危险废物贮存污染控制标准》及其修改单的要求。本项目为配套处置厂内自身危废，不对外经营。主体设施包含预处理系统、焚烧系统、烟气净化系统、自动化控制系统、在线监测系统、报警系统、应急安全防爆系统、电气系统，焚烧设施配套烟气净化系统投资额不低于主体设施投资额的20%。</w:t>
                  </w:r>
                </w:p>
              </w:tc>
              <w:tc>
                <w:tcPr>
                  <w:tcW w:w="909" w:type="dxa"/>
                  <w:tcBorders>
                    <w:tl2br w:val="nil"/>
                    <w:tr2bl w:val="nil"/>
                  </w:tcBorders>
                  <w:vAlign w:val="center"/>
                </w:tcPr>
                <w:p w14:paraId="58B5BB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相符</w:t>
                  </w:r>
                </w:p>
              </w:tc>
            </w:tr>
            <w:tr w14:paraId="782155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881" w:type="dxa"/>
                  <w:tcBorders>
                    <w:tl2br w:val="nil"/>
                    <w:tr2bl w:val="nil"/>
                  </w:tcBorders>
                  <w:vAlign w:val="center"/>
                </w:tcPr>
                <w:p w14:paraId="412FC0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处置设施总体设计和施工要求</w:t>
                  </w:r>
                </w:p>
              </w:tc>
              <w:tc>
                <w:tcPr>
                  <w:tcW w:w="3330" w:type="dxa"/>
                  <w:tcBorders>
                    <w:tl2br w:val="nil"/>
                    <w:tr2bl w:val="nil"/>
                  </w:tcBorders>
                  <w:vAlign w:val="center"/>
                </w:tcPr>
                <w:p w14:paraId="08A14D5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危险废物焚烧处置厂应包括废物接收贮存区、废物处置区、附属功能区、办公生活区等功能区，其中废物接收贮存区应设置废物接收、鉴别、贮存、预处理等单元，废物处置区包括处置、二次污染防治等单元，附属功能区包括供水、供电（含备用电源）、消防等单元。</w:t>
                  </w:r>
                </w:p>
              </w:tc>
              <w:tc>
                <w:tcPr>
                  <w:tcW w:w="3030" w:type="dxa"/>
                  <w:tcBorders>
                    <w:tl2br w:val="nil"/>
                    <w:tr2bl w:val="nil"/>
                  </w:tcBorders>
                  <w:vAlign w:val="center"/>
                </w:tcPr>
                <w:p w14:paraId="3B147E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本项目已设置危废仓库贮存待焚烧的危废，本项目焚烧装置只处置厂内危废，危废无须鉴别、与处理等。废物处置包括处置、二次污染防治等单元，附属功能区包括供水、供电（含备用电源）、消防等单元。</w:t>
                  </w:r>
                </w:p>
              </w:tc>
              <w:tc>
                <w:tcPr>
                  <w:tcW w:w="909" w:type="dxa"/>
                  <w:tcBorders>
                    <w:tl2br w:val="nil"/>
                    <w:tr2bl w:val="nil"/>
                  </w:tcBorders>
                  <w:vAlign w:val="center"/>
                </w:tcPr>
                <w:p w14:paraId="3A6C27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相符</w:t>
                  </w:r>
                </w:p>
              </w:tc>
            </w:tr>
          </w:tbl>
          <w:p w14:paraId="39FEE2B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sz w:val="21"/>
                <w:szCs w:val="21"/>
              </w:rPr>
            </w:pPr>
            <w:r>
              <w:rPr>
                <w:rFonts w:hint="eastAsia"/>
                <w:color w:val="auto"/>
                <w:sz w:val="21"/>
                <w:szCs w:val="21"/>
              </w:rPr>
              <w:t>由上表可知，本项目符合常环[2021]33号文的相关要求。</w:t>
            </w:r>
          </w:p>
          <w:p w14:paraId="34E2FA09">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eastAsia="宋体"/>
                <w:color w:val="auto"/>
                <w:sz w:val="21"/>
                <w:szCs w:val="21"/>
                <w:lang w:val="en-US" w:eastAsia="zh-CN"/>
              </w:rPr>
            </w:pPr>
            <w:r>
              <w:rPr>
                <w:rFonts w:hint="eastAsia"/>
                <w:b/>
                <w:bCs/>
                <w:color w:val="auto"/>
                <w:sz w:val="21"/>
                <w:szCs w:val="21"/>
                <w:lang w:val="en-US" w:eastAsia="zh-CN"/>
              </w:rPr>
              <w:t>6、与《江苏省环保厅关于进一步规范我省危险废物集中焚烧处置行业环境管理工作的通知》（苏环规〔2014〕6号）的相符性分析</w:t>
            </w:r>
          </w:p>
          <w:p w14:paraId="63ED09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表1-11   与《江苏省环保厅关于进一步规范我省危险废物集中焚烧处置行业环境管理工作的通知》（苏环规〔2014〕6号）的相符性分析</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81"/>
              <w:gridCol w:w="3330"/>
              <w:gridCol w:w="3030"/>
              <w:gridCol w:w="909"/>
            </w:tblGrid>
            <w:tr w14:paraId="498EB8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81" w:type="dxa"/>
                  <w:tcBorders>
                    <w:tl2br w:val="nil"/>
                    <w:tr2bl w:val="nil"/>
                  </w:tcBorders>
                  <w:vAlign w:val="center"/>
                </w:tcPr>
                <w:p w14:paraId="7BE202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类别</w:t>
                  </w:r>
                </w:p>
              </w:tc>
              <w:tc>
                <w:tcPr>
                  <w:tcW w:w="3330" w:type="dxa"/>
                  <w:tcBorders>
                    <w:tl2br w:val="nil"/>
                    <w:tr2bl w:val="nil"/>
                  </w:tcBorders>
                  <w:vAlign w:val="center"/>
                </w:tcPr>
                <w:p w14:paraId="4E6197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文件要求</w:t>
                  </w:r>
                </w:p>
              </w:tc>
              <w:tc>
                <w:tcPr>
                  <w:tcW w:w="3030" w:type="dxa"/>
                  <w:tcBorders>
                    <w:tl2br w:val="nil"/>
                    <w:tr2bl w:val="nil"/>
                  </w:tcBorders>
                  <w:vAlign w:val="center"/>
                </w:tcPr>
                <w:p w14:paraId="14287C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本项目</w:t>
                  </w:r>
                </w:p>
              </w:tc>
              <w:tc>
                <w:tcPr>
                  <w:tcW w:w="909" w:type="dxa"/>
                  <w:tcBorders>
                    <w:tl2br w:val="nil"/>
                    <w:tr2bl w:val="nil"/>
                  </w:tcBorders>
                  <w:vAlign w:val="center"/>
                </w:tcPr>
                <w:p w14:paraId="03B5E8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相符性</w:t>
                  </w:r>
                </w:p>
              </w:tc>
            </w:tr>
            <w:tr w14:paraId="23C687C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81" w:type="dxa"/>
                  <w:tcBorders>
                    <w:tl2br w:val="nil"/>
                    <w:tr2bl w:val="nil"/>
                  </w:tcBorders>
                  <w:vAlign w:val="center"/>
                </w:tcPr>
                <w:p w14:paraId="0B24A4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危险废物焚烧工程总体要求</w:t>
                  </w:r>
                </w:p>
              </w:tc>
              <w:tc>
                <w:tcPr>
                  <w:tcW w:w="3330" w:type="dxa"/>
                  <w:tcBorders>
                    <w:tl2br w:val="nil"/>
                    <w:tr2bl w:val="nil"/>
                  </w:tcBorders>
                  <w:vAlign w:val="center"/>
                </w:tcPr>
                <w:p w14:paraId="09EF4A2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危险废物集中焚烧处置工程选址及建设应满足国家相关规定及环保部《危险废物集中焚烧处置工程建设技术规范》的要求。新（改、扩）建焚烧处置设施总设计能力不低于10000吨/年（不包括单独焚烧处置医疗废物设施），主体设施应包含预处理系统、焚烧系统、烟气净化系统、自动化控制系统、在线监测系统、报警系统、应急安全防爆系统、电气系统，焚烧设施配套烟气净化系统投资额不低于主体设施投资额的20%。</w:t>
                  </w:r>
                </w:p>
              </w:tc>
              <w:tc>
                <w:tcPr>
                  <w:tcW w:w="3030" w:type="dxa"/>
                  <w:tcBorders>
                    <w:tl2br w:val="nil"/>
                    <w:tr2bl w:val="nil"/>
                  </w:tcBorders>
                  <w:vAlign w:val="center"/>
                </w:tcPr>
                <w:p w14:paraId="3D6753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本项目不属于危险废物集中焚烧处置项目，只处置自身危废，工程选址及建设满足国家相关规定及生态环境部《危险废物集中焚烧处置工程建设技术规范》及其修改方案、《危险废物焚烧污染控制标准》、《危险废物贮存污染控制标准》及其修改单的要求。本项目为配套处置厂内自身危废，不对外经营。主体设施包含预处理系统、焚烧系统、烟气净化系统、自动化控制系统、在线监测系统、报警系统、应急安全防爆系统、电气系统，焚烧设施配套烟气净化系统投资额不低于主体设施投资额的20%。</w:t>
                  </w:r>
                </w:p>
              </w:tc>
              <w:tc>
                <w:tcPr>
                  <w:tcW w:w="909" w:type="dxa"/>
                  <w:tcBorders>
                    <w:tl2br w:val="nil"/>
                    <w:tr2bl w:val="nil"/>
                  </w:tcBorders>
                  <w:vAlign w:val="center"/>
                </w:tcPr>
                <w:p w14:paraId="3E750E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相符</w:t>
                  </w:r>
                </w:p>
              </w:tc>
            </w:tr>
            <w:tr w14:paraId="6979E2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81" w:type="dxa"/>
                  <w:tcBorders>
                    <w:tl2br w:val="nil"/>
                    <w:tr2bl w:val="nil"/>
                  </w:tcBorders>
                  <w:vAlign w:val="center"/>
                </w:tcPr>
                <w:p w14:paraId="649A7B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处置设施总体设计和施工要求</w:t>
                  </w:r>
                </w:p>
              </w:tc>
              <w:tc>
                <w:tcPr>
                  <w:tcW w:w="3330" w:type="dxa"/>
                  <w:tcBorders>
                    <w:tl2br w:val="nil"/>
                    <w:tr2bl w:val="nil"/>
                  </w:tcBorders>
                  <w:vAlign w:val="center"/>
                </w:tcPr>
                <w:p w14:paraId="5F8616D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危险废物焚烧处置厂应包括废物接收贮存区、废物处置区、附属功能区、办公生活区等功能区，其中废物接收贮存区应设置废物接收、鉴别、贮存、预处理等单元，废物处置区包括处置、二次污染防治等单元，附属功能区包括供水、供电（含备用电源）、消防等单元。</w:t>
                  </w:r>
                </w:p>
              </w:tc>
              <w:tc>
                <w:tcPr>
                  <w:tcW w:w="3030" w:type="dxa"/>
                  <w:tcBorders>
                    <w:tl2br w:val="nil"/>
                    <w:tr2bl w:val="nil"/>
                  </w:tcBorders>
                  <w:vAlign w:val="center"/>
                </w:tcPr>
                <w:p w14:paraId="1689EA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本项目已设置危废仓库贮存待焚烧的危废，本项目焚烧装置只处置厂内危废，危废无须鉴别、与处理等。废物处置包括处置、二次污染防治等单元，附属功能区包括供水、供电（含备用电源）、消防等单元。</w:t>
                  </w:r>
                </w:p>
              </w:tc>
              <w:tc>
                <w:tcPr>
                  <w:tcW w:w="909" w:type="dxa"/>
                  <w:tcBorders>
                    <w:tl2br w:val="nil"/>
                    <w:tr2bl w:val="nil"/>
                  </w:tcBorders>
                  <w:vAlign w:val="center"/>
                </w:tcPr>
                <w:p w14:paraId="5812FD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相符</w:t>
                  </w:r>
                </w:p>
              </w:tc>
            </w:tr>
            <w:tr w14:paraId="60E0EB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81" w:type="dxa"/>
                  <w:vMerge w:val="restart"/>
                  <w:tcBorders>
                    <w:tl2br w:val="nil"/>
                    <w:tr2bl w:val="nil"/>
                  </w:tcBorders>
                  <w:vAlign w:val="center"/>
                </w:tcPr>
                <w:p w14:paraId="0399DF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危险废物焚烧处置设施系统配置要求</w:t>
                  </w:r>
                </w:p>
              </w:tc>
              <w:tc>
                <w:tcPr>
                  <w:tcW w:w="3330" w:type="dxa"/>
                  <w:tcBorders>
                    <w:tl2br w:val="nil"/>
                    <w:tr2bl w:val="nil"/>
                  </w:tcBorders>
                  <w:vAlign w:val="center"/>
                </w:tcPr>
                <w:p w14:paraId="431802C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一）危险废物接收系统。1．危险废物接收系统应包括检查、取样、称量和卸载区。卸料场地应配有供清洗设备或卸料使用的蒸汽、水、溶剂、氮气等，清洗废水收集后集中处理，卸料产生的废气收集后送入焚烧炉焚烧或单独处理达标后排放。2．应对照焚烧处置系统允许接受废料的标准，制定危险废物预验收和接收程序。应按“一厂一档”方式建立危险废物特性数据库，具体检测分析数据保留5年以上。3．实验室至少应具备以下危险废物特性分析能力：闪点、热值、粘性、相容性、重点污染物质（重金属、硫、氯、氟等）、热酌减率、pH值等。实验室设备投资总额不低于200万元，鼓励通过CMA计量认证或者开展质量管理体系认证。</w:t>
                  </w:r>
                </w:p>
              </w:tc>
              <w:tc>
                <w:tcPr>
                  <w:tcW w:w="3030" w:type="dxa"/>
                  <w:tcBorders>
                    <w:tl2br w:val="nil"/>
                    <w:tr2bl w:val="nil"/>
                  </w:tcBorders>
                  <w:vAlign w:val="center"/>
                </w:tcPr>
                <w:p w14:paraId="4E72D0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本项目只处置自身危废</w:t>
                  </w:r>
                </w:p>
              </w:tc>
              <w:tc>
                <w:tcPr>
                  <w:tcW w:w="909" w:type="dxa"/>
                  <w:tcBorders>
                    <w:tl2br w:val="nil"/>
                    <w:tr2bl w:val="nil"/>
                  </w:tcBorders>
                  <w:vAlign w:val="center"/>
                </w:tcPr>
                <w:p w14:paraId="50514F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相符</w:t>
                  </w:r>
                </w:p>
              </w:tc>
            </w:tr>
            <w:tr w14:paraId="5B52F5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81" w:type="dxa"/>
                  <w:vMerge w:val="continue"/>
                  <w:tcBorders>
                    <w:tl2br w:val="nil"/>
                    <w:tr2bl w:val="nil"/>
                  </w:tcBorders>
                  <w:vAlign w:val="center"/>
                </w:tcPr>
                <w:p w14:paraId="38F5F4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p>
              </w:tc>
              <w:tc>
                <w:tcPr>
                  <w:tcW w:w="3330" w:type="dxa"/>
                  <w:tcBorders>
                    <w:tl2br w:val="nil"/>
                    <w:tr2bl w:val="nil"/>
                  </w:tcBorders>
                  <w:vAlign w:val="center"/>
                </w:tcPr>
                <w:p w14:paraId="6092967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（二）贮存系统。危险废物暂存设施容量至少应满足总焚烧处置能力满载1个月的数量需要，仓库使用面积最小不少于1500m</w:t>
                  </w:r>
                  <w:r>
                    <w:rPr>
                      <w:rFonts w:hint="eastAsia"/>
                      <w:color w:val="auto"/>
                      <w:sz w:val="21"/>
                      <w:szCs w:val="21"/>
                      <w:vertAlign w:val="superscript"/>
                      <w:lang w:val="en-US" w:eastAsia="zh-CN"/>
                    </w:rPr>
                    <w:t>2</w:t>
                  </w:r>
                  <w:r>
                    <w:rPr>
                      <w:rFonts w:hint="eastAsia"/>
                      <w:color w:val="auto"/>
                      <w:sz w:val="21"/>
                      <w:szCs w:val="21"/>
                      <w:vertAlign w:val="baseline"/>
                      <w:lang w:val="en-US" w:eastAsia="zh-CN"/>
                    </w:rPr>
                    <w:t>（采用重型货架的仓库库容按0.5吨/平米/层计算），并按实际情况设置废液储罐区。危废暂存库及废液储罐区必须包括场地防渗、废液收集、废气收集处理系统和消防、安全照明、报警监视系统，危险废物分类贮存。对剧毒及挥发性大的危险废物应设置独立贮存库。</w:t>
                  </w:r>
                </w:p>
              </w:tc>
              <w:tc>
                <w:tcPr>
                  <w:tcW w:w="3030" w:type="dxa"/>
                  <w:tcBorders>
                    <w:tl2br w:val="nil"/>
                    <w:tr2bl w:val="nil"/>
                  </w:tcBorders>
                  <w:vAlign w:val="center"/>
                </w:tcPr>
                <w:p w14:paraId="701985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本项目危险废物暂存设施容量满足总焚烧处置能力满载1个月的数量需要，危废仓库面积为274m</w:t>
                  </w:r>
                  <w:r>
                    <w:rPr>
                      <w:rFonts w:hint="eastAsia"/>
                      <w:color w:val="auto"/>
                      <w:sz w:val="21"/>
                      <w:szCs w:val="21"/>
                      <w:vertAlign w:val="superscript"/>
                      <w:lang w:val="en-US" w:eastAsia="zh-CN"/>
                    </w:rPr>
                    <w:t>2</w:t>
                  </w:r>
                  <w:r>
                    <w:rPr>
                      <w:rFonts w:hint="eastAsia"/>
                      <w:color w:val="auto"/>
                      <w:sz w:val="21"/>
                      <w:szCs w:val="21"/>
                      <w:vertAlign w:val="baseline"/>
                      <w:lang w:val="en-US" w:eastAsia="zh-CN"/>
                    </w:rPr>
                    <w:t>，并设置废液储罐。危废暂存库及废液储罐包括场地防渗、废液收集和消防、安全照明、报警监视系统，危险废物分类贮存。对易燃的危险废物设置独立甲类危废仓库。</w:t>
                  </w:r>
                </w:p>
              </w:tc>
              <w:tc>
                <w:tcPr>
                  <w:tcW w:w="909" w:type="dxa"/>
                  <w:tcBorders>
                    <w:tl2br w:val="nil"/>
                    <w:tr2bl w:val="nil"/>
                  </w:tcBorders>
                  <w:vAlign w:val="center"/>
                </w:tcPr>
                <w:p w14:paraId="23E3EE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相符</w:t>
                  </w:r>
                </w:p>
              </w:tc>
            </w:tr>
            <w:tr w14:paraId="011CE1F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81" w:type="dxa"/>
                  <w:vMerge w:val="continue"/>
                  <w:tcBorders>
                    <w:tl2br w:val="nil"/>
                    <w:tr2bl w:val="nil"/>
                  </w:tcBorders>
                  <w:vAlign w:val="center"/>
                </w:tcPr>
                <w:p w14:paraId="4EE1C2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p>
              </w:tc>
              <w:tc>
                <w:tcPr>
                  <w:tcW w:w="3330" w:type="dxa"/>
                  <w:tcBorders>
                    <w:tl2br w:val="nil"/>
                    <w:tr2bl w:val="nil"/>
                  </w:tcBorders>
                  <w:vAlign w:val="center"/>
                </w:tcPr>
                <w:p w14:paraId="6C807FA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三）预处理和进料系统。1．应配备危险废物破碎和搅拌等预处理设施，按合理设计的配伍方案进行入炉废物搭配，保障焚烧炉稳定运行。配料系统产生的渗滤液应配备收集系统。2．主要进料系统应全封闭并实现自动进料，连续进料装置应根据工艺情况配置可调节供应量的计量装置实现定量投料并配备称重系统，对热解炉每批次进料应该要有计量。进料计量数据保留5年以上。同一焚烧设备处理危险废物和医疗废物时，医疗废物应有单独的进料路线和装置。</w:t>
                  </w:r>
                </w:p>
              </w:tc>
              <w:tc>
                <w:tcPr>
                  <w:tcW w:w="3030" w:type="dxa"/>
                  <w:tcBorders>
                    <w:tl2br w:val="nil"/>
                    <w:tr2bl w:val="nil"/>
                  </w:tcBorders>
                  <w:vAlign w:val="center"/>
                </w:tcPr>
                <w:p w14:paraId="50B193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本项目配备预处理设施，按合理设计的配伍方案进行入炉废物搭配，保障焚烧炉稳定运行。配料系统产生的渗滤液配备了收集系统。2．进料系统全封闭并实现自动进料，并配置可调节供应量的计量装置实现定量投料并配备称重系统；3．进</w:t>
                  </w:r>
                </w:p>
                <w:p w14:paraId="26311F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料计量数据拟保留5年以上。</w:t>
                  </w:r>
                </w:p>
              </w:tc>
              <w:tc>
                <w:tcPr>
                  <w:tcW w:w="909" w:type="dxa"/>
                  <w:tcBorders>
                    <w:tl2br w:val="nil"/>
                    <w:tr2bl w:val="nil"/>
                  </w:tcBorders>
                  <w:vAlign w:val="center"/>
                </w:tcPr>
                <w:p w14:paraId="580E01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相符</w:t>
                  </w:r>
                </w:p>
              </w:tc>
            </w:tr>
            <w:tr w14:paraId="12A20A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81" w:type="dxa"/>
                  <w:vMerge w:val="continue"/>
                  <w:tcBorders>
                    <w:tl2br w:val="nil"/>
                    <w:tr2bl w:val="nil"/>
                  </w:tcBorders>
                  <w:vAlign w:val="center"/>
                </w:tcPr>
                <w:p w14:paraId="49DC69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p>
              </w:tc>
              <w:tc>
                <w:tcPr>
                  <w:tcW w:w="3330" w:type="dxa"/>
                  <w:tcBorders>
                    <w:tl2br w:val="nil"/>
                    <w:tr2bl w:val="nil"/>
                  </w:tcBorders>
                  <w:vAlign w:val="center"/>
                </w:tcPr>
                <w:p w14:paraId="7EB76F5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四）焚烧处置系统。1．具体采用的焚烧工艺和设备原则上近3年内在相似工程中应有成功应用2个以上的实例，焚烧控制条件应满足《危险废物焚烧污染控制标准》（GB18484-2001）要求。2．焚烧处置设备宜采取连续焚烧方式，需采用DCS或者PLC自动控制系统，应保证焚烧负荷在70%～120%的范围内波动时能稳定运行。3．焚烧处置系统宜考虑对其产生的热能以适当形式加以利用。进料含氯量大于5%时，不提倡余热利用。</w:t>
                  </w:r>
                </w:p>
              </w:tc>
              <w:tc>
                <w:tcPr>
                  <w:tcW w:w="3030" w:type="dxa"/>
                  <w:tcBorders>
                    <w:tl2br w:val="nil"/>
                    <w:tr2bl w:val="nil"/>
                  </w:tcBorders>
                  <w:vAlign w:val="center"/>
                </w:tcPr>
                <w:p w14:paraId="7EA6E4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1．本项目采用的工艺在集团内有多个成功案例，焚烧控制条件满足最新的《危险废物焚烧污染控制标准》（GB18484-2020）要求。</w:t>
                  </w:r>
                </w:p>
                <w:p w14:paraId="371A7E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2．因厂内危废产生量较少，本项目焚烧处置设备定期开启。3．本项目设置余热回用系统。本项目物料经配比后，含氯量控制小于5%。</w:t>
                  </w:r>
                </w:p>
              </w:tc>
              <w:tc>
                <w:tcPr>
                  <w:tcW w:w="909" w:type="dxa"/>
                  <w:tcBorders>
                    <w:tl2br w:val="nil"/>
                    <w:tr2bl w:val="nil"/>
                  </w:tcBorders>
                  <w:vAlign w:val="center"/>
                </w:tcPr>
                <w:p w14:paraId="297953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相符</w:t>
                  </w:r>
                </w:p>
              </w:tc>
            </w:tr>
            <w:tr w14:paraId="3AB0E5A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81" w:type="dxa"/>
                  <w:vMerge w:val="continue"/>
                  <w:tcBorders>
                    <w:tl2br w:val="nil"/>
                    <w:tr2bl w:val="nil"/>
                  </w:tcBorders>
                  <w:vAlign w:val="center"/>
                </w:tcPr>
                <w:p w14:paraId="7D4001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p>
              </w:tc>
              <w:tc>
                <w:tcPr>
                  <w:tcW w:w="3330" w:type="dxa"/>
                  <w:tcBorders>
                    <w:tl2br w:val="nil"/>
                    <w:tr2bl w:val="nil"/>
                  </w:tcBorders>
                  <w:vAlign w:val="center"/>
                </w:tcPr>
                <w:p w14:paraId="7369E75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五）二次污染控制系统。1．废气污染控制系统。（1）废气净化技术必须包括急冷、除尘、脱酸、吸附二噁英和重金属等工序，并预留脱硝工序接口。应注意组合技术间的关联性。（2）中和剂应配有根据烟气在线监测系统反馈数据自动投料和计量、记录装置。（3）废气排放中重金属、二噁英排放</w:t>
                  </w:r>
                </w:p>
                <w:p w14:paraId="669EFA9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浓度须达到《危险废物焚烧污染控制标准》。2．废水污染控制系统。（1）废水处理系统包括对运输车辆、转运工具、周转箱（桶）的清洗消毒废水、生产工艺废水、地面冲洗水、生活污水、初期雨水的收集、处理系统。（2）建设规范的清污分流和雨污分流系统，生产废水、生活污水经处理后宜优先考虑循环再利用，达纳管标准的可纳管排放。全厂应设有安全事故池，以容纳消防污水、事故工况下罐区的泄漏液。3．残渣处理系统。（1）残渣处理系统包括炉渣处理系统、飞灰处理系统，应具有较高的机械化、自动化水平。（2）应设置专门的残渣贮存区，并对炉渣和飞灰的产生、贮存、处置数量进行详细记录。残渣必须交有资质单位处置，厂内暂存不得超过1年。</w:t>
                  </w:r>
                </w:p>
              </w:tc>
              <w:tc>
                <w:tcPr>
                  <w:tcW w:w="3030" w:type="dxa"/>
                  <w:tcBorders>
                    <w:tl2br w:val="nil"/>
                    <w:tr2bl w:val="nil"/>
                  </w:tcBorders>
                  <w:vAlign w:val="center"/>
                </w:tcPr>
                <w:p w14:paraId="12B938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废气污染控制系统。（1）本项目废气净化技术包括SNCR、急冷、干式脱酸、布袋除尘、臭氧氧化+两级湿法脱酸。（2）中和剂配有根据烟气在线监测系统反馈数据自动投料和计量、记录装置。（3）本项目废气排放中重金属、二噁英排放浓度达到《危险废物焚烧污染控制标准》。2．本项目生产废水不排放，回用。3．残渣处理系统。（1）本项目已设置炉渣处理系统、飞灰处理系统，具有较高的机械化、自动化水平。（2）本项目已设置专门的残渣贮存区，并对炉渣和飞灰的产生、贮存、处置数量进行详细记录。残渣委托交有资质单位处置，厂内暂存不超过1年。</w:t>
                  </w:r>
                </w:p>
              </w:tc>
              <w:tc>
                <w:tcPr>
                  <w:tcW w:w="909" w:type="dxa"/>
                  <w:tcBorders>
                    <w:tl2br w:val="nil"/>
                    <w:tr2bl w:val="nil"/>
                  </w:tcBorders>
                  <w:vAlign w:val="center"/>
                </w:tcPr>
                <w:p w14:paraId="00B3A6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相符</w:t>
                  </w:r>
                </w:p>
              </w:tc>
            </w:tr>
            <w:tr w14:paraId="09043BE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81" w:type="dxa"/>
                  <w:vMerge w:val="continue"/>
                  <w:tcBorders>
                    <w:tl2br w:val="nil"/>
                    <w:tr2bl w:val="nil"/>
                  </w:tcBorders>
                  <w:vAlign w:val="center"/>
                </w:tcPr>
                <w:p w14:paraId="02D280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p>
              </w:tc>
              <w:tc>
                <w:tcPr>
                  <w:tcW w:w="3330" w:type="dxa"/>
                  <w:tcBorders>
                    <w:tl2br w:val="nil"/>
                    <w:tr2bl w:val="nil"/>
                  </w:tcBorders>
                  <w:vAlign w:val="center"/>
                </w:tcPr>
                <w:p w14:paraId="0720921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六）在线监测系统。1．应对焚烧烟气中的烟尘、硫氧化物、氮氧化物、氯化氢等污染因子，以及氧、一氧化碳、二氧化碳、一燃室和二燃室温度等工艺指标实行在线监测，对焚烧系统相关设备的压力、温度、开关度、料位等工况参数实行在线监控，并按规定与环境保护行政主管部门联网。所有在线监测数据应自动记录，在厂区明显位置设置显示屏，将炉温、烟气停留时间、烟气出口温度、一氧化碳浓度等数据向社会公布。2．对贮存库房、物料传输过程以及焚烧线的重要环节，应设置现场工业电视监视系统，数据保留1年。料斗料位由抓斗起重机控制室的监视器显示，焚烧炉燃烧及除渣池状况由设置在中央控制室的监视器显示。</w:t>
                  </w:r>
                </w:p>
              </w:tc>
              <w:tc>
                <w:tcPr>
                  <w:tcW w:w="3030" w:type="dxa"/>
                  <w:tcBorders>
                    <w:tl2br w:val="nil"/>
                    <w:tr2bl w:val="nil"/>
                  </w:tcBorders>
                  <w:vAlign w:val="center"/>
                </w:tcPr>
                <w:p w14:paraId="2EB930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企业已对焚烧炉焚烧烟气安装在线监测装置，对颗粒物、二氧化硫、氮氧化物、一氧化碳、氯化氢等污染因子以及氧、一氧化碳、二氧化碳、一燃室和二燃室温度等工艺指标实行在线监测，并按规定与环境保护行政主管部门联网。所有在线监测数据自动记录，并向社会公布。2．企业已对贮存库房、物料传输过程以及焚烧线的重要环节，设置了现场工业电视监视系统，数据保留1年。料斗料位由抓斗起重机控制室的监视器显示，焚烧炉燃烧及刮板出渣机状况由设置在中央控制室的监视器显示。</w:t>
                  </w:r>
                </w:p>
              </w:tc>
              <w:tc>
                <w:tcPr>
                  <w:tcW w:w="909" w:type="dxa"/>
                  <w:tcBorders>
                    <w:tl2br w:val="nil"/>
                    <w:tr2bl w:val="nil"/>
                  </w:tcBorders>
                  <w:vAlign w:val="center"/>
                </w:tcPr>
                <w:p w14:paraId="0A7F3D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相符</w:t>
                  </w:r>
                </w:p>
              </w:tc>
            </w:tr>
            <w:tr w14:paraId="5EDB15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81" w:type="dxa"/>
                  <w:tcBorders>
                    <w:tl2br w:val="nil"/>
                    <w:tr2bl w:val="nil"/>
                  </w:tcBorders>
                  <w:vAlign w:val="center"/>
                </w:tcPr>
                <w:p w14:paraId="73BD0E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运行管理要求</w:t>
                  </w:r>
                </w:p>
              </w:tc>
              <w:tc>
                <w:tcPr>
                  <w:tcW w:w="3330" w:type="dxa"/>
                  <w:tcBorders>
                    <w:tl2br w:val="nil"/>
                    <w:tr2bl w:val="nil"/>
                  </w:tcBorders>
                  <w:vAlign w:val="center"/>
                </w:tcPr>
                <w:p w14:paraId="46EB1D0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一）运营团队必须具有相关危险废物集中焚烧项目经营管理业绩，3年内无重大违法经营行为。（二）企业应有3名以上环境工程或相关专业本科以上学历（或中级以上职称）并具备相关岗位3年以上工作经验的技术人员，实验室应有2名以上具有化学分析或相关专业大专学历以上的操作人员。管理人员和相应操作人员均应培训后持证上岗，至少2人具备安全员资格。（三）应按照国家的法律、法规，结合危险废物规范化管理要求，分岗位建立完善的内部管理制度，建立健全档案、台账，建设可全程跟踪废物流向的ERP管理系统，按日在“江苏省危险废物动态管理信息系统”中填报危险废物接收、贮存、处置及焚烧灰渣产生情况。按规范编制应急预案并按规定备案，配备必要的应急设施设备，定期开展应急演练。（四）危险废物处置设施的污染物排放、采样、环境监测和分析的项目和频次应遵照并符合国家有关标准的规定，自行监测结果应定期向社会信息公开。</w:t>
                  </w:r>
                </w:p>
              </w:tc>
              <w:tc>
                <w:tcPr>
                  <w:tcW w:w="3030" w:type="dxa"/>
                  <w:tcBorders>
                    <w:tl2br w:val="nil"/>
                    <w:tr2bl w:val="nil"/>
                  </w:tcBorders>
                  <w:vAlign w:val="center"/>
                </w:tcPr>
                <w:p w14:paraId="588ED3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一）企业运营团队具有相关危险废物集中焚烧项目经营管理业绩，3年内无重大违法经营行为。（二）企业具有3名以上环境工程或相关专业本科以上学历（或中级以上职称）并具备相关岗位3年以上工作经验的技术人员，实验室具有2名具有化学分析或相关专业大专学历以上的操作人员。管理人员和相应操作人员均经培训后持证上岗，3人具备安全员资格。（三）企业按照国家的法律、法规，结合危险废物规范化管理要求，分岗位建立完善的内部管理制度，建立健全档案、台账，建设可全程跟踪废物流向的ERP管理系统，按日在“江苏省危险废物动态管理信息系统”中填报危险废物接收、贮存、处置及焚烧灰渣产生情况。企业按规范编制应急预案并按规定备案，配备必要的应急设施设备，定期开展应急演练。（四）危险废物处置设施的污染物排放、采样、环境监测和分析的项目和频次遵照并符合国家有关标准的规定，自行监测结果定期向社会信息公开。</w:t>
                  </w:r>
                </w:p>
              </w:tc>
              <w:tc>
                <w:tcPr>
                  <w:tcW w:w="909" w:type="dxa"/>
                  <w:tcBorders>
                    <w:tl2br w:val="nil"/>
                    <w:tr2bl w:val="nil"/>
                  </w:tcBorders>
                  <w:vAlign w:val="center"/>
                </w:tcPr>
                <w:p w14:paraId="019A3F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相符</w:t>
                  </w:r>
                </w:p>
              </w:tc>
            </w:tr>
          </w:tbl>
          <w:p w14:paraId="5CA8F9B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sz w:val="21"/>
                <w:szCs w:val="21"/>
              </w:rPr>
            </w:pPr>
            <w:r>
              <w:rPr>
                <w:rFonts w:hint="eastAsia"/>
                <w:color w:val="auto"/>
                <w:sz w:val="21"/>
                <w:szCs w:val="21"/>
              </w:rPr>
              <w:t>由上表可知，本项目符合苏环规〔2014〕6号文的相关要求。</w:t>
            </w:r>
          </w:p>
          <w:p w14:paraId="1FFA698D">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eastAsia="宋体"/>
                <w:b/>
                <w:bCs/>
                <w:color w:val="auto"/>
                <w:kern w:val="0"/>
                <w:sz w:val="21"/>
                <w:szCs w:val="21"/>
                <w:lang w:val="en-US" w:eastAsia="zh-CN"/>
              </w:rPr>
            </w:pPr>
            <w:r>
              <w:rPr>
                <w:rFonts w:hint="eastAsia"/>
                <w:b/>
                <w:bCs/>
                <w:color w:val="auto"/>
                <w:kern w:val="0"/>
                <w:sz w:val="21"/>
                <w:szCs w:val="21"/>
                <w:lang w:val="en-US" w:eastAsia="zh-CN"/>
              </w:rPr>
              <w:t>7、与《省政府办公厅关于印发江苏省强化危险废物监管和利用处置能力改革实施方案的通知》（苏政办发〔2022〕11号）的相符性分析</w:t>
            </w:r>
          </w:p>
          <w:p w14:paraId="18372C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color w:val="auto"/>
                <w:sz w:val="21"/>
                <w:szCs w:val="21"/>
                <w:lang w:val="en-US" w:eastAsia="zh-CN"/>
              </w:rPr>
            </w:pPr>
            <w:r>
              <w:rPr>
                <w:rFonts w:hint="eastAsia"/>
                <w:b/>
                <w:bCs/>
                <w:color w:val="auto"/>
                <w:sz w:val="21"/>
                <w:szCs w:val="21"/>
                <w:lang w:val="en-US" w:eastAsia="zh-CN"/>
              </w:rPr>
              <w:t>表1-12   与《省政府办公厅关于印发江苏省强化危险废物监管和利用处置能力改革实施方案的通知》（苏政办发〔2022〕11号）相符性分析</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86"/>
              <w:gridCol w:w="3495"/>
              <w:gridCol w:w="3045"/>
              <w:gridCol w:w="924"/>
            </w:tblGrid>
            <w:tr w14:paraId="2FADCE9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686" w:type="dxa"/>
                  <w:tcBorders>
                    <w:tl2br w:val="nil"/>
                    <w:tr2bl w:val="nil"/>
                  </w:tcBorders>
                  <w:vAlign w:val="center"/>
                </w:tcPr>
                <w:p w14:paraId="1A3939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类别</w:t>
                  </w:r>
                </w:p>
              </w:tc>
              <w:tc>
                <w:tcPr>
                  <w:tcW w:w="3495" w:type="dxa"/>
                  <w:tcBorders>
                    <w:tl2br w:val="nil"/>
                    <w:tr2bl w:val="nil"/>
                  </w:tcBorders>
                  <w:vAlign w:val="center"/>
                </w:tcPr>
                <w:p w14:paraId="5F73BF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文件要求</w:t>
                  </w:r>
                </w:p>
              </w:tc>
              <w:tc>
                <w:tcPr>
                  <w:tcW w:w="3045" w:type="dxa"/>
                  <w:tcBorders>
                    <w:tl2br w:val="nil"/>
                    <w:tr2bl w:val="nil"/>
                  </w:tcBorders>
                  <w:vAlign w:val="center"/>
                </w:tcPr>
                <w:p w14:paraId="158123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本项目</w:t>
                  </w:r>
                </w:p>
              </w:tc>
              <w:tc>
                <w:tcPr>
                  <w:tcW w:w="924" w:type="dxa"/>
                  <w:tcBorders>
                    <w:tl2br w:val="nil"/>
                    <w:tr2bl w:val="nil"/>
                  </w:tcBorders>
                  <w:vAlign w:val="center"/>
                </w:tcPr>
                <w:p w14:paraId="2E6065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相符性</w:t>
                  </w:r>
                </w:p>
              </w:tc>
            </w:tr>
            <w:tr w14:paraId="5C1DED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86" w:type="dxa"/>
                  <w:vMerge w:val="restart"/>
                  <w:tcBorders>
                    <w:tl2br w:val="nil"/>
                    <w:tr2bl w:val="nil"/>
                  </w:tcBorders>
                  <w:vAlign w:val="center"/>
                </w:tcPr>
                <w:p w14:paraId="1084CE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落实涉危险废物单位主体责任</w:t>
                  </w:r>
                </w:p>
              </w:tc>
              <w:tc>
                <w:tcPr>
                  <w:tcW w:w="3495" w:type="dxa"/>
                  <w:tcBorders>
                    <w:tl2br w:val="nil"/>
                    <w:tr2bl w:val="nil"/>
                  </w:tcBorders>
                  <w:vAlign w:val="center"/>
                </w:tcPr>
                <w:p w14:paraId="3EA3520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危险废物产生、收集、贮存、运输、利用处置单位主要负责人（法定代表人、实际控制人）是危险废物污染环境防治和安全生产第一责任人，严格落实危险废物污染环境防治和安全生产法律法规制度。</w:t>
                  </w:r>
                </w:p>
              </w:tc>
              <w:tc>
                <w:tcPr>
                  <w:tcW w:w="3045" w:type="dxa"/>
                  <w:tcBorders>
                    <w:tl2br w:val="nil"/>
                    <w:tr2bl w:val="nil"/>
                  </w:tcBorders>
                  <w:vAlign w:val="center"/>
                </w:tcPr>
                <w:p w14:paraId="56D627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企业严格落实危险废物污染环境防治和安全生产法律法规制度，企业法人为危险废物污染环境防治和安全生产第一责任人。</w:t>
                  </w:r>
                </w:p>
              </w:tc>
              <w:tc>
                <w:tcPr>
                  <w:tcW w:w="924" w:type="dxa"/>
                  <w:tcBorders>
                    <w:tl2br w:val="nil"/>
                    <w:tr2bl w:val="nil"/>
                  </w:tcBorders>
                  <w:vAlign w:val="center"/>
                </w:tcPr>
                <w:p w14:paraId="17F9A4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相符</w:t>
                  </w:r>
                </w:p>
              </w:tc>
            </w:tr>
            <w:tr w14:paraId="5FE6E7F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86" w:type="dxa"/>
                  <w:vMerge w:val="continue"/>
                  <w:tcBorders>
                    <w:tl2br w:val="nil"/>
                    <w:tr2bl w:val="nil"/>
                  </w:tcBorders>
                  <w:vAlign w:val="center"/>
                </w:tcPr>
                <w:p w14:paraId="730F1C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p>
              </w:tc>
              <w:tc>
                <w:tcPr>
                  <w:tcW w:w="3495" w:type="dxa"/>
                  <w:tcBorders>
                    <w:tl2br w:val="nil"/>
                    <w:tr2bl w:val="nil"/>
                  </w:tcBorders>
                  <w:vAlign w:val="center"/>
                </w:tcPr>
                <w:p w14:paraId="734FAB6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危险废物产生单位应将危险废物提供或者委托给有资质单位收集、贮存、利用处置，并与其直接签订相应合同，严禁将危险废物提供或者委托给无资质单位进行收集、贮存和利用处置。</w:t>
                  </w:r>
                </w:p>
              </w:tc>
              <w:tc>
                <w:tcPr>
                  <w:tcW w:w="3045" w:type="dxa"/>
                  <w:tcBorders>
                    <w:tl2br w:val="nil"/>
                    <w:tr2bl w:val="nil"/>
                  </w:tcBorders>
                  <w:vAlign w:val="center"/>
                </w:tcPr>
                <w:p w14:paraId="44A5B5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本项目部分次生危废委外处置，企业将与有资质单位签订相应合同。</w:t>
                  </w:r>
                </w:p>
              </w:tc>
              <w:tc>
                <w:tcPr>
                  <w:tcW w:w="924" w:type="dxa"/>
                  <w:tcBorders>
                    <w:tl2br w:val="nil"/>
                    <w:tr2bl w:val="nil"/>
                  </w:tcBorders>
                  <w:vAlign w:val="center"/>
                </w:tcPr>
                <w:p w14:paraId="44F765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相符</w:t>
                  </w:r>
                </w:p>
              </w:tc>
            </w:tr>
            <w:tr w14:paraId="46BF75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86" w:type="dxa"/>
                  <w:vMerge w:val="continue"/>
                  <w:tcBorders>
                    <w:tl2br w:val="nil"/>
                    <w:tr2bl w:val="nil"/>
                  </w:tcBorders>
                  <w:vAlign w:val="center"/>
                </w:tcPr>
                <w:p w14:paraId="1E3A5D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p>
              </w:tc>
              <w:tc>
                <w:tcPr>
                  <w:tcW w:w="3495" w:type="dxa"/>
                  <w:tcBorders>
                    <w:tl2br w:val="nil"/>
                    <w:tr2bl w:val="nil"/>
                  </w:tcBorders>
                  <w:vAlign w:val="center"/>
                </w:tcPr>
                <w:p w14:paraId="01E5E72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危险废物产生单位和经营单位依法及时公开危险废物污染环境防治信息，依法依规投保环境污染责任保险。</w:t>
                  </w:r>
                </w:p>
              </w:tc>
              <w:tc>
                <w:tcPr>
                  <w:tcW w:w="3045" w:type="dxa"/>
                  <w:tcBorders>
                    <w:tl2br w:val="nil"/>
                    <w:tr2bl w:val="nil"/>
                  </w:tcBorders>
                  <w:vAlign w:val="center"/>
                </w:tcPr>
                <w:p w14:paraId="5C1E36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项目运行后，企业将及时公开危险废物污染环境防治信息，依法依规投保环境污染责任保险。</w:t>
                  </w:r>
                </w:p>
              </w:tc>
              <w:tc>
                <w:tcPr>
                  <w:tcW w:w="924" w:type="dxa"/>
                  <w:tcBorders>
                    <w:tl2br w:val="nil"/>
                    <w:tr2bl w:val="nil"/>
                  </w:tcBorders>
                  <w:vAlign w:val="center"/>
                </w:tcPr>
                <w:p w14:paraId="49E58A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相符</w:t>
                  </w:r>
                </w:p>
              </w:tc>
            </w:tr>
            <w:tr w14:paraId="7610092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86" w:type="dxa"/>
                  <w:vMerge w:val="restart"/>
                  <w:tcBorders>
                    <w:tl2br w:val="nil"/>
                    <w:tr2bl w:val="nil"/>
                  </w:tcBorders>
                  <w:vAlign w:val="center"/>
                </w:tcPr>
                <w:p w14:paraId="4089FF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严格项目准入</w:t>
                  </w:r>
                </w:p>
              </w:tc>
              <w:tc>
                <w:tcPr>
                  <w:tcW w:w="3495" w:type="dxa"/>
                  <w:tcBorders>
                    <w:tl2br w:val="nil"/>
                    <w:tr2bl w:val="nil"/>
                  </w:tcBorders>
                  <w:vAlign w:val="center"/>
                </w:tcPr>
                <w:p w14:paraId="25915FE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新改扩建项目依法严格履行环保、安全、规划、住建、消防、节能审查等相关手续和“三同时”制度。严禁审批未采取必要措施预防和控制生态破坏的涉危险废物项目。</w:t>
                  </w:r>
                </w:p>
              </w:tc>
              <w:tc>
                <w:tcPr>
                  <w:tcW w:w="3045" w:type="dxa"/>
                  <w:tcBorders>
                    <w:tl2br w:val="nil"/>
                    <w:tr2bl w:val="nil"/>
                  </w:tcBorders>
                  <w:vAlign w:val="center"/>
                </w:tcPr>
                <w:p w14:paraId="2466ED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本项目将严格履行环保、安全、规划、住建、消防、节能审查等相关手续和“三同时”制度。</w:t>
                  </w:r>
                </w:p>
              </w:tc>
              <w:tc>
                <w:tcPr>
                  <w:tcW w:w="924" w:type="dxa"/>
                  <w:tcBorders>
                    <w:tl2br w:val="nil"/>
                    <w:tr2bl w:val="nil"/>
                  </w:tcBorders>
                  <w:vAlign w:val="center"/>
                </w:tcPr>
                <w:p w14:paraId="79AD6C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相符</w:t>
                  </w:r>
                </w:p>
              </w:tc>
            </w:tr>
            <w:tr w14:paraId="5EE236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86" w:type="dxa"/>
                  <w:vMerge w:val="continue"/>
                  <w:tcBorders>
                    <w:tl2br w:val="nil"/>
                    <w:tr2bl w:val="nil"/>
                  </w:tcBorders>
                  <w:vAlign w:val="center"/>
                </w:tcPr>
                <w:p w14:paraId="7607E1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p>
              </w:tc>
              <w:tc>
                <w:tcPr>
                  <w:tcW w:w="3495" w:type="dxa"/>
                  <w:tcBorders>
                    <w:tl2br w:val="nil"/>
                    <w:tr2bl w:val="nil"/>
                  </w:tcBorders>
                  <w:vAlign w:val="center"/>
                </w:tcPr>
                <w:p w14:paraId="23C61AB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新改扩建危险废物利用处置项目必须包括八位危险废物代码明确的全部危险废物种类。</w:t>
                  </w:r>
                </w:p>
              </w:tc>
              <w:tc>
                <w:tcPr>
                  <w:tcW w:w="3045" w:type="dxa"/>
                  <w:tcBorders>
                    <w:tl2br w:val="nil"/>
                    <w:tr2bl w:val="nil"/>
                  </w:tcBorders>
                  <w:vAlign w:val="center"/>
                </w:tcPr>
                <w:p w14:paraId="6E1EB4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本项目处置的各危废类别，包括八位危险废物代码明确的全部危险废物种类。</w:t>
                  </w:r>
                </w:p>
              </w:tc>
              <w:tc>
                <w:tcPr>
                  <w:tcW w:w="924" w:type="dxa"/>
                  <w:tcBorders>
                    <w:tl2br w:val="nil"/>
                    <w:tr2bl w:val="nil"/>
                  </w:tcBorders>
                  <w:vAlign w:val="center"/>
                </w:tcPr>
                <w:p w14:paraId="154D06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相符</w:t>
                  </w:r>
                </w:p>
              </w:tc>
            </w:tr>
            <w:tr w14:paraId="74FE82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86" w:type="dxa"/>
                  <w:vMerge w:val="continue"/>
                  <w:tcBorders>
                    <w:tl2br w:val="nil"/>
                    <w:tr2bl w:val="nil"/>
                  </w:tcBorders>
                  <w:vAlign w:val="center"/>
                </w:tcPr>
                <w:p w14:paraId="573073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p>
              </w:tc>
              <w:tc>
                <w:tcPr>
                  <w:tcW w:w="3495" w:type="dxa"/>
                  <w:tcBorders>
                    <w:tl2br w:val="nil"/>
                    <w:tr2bl w:val="nil"/>
                  </w:tcBorders>
                  <w:vAlign w:val="center"/>
                </w:tcPr>
                <w:p w14:paraId="0CB4453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严格环评管理，新改扩建项目要依法开展环境影响评价，严格按照《建设项目危险废物环境影响评价指南》科学评价危险废物，明确危险废物种类、数量、属性、贮存设施及需要配套的污染防治措施。</w:t>
                  </w:r>
                </w:p>
              </w:tc>
              <w:tc>
                <w:tcPr>
                  <w:tcW w:w="3045" w:type="dxa"/>
                  <w:tcBorders>
                    <w:tl2br w:val="nil"/>
                    <w:tr2bl w:val="nil"/>
                  </w:tcBorders>
                  <w:vAlign w:val="center"/>
                </w:tcPr>
                <w:p w14:paraId="76A13B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本项目开展环境影响评价，严格按照《建设项目危险废物环境影响评价指南》科学评价危险废物，明确危险废物种类、数量、属性、贮存设施及需要配套的污染防治措施。</w:t>
                  </w:r>
                </w:p>
              </w:tc>
              <w:tc>
                <w:tcPr>
                  <w:tcW w:w="924" w:type="dxa"/>
                  <w:tcBorders>
                    <w:tl2br w:val="nil"/>
                    <w:tr2bl w:val="nil"/>
                  </w:tcBorders>
                  <w:vAlign w:val="center"/>
                </w:tcPr>
                <w:p w14:paraId="421537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相符</w:t>
                  </w:r>
                </w:p>
              </w:tc>
            </w:tr>
            <w:tr w14:paraId="70B2DA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86" w:type="dxa"/>
                  <w:tcBorders>
                    <w:tl2br w:val="nil"/>
                    <w:tr2bl w:val="nil"/>
                  </w:tcBorders>
                  <w:vAlign w:val="center"/>
                </w:tcPr>
                <w:p w14:paraId="3137EE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规范危险废物贮存管理</w:t>
                  </w:r>
                </w:p>
              </w:tc>
              <w:tc>
                <w:tcPr>
                  <w:tcW w:w="3495" w:type="dxa"/>
                  <w:tcBorders>
                    <w:tl2br w:val="nil"/>
                    <w:tr2bl w:val="nil"/>
                  </w:tcBorders>
                  <w:vAlign w:val="center"/>
                </w:tcPr>
                <w:p w14:paraId="03B3C30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严格执行危险废物贮存标准和识别标志设置相关要求，危险废物利用处置单位和年产生量1000吨及以上的危险废物产生单位应在关键位置设置视频监控，并与江苏省危险废物全生命周期监控系统联网。</w:t>
                  </w:r>
                </w:p>
              </w:tc>
              <w:tc>
                <w:tcPr>
                  <w:tcW w:w="3045" w:type="dxa"/>
                  <w:tcBorders>
                    <w:tl2br w:val="nil"/>
                    <w:tr2bl w:val="nil"/>
                  </w:tcBorders>
                  <w:vAlign w:val="center"/>
                </w:tcPr>
                <w:p w14:paraId="0FCE1D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项目运行后，严格执行危险废物贮存标准和识别标志设置相关要求，并在关键位置设置视频监控，同时与江苏省危险废物全生命周期监控系统联网。</w:t>
                  </w:r>
                </w:p>
              </w:tc>
              <w:tc>
                <w:tcPr>
                  <w:tcW w:w="924" w:type="dxa"/>
                  <w:tcBorders>
                    <w:tl2br w:val="nil"/>
                    <w:tr2bl w:val="nil"/>
                  </w:tcBorders>
                  <w:vAlign w:val="center"/>
                </w:tcPr>
                <w:p w14:paraId="04A4D6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相符</w:t>
                  </w:r>
                </w:p>
              </w:tc>
            </w:tr>
          </w:tbl>
          <w:p w14:paraId="7264720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sz w:val="21"/>
                <w:szCs w:val="21"/>
              </w:rPr>
            </w:pPr>
            <w:r>
              <w:rPr>
                <w:rFonts w:hint="eastAsia"/>
                <w:color w:val="auto"/>
                <w:sz w:val="21"/>
                <w:szCs w:val="21"/>
              </w:rPr>
              <w:t>由上表可知，本项目符合苏政办发〔2022〕11号文的相关要求。</w:t>
            </w:r>
          </w:p>
          <w:p w14:paraId="588D1EB2">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b/>
                <w:bCs/>
                <w:color w:val="auto"/>
                <w:kern w:val="0"/>
                <w:sz w:val="21"/>
                <w:szCs w:val="21"/>
                <w:lang w:val="en-US" w:eastAsia="zh-CN"/>
              </w:rPr>
            </w:pPr>
            <w:r>
              <w:rPr>
                <w:rFonts w:hint="eastAsia"/>
                <w:b/>
                <w:bCs/>
                <w:color w:val="auto"/>
                <w:kern w:val="0"/>
                <w:sz w:val="21"/>
                <w:szCs w:val="21"/>
                <w:lang w:val="en-US" w:eastAsia="zh-CN"/>
              </w:rPr>
              <w:t>8、与《危险废物焚烧污染控制标准》（GB18484-2020）的相符性分析</w:t>
            </w:r>
          </w:p>
          <w:p w14:paraId="7E8D62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lang w:val="en-US" w:eastAsia="zh-CN"/>
              </w:rPr>
            </w:pPr>
            <w:r>
              <w:rPr>
                <w:rFonts w:hint="eastAsia"/>
                <w:b/>
                <w:bCs/>
                <w:color w:val="auto"/>
                <w:sz w:val="21"/>
                <w:szCs w:val="21"/>
                <w:lang w:val="en-US" w:eastAsia="zh-CN"/>
              </w:rPr>
              <w:t>表1-13   与《危险废物焚烧污染控制标准》（GB18484-2020）相符性分析</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07"/>
              <w:gridCol w:w="4155"/>
              <w:gridCol w:w="3190"/>
            </w:tblGrid>
            <w:tr w14:paraId="5CA876B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07" w:type="dxa"/>
                  <w:tcBorders>
                    <w:tl2br w:val="nil"/>
                    <w:tr2bl w:val="nil"/>
                  </w:tcBorders>
                  <w:vAlign w:val="center"/>
                </w:tcPr>
                <w:p w14:paraId="6A84C6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类别</w:t>
                  </w:r>
                </w:p>
              </w:tc>
              <w:tc>
                <w:tcPr>
                  <w:tcW w:w="4155" w:type="dxa"/>
                  <w:tcBorders>
                    <w:tl2br w:val="nil"/>
                    <w:tr2bl w:val="nil"/>
                  </w:tcBorders>
                  <w:vAlign w:val="center"/>
                </w:tcPr>
                <w:p w14:paraId="3B87B6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文件要求</w:t>
                  </w:r>
                </w:p>
              </w:tc>
              <w:tc>
                <w:tcPr>
                  <w:tcW w:w="3190" w:type="dxa"/>
                  <w:tcBorders>
                    <w:tl2br w:val="nil"/>
                    <w:tr2bl w:val="nil"/>
                  </w:tcBorders>
                  <w:vAlign w:val="center"/>
                </w:tcPr>
                <w:p w14:paraId="0E0FC0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相符性</w:t>
                  </w:r>
                </w:p>
              </w:tc>
            </w:tr>
            <w:tr w14:paraId="396697E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07" w:type="dxa"/>
                  <w:tcBorders>
                    <w:tl2br w:val="nil"/>
                    <w:tr2bl w:val="nil"/>
                  </w:tcBorders>
                  <w:vAlign w:val="center"/>
                </w:tcPr>
                <w:p w14:paraId="04AB6F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选址要求</w:t>
                  </w:r>
                </w:p>
              </w:tc>
              <w:tc>
                <w:tcPr>
                  <w:tcW w:w="4155" w:type="dxa"/>
                  <w:tcBorders>
                    <w:tl2br w:val="nil"/>
                    <w:tr2bl w:val="nil"/>
                  </w:tcBorders>
                  <w:vAlign w:val="center"/>
                </w:tcPr>
                <w:p w14:paraId="312215AE">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危险废物焚烧设施选址应符合生态环境保护法律法规及相关法定规划要求，并综合考虑设施服务区域、交通运输、地质环境等基本要素，确保设施处于长期相对稳定的环境。鼓励危险废物焚烧设施入驻循环经济园区等市政设施的集中区域，在此区域内各设施功能布局可依据环境影响评价文件进行调整。</w:t>
                  </w:r>
                </w:p>
                <w:p w14:paraId="56081AD2">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2.焚烧设施选址不应位于国务院和国务院有关主管部门及省、自治区、直辖市人民政府划定的生态保护红线区域、永久基本农田集中区域和其他需要特别保护的区域内。</w:t>
                  </w:r>
                </w:p>
                <w:p w14:paraId="3EB77EA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3.焚烧设施厂址应与敏感目标之间设置一定的防护距离，防护距离应根据厂址条件、焚烧处置技术工艺、污染物排放特征及其扩散因素等综合确定，并应满足环境影响评价文件及审批意见要求。</w:t>
                  </w:r>
                </w:p>
              </w:tc>
              <w:tc>
                <w:tcPr>
                  <w:tcW w:w="3190" w:type="dxa"/>
                  <w:tcBorders>
                    <w:tl2br w:val="nil"/>
                    <w:tr2bl w:val="nil"/>
                  </w:tcBorders>
                  <w:vAlign w:val="center"/>
                </w:tcPr>
                <w:p w14:paraId="46A00B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本项目拟建地位于常州市金坛区薛埠镇奥托立夫大道1号，奥托立夫公司主要生产安全气袋用气体发生器及配套产气药、点火具等产品，项目生产原材料及产品和半成品具有易燃和爆炸危险性，</w:t>
                  </w:r>
                  <w:r>
                    <w:rPr>
                      <w:rFonts w:hint="eastAsia"/>
                      <w:b/>
                      <w:bCs/>
                      <w:color w:val="auto"/>
                      <w:sz w:val="21"/>
                      <w:szCs w:val="21"/>
                      <w:vertAlign w:val="baseline"/>
                      <w:lang w:val="en-US" w:eastAsia="zh-CN"/>
                    </w:rPr>
                    <w:t>项目选址必须保证周边可以设置足够的安全距离，远离居民及其他可能诱发爆炸连锁反应的区域。因此，奥托立夫厂区选址于金坛区南部薛埠镇奥托立夫大道1号，属于薛埠镇工业集中区，厂区选址距离居民等敏感点较远，厂区周边为山坳，厂区外围主要是林地、空地，有足够的安全屏障，满足安全距离设置要求。</w:t>
                  </w:r>
                </w:p>
              </w:tc>
            </w:tr>
          </w:tbl>
          <w:p w14:paraId="6D48A22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sz w:val="21"/>
                <w:szCs w:val="21"/>
                <w:lang w:val="en-US" w:eastAsia="zh-CN"/>
              </w:rPr>
            </w:pPr>
            <w:r>
              <w:rPr>
                <w:rFonts w:hint="eastAsia"/>
                <w:color w:val="auto"/>
                <w:sz w:val="21"/>
                <w:szCs w:val="21"/>
                <w:lang w:val="en-US" w:eastAsia="zh-CN"/>
              </w:rPr>
              <w:t>由上表可知，本项目符合《危险废物焚烧污染控制标准》（GB18484-2020）的相关要求。</w:t>
            </w:r>
          </w:p>
          <w:p w14:paraId="4503F3AD">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b/>
                <w:bCs/>
                <w:color w:val="FF0000"/>
                <w:sz w:val="21"/>
                <w:szCs w:val="21"/>
                <w:lang w:val="en-US" w:eastAsia="zh-CN"/>
              </w:rPr>
            </w:pPr>
            <w:r>
              <w:rPr>
                <w:rFonts w:hint="eastAsia"/>
                <w:b/>
                <w:bCs/>
                <w:color w:val="FF0000"/>
                <w:sz w:val="21"/>
                <w:szCs w:val="21"/>
                <w:lang w:val="en-US" w:eastAsia="zh-CN"/>
              </w:rPr>
              <w:t>9、与《关于加强二噁英污染防治的指导意见》（环发[2010]123号）的相符性分析</w:t>
            </w:r>
          </w:p>
          <w:p w14:paraId="1150A77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val="0"/>
                <w:bCs w:val="0"/>
                <w:color w:val="FF0000"/>
                <w:sz w:val="21"/>
                <w:szCs w:val="21"/>
                <w:lang w:val="en-US" w:eastAsia="zh-CN"/>
              </w:rPr>
            </w:pPr>
            <w:r>
              <w:rPr>
                <w:rFonts w:hint="eastAsia"/>
                <w:b w:val="0"/>
                <w:bCs w:val="0"/>
                <w:color w:val="FF0000"/>
                <w:sz w:val="21"/>
                <w:szCs w:val="21"/>
                <w:lang w:val="en-US" w:eastAsia="zh-CN"/>
              </w:rPr>
              <w:t>二</w:t>
            </w:r>
            <w:bookmarkStart w:id="39" w:name="_GoBack"/>
            <w:bookmarkEnd w:id="39"/>
            <w:r>
              <w:rPr>
                <w:rFonts w:hint="eastAsia"/>
                <w:b w:val="0"/>
                <w:bCs w:val="0"/>
                <w:color w:val="FF0000"/>
                <w:sz w:val="21"/>
                <w:szCs w:val="21"/>
                <w:lang w:val="en-US" w:eastAsia="zh-CN"/>
              </w:rPr>
              <w:t>噁英具有很强生物毒性，同时具有难以降解、可在生物体内蓄积的特点，进入环境将长期残留，对人类健康和可持续发展构成威胁。全国主要行业持久性有机污染物调查显示，我国17个主要行业二噁英排放企业有万余家，涉及钢铁、再生有色金属和废弃物焚烧等多个领域。随着我国经济社会快速发展，二噁英排放量呈增长趋势，我国二噁英污染防治面临严峻形势。党中央、国务院高度重视二噁英等持久性有机污染物污染防治问题。国务院2007年4月批准《国家实施计划》，对二噁英等持久性有机污染物污染防治工作提出了明确要求。各地要从贯彻落实科学发展观、建设生态文明和保障人民身体健康的高度进一步提高认识，把二噁英污染防治与当前实现节能减排目标，推动产业结构调整紧密结合起来，促进经济社会与环境协调发展。</w:t>
            </w:r>
          </w:p>
          <w:p w14:paraId="6674172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sz w:val="21"/>
                <w:szCs w:val="21"/>
                <w:lang w:val="en-US" w:eastAsia="zh-CN"/>
              </w:rPr>
            </w:pPr>
            <w:r>
              <w:rPr>
                <w:rFonts w:hint="eastAsia"/>
                <w:b/>
                <w:bCs/>
                <w:color w:val="FF0000"/>
                <w:sz w:val="21"/>
                <w:szCs w:val="21"/>
                <w:lang w:val="en-US" w:eastAsia="zh-CN"/>
              </w:rPr>
              <w:t>表1-14   与《关于加强二噁英污染防治的指导意见》（环发[2010]123号）相符性分析</w:t>
            </w:r>
          </w:p>
          <w:tbl>
            <w:tblPr>
              <w:tblStyle w:val="60"/>
              <w:tblW w:w="8152"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778"/>
              <w:gridCol w:w="3656"/>
              <w:gridCol w:w="2718"/>
            </w:tblGrid>
            <w:tr w14:paraId="67E44AE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78" w:type="dxa"/>
                  <w:tcBorders>
                    <w:tl2br w:val="nil"/>
                    <w:tr2bl w:val="nil"/>
                  </w:tcBorders>
                  <w:vAlign w:val="center"/>
                </w:tcPr>
                <w:p w14:paraId="772081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FF0000"/>
                      <w:sz w:val="21"/>
                      <w:szCs w:val="21"/>
                      <w:vertAlign w:val="baseline"/>
                      <w:lang w:val="en-US" w:eastAsia="zh-CN"/>
                    </w:rPr>
                  </w:pPr>
                  <w:r>
                    <w:rPr>
                      <w:rFonts w:hint="eastAsia"/>
                      <w:b/>
                      <w:bCs/>
                      <w:color w:val="FF0000"/>
                      <w:sz w:val="21"/>
                      <w:szCs w:val="21"/>
                      <w:vertAlign w:val="baseline"/>
                      <w:lang w:val="en-US" w:eastAsia="zh-CN"/>
                    </w:rPr>
                    <w:t>类别</w:t>
                  </w:r>
                </w:p>
              </w:tc>
              <w:tc>
                <w:tcPr>
                  <w:tcW w:w="3656" w:type="dxa"/>
                  <w:tcBorders>
                    <w:tl2br w:val="nil"/>
                    <w:tr2bl w:val="nil"/>
                  </w:tcBorders>
                  <w:vAlign w:val="center"/>
                </w:tcPr>
                <w:p w14:paraId="2F0A51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FF0000"/>
                      <w:sz w:val="21"/>
                      <w:szCs w:val="21"/>
                      <w:vertAlign w:val="baseline"/>
                      <w:lang w:val="en-US" w:eastAsia="zh-CN"/>
                    </w:rPr>
                  </w:pPr>
                  <w:r>
                    <w:rPr>
                      <w:rFonts w:hint="eastAsia"/>
                      <w:b/>
                      <w:bCs/>
                      <w:color w:val="FF0000"/>
                      <w:sz w:val="21"/>
                      <w:szCs w:val="21"/>
                      <w:vertAlign w:val="baseline"/>
                      <w:lang w:val="en-US" w:eastAsia="zh-CN"/>
                    </w:rPr>
                    <w:t>文件要求</w:t>
                  </w:r>
                </w:p>
              </w:tc>
              <w:tc>
                <w:tcPr>
                  <w:tcW w:w="2718" w:type="dxa"/>
                  <w:tcBorders>
                    <w:tl2br w:val="nil"/>
                    <w:tr2bl w:val="nil"/>
                  </w:tcBorders>
                  <w:vAlign w:val="center"/>
                </w:tcPr>
                <w:p w14:paraId="2E60AB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FF0000"/>
                      <w:sz w:val="21"/>
                      <w:szCs w:val="21"/>
                      <w:vertAlign w:val="baseline"/>
                      <w:lang w:val="en-US" w:eastAsia="zh-CN"/>
                    </w:rPr>
                  </w:pPr>
                  <w:r>
                    <w:rPr>
                      <w:rFonts w:hint="eastAsia"/>
                      <w:b/>
                      <w:bCs/>
                      <w:color w:val="FF0000"/>
                      <w:sz w:val="21"/>
                      <w:szCs w:val="21"/>
                      <w:vertAlign w:val="baseline"/>
                      <w:lang w:val="en-US" w:eastAsia="zh-CN"/>
                    </w:rPr>
                    <w:t>相符性</w:t>
                  </w:r>
                </w:p>
              </w:tc>
            </w:tr>
            <w:tr w14:paraId="719A54B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78" w:type="dxa"/>
                  <w:tcBorders>
                    <w:tl2br w:val="nil"/>
                    <w:tr2bl w:val="nil"/>
                  </w:tcBorders>
                  <w:vAlign w:val="center"/>
                </w:tcPr>
                <w:p w14:paraId="6D7DB1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FF0000"/>
                      <w:sz w:val="21"/>
                      <w:szCs w:val="21"/>
                      <w:vertAlign w:val="baseline"/>
                      <w:lang w:val="en-US" w:eastAsia="zh-CN"/>
                    </w:rPr>
                  </w:pPr>
                  <w:r>
                    <w:rPr>
                      <w:rFonts w:hint="eastAsia"/>
                      <w:color w:val="FF0000"/>
                      <w:sz w:val="21"/>
                      <w:szCs w:val="21"/>
                      <w:vertAlign w:val="baseline"/>
                      <w:lang w:val="en-US" w:eastAsia="zh-CN"/>
                    </w:rPr>
                    <w:t>淘汰落后产能</w:t>
                  </w:r>
                </w:p>
              </w:tc>
              <w:tc>
                <w:tcPr>
                  <w:tcW w:w="3656" w:type="dxa"/>
                  <w:tcBorders>
                    <w:tl2br w:val="nil"/>
                    <w:tr2bl w:val="nil"/>
                  </w:tcBorders>
                  <w:vAlign w:val="center"/>
                </w:tcPr>
                <w:p w14:paraId="08B872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FF0000"/>
                      <w:sz w:val="21"/>
                      <w:szCs w:val="21"/>
                      <w:vertAlign w:val="baseline"/>
                      <w:lang w:val="en-US" w:eastAsia="zh-CN"/>
                    </w:rPr>
                  </w:pPr>
                  <w:r>
                    <w:rPr>
                      <w:rFonts w:hint="eastAsia"/>
                      <w:color w:val="FF0000"/>
                      <w:sz w:val="21"/>
                      <w:szCs w:val="21"/>
                      <w:vertAlign w:val="baseline"/>
                      <w:lang w:val="en-US" w:eastAsia="zh-CN"/>
                    </w:rPr>
                    <w:t>严格落实《国务院关于进一步加强淘汰落后产能工作的通知》（国发[2010]7号），加大落后产能淘汰力度，加速淘汰二噁英污染严重、削减和控制无经济可行性的落后产能</w:t>
                  </w:r>
                </w:p>
              </w:tc>
              <w:tc>
                <w:tcPr>
                  <w:tcW w:w="2718" w:type="dxa"/>
                  <w:tcBorders>
                    <w:tl2br w:val="nil"/>
                    <w:tr2bl w:val="nil"/>
                  </w:tcBorders>
                  <w:vAlign w:val="center"/>
                </w:tcPr>
                <w:p w14:paraId="2850C2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FF0000"/>
                      <w:sz w:val="21"/>
                      <w:szCs w:val="21"/>
                      <w:vertAlign w:val="baseline"/>
                      <w:lang w:val="en-US" w:eastAsia="zh-CN"/>
                    </w:rPr>
                  </w:pPr>
                  <w:r>
                    <w:rPr>
                      <w:rFonts w:hint="eastAsia"/>
                      <w:color w:val="FF0000"/>
                      <w:sz w:val="21"/>
                      <w:szCs w:val="21"/>
                      <w:vertAlign w:val="baseline"/>
                      <w:lang w:val="en-US" w:eastAsia="zh-CN"/>
                    </w:rPr>
                    <w:t>企业不属于《国务院关于进一步加强淘汰落后产能工作的通知》（国发[2010]7号）中落后产能</w:t>
                  </w:r>
                </w:p>
              </w:tc>
            </w:tr>
            <w:tr w14:paraId="66D04F6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78" w:type="dxa"/>
                  <w:tcBorders>
                    <w:tl2br w:val="nil"/>
                    <w:tr2bl w:val="nil"/>
                  </w:tcBorders>
                  <w:vAlign w:val="center"/>
                </w:tcPr>
                <w:p w14:paraId="655F8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FF0000"/>
                      <w:sz w:val="21"/>
                      <w:szCs w:val="21"/>
                      <w:vertAlign w:val="baseline"/>
                      <w:lang w:val="en-US" w:eastAsia="zh-CN"/>
                    </w:rPr>
                  </w:pPr>
                  <w:r>
                    <w:rPr>
                      <w:rFonts w:hint="eastAsia"/>
                      <w:color w:val="FF0000"/>
                      <w:sz w:val="21"/>
                      <w:szCs w:val="21"/>
                      <w:vertAlign w:val="baseline"/>
                      <w:lang w:val="en-US" w:eastAsia="zh-CN"/>
                    </w:rPr>
                    <w:t>严格环境准入条件</w:t>
                  </w:r>
                </w:p>
              </w:tc>
              <w:tc>
                <w:tcPr>
                  <w:tcW w:w="3656" w:type="dxa"/>
                  <w:tcBorders>
                    <w:tl2br w:val="nil"/>
                    <w:tr2bl w:val="nil"/>
                  </w:tcBorders>
                  <w:vAlign w:val="center"/>
                </w:tcPr>
                <w:p w14:paraId="1AF4BA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FF0000"/>
                      <w:sz w:val="21"/>
                      <w:szCs w:val="21"/>
                      <w:vertAlign w:val="baseline"/>
                      <w:lang w:val="en-US" w:eastAsia="zh-CN"/>
                    </w:rPr>
                  </w:pPr>
                  <w:r>
                    <w:rPr>
                      <w:rFonts w:hint="eastAsia"/>
                      <w:color w:val="FF0000"/>
                      <w:sz w:val="21"/>
                      <w:szCs w:val="21"/>
                      <w:vertAlign w:val="baseline"/>
                      <w:lang w:val="en-US" w:eastAsia="zh-CN"/>
                    </w:rPr>
                    <w:t>进一步完善环境影响评价制度，在审批建设项目环境影响评价文件时要充分考虑二噁英削减和控制要求，将二噁英作为主要特征污染物逐步纳入有关行业的环境影响评价中。加强新建、改建、扩建项目竣工环境保护验收中二噁英排放监测，确保按要求达标排放，从源头控制二噁英产生。在京津冀、长三角、珠三角等重点区域开展二噁英排放总量控制试点工作</w:t>
                  </w:r>
                </w:p>
              </w:tc>
              <w:tc>
                <w:tcPr>
                  <w:tcW w:w="2718" w:type="dxa"/>
                  <w:tcBorders>
                    <w:tl2br w:val="nil"/>
                    <w:tr2bl w:val="nil"/>
                  </w:tcBorders>
                  <w:vAlign w:val="center"/>
                </w:tcPr>
                <w:p w14:paraId="0979B1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FF0000"/>
                      <w:sz w:val="21"/>
                      <w:szCs w:val="21"/>
                      <w:vertAlign w:val="baseline"/>
                      <w:lang w:val="en-US" w:eastAsia="zh-CN"/>
                    </w:rPr>
                  </w:pPr>
                  <w:r>
                    <w:rPr>
                      <w:rFonts w:hint="eastAsia"/>
                      <w:color w:val="FF0000"/>
                      <w:sz w:val="21"/>
                      <w:szCs w:val="21"/>
                      <w:vertAlign w:val="baseline"/>
                      <w:lang w:val="en-US" w:eastAsia="zh-CN"/>
                    </w:rPr>
                    <w:t>企业此前环境影响评价文件已将二噁英作为主要特征污染物进行考虑，此前验收报告中二噁英排放监测能满达标排放</w:t>
                  </w:r>
                </w:p>
              </w:tc>
            </w:tr>
            <w:tr w14:paraId="29DC6F9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78" w:type="dxa"/>
                  <w:tcBorders>
                    <w:tl2br w:val="nil"/>
                    <w:tr2bl w:val="nil"/>
                  </w:tcBorders>
                  <w:vAlign w:val="center"/>
                </w:tcPr>
                <w:p w14:paraId="7C89C8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FF0000"/>
                      <w:sz w:val="21"/>
                      <w:szCs w:val="21"/>
                      <w:vertAlign w:val="baseline"/>
                      <w:lang w:val="en-US" w:eastAsia="zh-CN"/>
                    </w:rPr>
                  </w:pPr>
                  <w:r>
                    <w:rPr>
                      <w:rFonts w:hint="eastAsia"/>
                      <w:color w:val="FF0000"/>
                      <w:sz w:val="21"/>
                      <w:szCs w:val="21"/>
                      <w:vertAlign w:val="baseline"/>
                      <w:lang w:val="en-US" w:eastAsia="zh-CN"/>
                    </w:rPr>
                    <w:t>推进高标准废弃物焚烧设施建设</w:t>
                  </w:r>
                </w:p>
              </w:tc>
              <w:tc>
                <w:tcPr>
                  <w:tcW w:w="3656" w:type="dxa"/>
                  <w:tcBorders>
                    <w:tl2br w:val="nil"/>
                    <w:tr2bl w:val="nil"/>
                  </w:tcBorders>
                  <w:vAlign w:val="center"/>
                </w:tcPr>
                <w:p w14:paraId="5255E0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FF0000"/>
                      <w:sz w:val="21"/>
                      <w:szCs w:val="21"/>
                      <w:vertAlign w:val="baseline"/>
                      <w:lang w:val="en-US" w:eastAsia="zh-CN"/>
                    </w:rPr>
                  </w:pPr>
                  <w:r>
                    <w:rPr>
                      <w:rFonts w:hint="eastAsia"/>
                      <w:color w:val="FF0000"/>
                      <w:sz w:val="21"/>
                      <w:szCs w:val="21"/>
                      <w:vertAlign w:val="baseline"/>
                      <w:lang w:val="en-US" w:eastAsia="zh-CN"/>
                    </w:rPr>
                    <w:t>结合落实《全国城镇生活垃圾处理设施建设规划》《危险废物和医疗废物集中处置设施建设规划》，加快淘汰污染严重、工艺落后的废弃物焚烧设施，推进高标准集中处置设施建设，减少二噁英排放。加强废弃物焚烧设施运行管理，严格落实《生活垃圾焚烧污染控制标准》《危险废物焚烧污染控制标准》技术要求。新建焚烧设施，应优先选用成熟技术，审慎采用目前尚未得到实际应用验证的焚烧炉型。建立企业环境信息公开制度，废弃物焚烧企业应当向社会发布年度环境报告书。主要工艺指标及硫氧化物、氮氧化物、氯化氢等污染因子应实施在线监测，并与当地环保部门联网。污染物排放应每季度采样检测一次。应在厂区明显位置设置显示屏，将炉温、烟气停留时间、烟气出口温度、一氧化碳等数据向社会公布，接受社会监督</w:t>
                  </w:r>
                </w:p>
              </w:tc>
              <w:tc>
                <w:tcPr>
                  <w:tcW w:w="2718" w:type="dxa"/>
                  <w:tcBorders>
                    <w:tl2br w:val="nil"/>
                    <w:tr2bl w:val="nil"/>
                  </w:tcBorders>
                  <w:vAlign w:val="center"/>
                </w:tcPr>
                <w:p w14:paraId="7045DB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FF0000"/>
                      <w:sz w:val="21"/>
                      <w:szCs w:val="21"/>
                      <w:vertAlign w:val="baseline"/>
                      <w:lang w:val="en-US" w:eastAsia="zh-CN"/>
                    </w:rPr>
                  </w:pPr>
                  <w:r>
                    <w:rPr>
                      <w:rFonts w:hint="eastAsia"/>
                      <w:color w:val="FF0000"/>
                      <w:sz w:val="21"/>
                      <w:szCs w:val="21"/>
                      <w:vertAlign w:val="baseline"/>
                      <w:lang w:val="en-US" w:eastAsia="zh-CN"/>
                    </w:rPr>
                    <w:t>本项目不合格品焚烧产生的有机废气、颗粒物、二噁英等废气经管道密闭收集。收集后的废气进入1套“SNCR脱硝+急冷除盐+干粉吸收+布袋除尘+臭氧氧化+碱喷淋吸收装置”处理后通过1根25m高的排气筒3#排放，焚烧装置设置可满足《危险废物焚烧污染控制标准》（GB 18484-2020）中相关技术要求</w:t>
                  </w:r>
                </w:p>
              </w:tc>
            </w:tr>
          </w:tbl>
          <w:p w14:paraId="3043097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sz w:val="21"/>
                <w:szCs w:val="21"/>
                <w:lang w:val="en-US" w:eastAsia="zh-CN"/>
              </w:rPr>
            </w:pPr>
          </w:p>
          <w:p w14:paraId="7756F3D9">
            <w:pPr>
              <w:rPr>
                <w:rFonts w:hint="eastAsia"/>
                <w:color w:val="auto"/>
                <w:sz w:val="21"/>
                <w:szCs w:val="21"/>
                <w:lang w:val="en-US" w:eastAsia="zh-CN"/>
              </w:rPr>
            </w:pPr>
          </w:p>
        </w:tc>
      </w:tr>
    </w:tbl>
    <w:p w14:paraId="61138891">
      <w:pPr>
        <w:spacing w:line="360" w:lineRule="auto"/>
        <w:rPr>
          <w:color w:val="auto"/>
          <w:sz w:val="24"/>
        </w:rPr>
        <w:sectPr>
          <w:footerReference r:id="rId4" w:type="default"/>
          <w:pgSz w:w="11906" w:h="16838"/>
          <w:pgMar w:top="1418" w:right="1418" w:bottom="1418" w:left="1418" w:header="851" w:footer="1077" w:gutter="0"/>
          <w:pgBorders>
            <w:top w:val="none" w:sz="0" w:space="0"/>
            <w:left w:val="none" w:sz="0" w:space="0"/>
            <w:bottom w:val="none" w:sz="0" w:space="0"/>
            <w:right w:val="none" w:sz="0" w:space="0"/>
          </w:pgBorders>
          <w:pgNumType w:start="1"/>
          <w:cols w:space="720" w:num="1"/>
          <w:docGrid w:linePitch="312" w:charSpace="0"/>
        </w:sectPr>
      </w:pPr>
    </w:p>
    <w:p w14:paraId="3A84EFDD">
      <w:pPr>
        <w:pStyle w:val="55"/>
        <w:rPr>
          <w:color w:val="auto"/>
        </w:rPr>
      </w:pPr>
      <w:bookmarkStart w:id="8" w:name="_Toc11310"/>
      <w:bookmarkStart w:id="9" w:name="_Toc137559020"/>
      <w:bookmarkStart w:id="10" w:name="_Toc14795"/>
      <w:r>
        <w:rPr>
          <w:color w:val="auto"/>
        </w:rPr>
        <w:t>二、建设项目工程分析</w:t>
      </w:r>
      <w:bookmarkEnd w:id="8"/>
      <w:bookmarkEnd w:id="9"/>
      <w:bookmarkEnd w:id="10"/>
    </w:p>
    <w:tbl>
      <w:tblPr>
        <w:tblStyle w:val="59"/>
        <w:tblpPr w:leftFromText="180" w:rightFromText="180" w:vertAnchor="text" w:tblpXSpec="center" w:tblpY="1"/>
        <w:tblOverlap w:val="never"/>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21"/>
        <w:gridCol w:w="8765"/>
      </w:tblGrid>
      <w:tr w14:paraId="3A84F9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561" w:hRule="atLeast"/>
          <w:jc w:val="center"/>
        </w:trPr>
        <w:tc>
          <w:tcPr>
            <w:tcW w:w="521" w:type="dxa"/>
            <w:vAlign w:val="center"/>
          </w:tcPr>
          <w:p w14:paraId="3A84EFDE">
            <w:pPr>
              <w:pStyle w:val="55"/>
              <w:rPr>
                <w:color w:val="auto"/>
                <w:sz w:val="21"/>
                <w:szCs w:val="21"/>
              </w:rPr>
            </w:pPr>
            <w:r>
              <w:rPr>
                <w:color w:val="auto"/>
                <w:sz w:val="21"/>
                <w:szCs w:val="21"/>
              </w:rPr>
              <w:t>建设内容</w:t>
            </w:r>
          </w:p>
        </w:tc>
        <w:tc>
          <w:tcPr>
            <w:tcW w:w="8765" w:type="dxa"/>
          </w:tcPr>
          <w:p w14:paraId="3A84EFDF">
            <w:pPr>
              <w:autoSpaceDE w:val="0"/>
              <w:autoSpaceDN w:val="0"/>
              <w:adjustRightInd w:val="0"/>
              <w:snapToGrid w:val="0"/>
              <w:spacing w:line="360" w:lineRule="auto"/>
              <w:jc w:val="left"/>
              <w:rPr>
                <w:rFonts w:cs="宋体"/>
                <w:b/>
                <w:bCs/>
                <w:color w:val="auto"/>
              </w:rPr>
            </w:pPr>
            <w:r>
              <w:rPr>
                <w:rFonts w:hint="eastAsia" w:cs="宋体"/>
                <w:b/>
                <w:bCs/>
                <w:color w:val="auto"/>
              </w:rPr>
              <w:t>2.1 建设内容</w:t>
            </w:r>
          </w:p>
          <w:p w14:paraId="3A84EFE0">
            <w:pPr>
              <w:autoSpaceDE w:val="0"/>
              <w:autoSpaceDN w:val="0"/>
              <w:adjustRightInd w:val="0"/>
              <w:snapToGrid w:val="0"/>
              <w:spacing w:line="360" w:lineRule="auto"/>
              <w:jc w:val="left"/>
              <w:rPr>
                <w:rFonts w:cs="宋体"/>
                <w:b/>
                <w:bCs/>
                <w:color w:val="auto"/>
              </w:rPr>
            </w:pPr>
            <w:r>
              <w:rPr>
                <w:rFonts w:hint="eastAsia" w:cs="宋体"/>
                <w:b/>
                <w:bCs/>
                <w:color w:val="auto"/>
              </w:rPr>
              <w:t>2.1.1 项目由来</w:t>
            </w:r>
          </w:p>
          <w:p w14:paraId="3A84EFE1">
            <w:pPr>
              <w:adjustRightInd w:val="0"/>
              <w:snapToGrid w:val="0"/>
              <w:spacing w:line="360" w:lineRule="auto"/>
              <w:ind w:firstLine="420" w:firstLineChars="200"/>
              <w:rPr>
                <w:rFonts w:cs="宋体"/>
                <w:color w:val="auto"/>
              </w:rPr>
            </w:pPr>
            <w:r>
              <w:rPr>
                <w:rFonts w:hint="eastAsia" w:cs="新宋体"/>
                <w:color w:val="auto"/>
                <w:kern w:val="0"/>
                <w:lang w:bidi="ar"/>
              </w:rPr>
              <w:t>奥托立夫（江苏）汽车安全零部件有限公司</w:t>
            </w:r>
            <w:r>
              <w:rPr>
                <w:rFonts w:hint="eastAsia" w:cs="宋体"/>
                <w:color w:val="auto"/>
              </w:rPr>
              <w:t>位于</w:t>
            </w:r>
            <w:r>
              <w:rPr>
                <w:rFonts w:hint="eastAsia"/>
                <w:color w:val="auto"/>
              </w:rPr>
              <w:t>江苏省常州市金坛区薛埠镇奥托立夫大道1号</w:t>
            </w:r>
            <w:r>
              <w:rPr>
                <w:rFonts w:hint="eastAsia" w:cs="宋体"/>
                <w:color w:val="auto"/>
              </w:rPr>
              <w:t>，成立于2012年01月21日。公司经营范围为：设计、生产汽车用安全气囊气体发生器以及小型气体发生器，汽车安全装置用传火药、自点火药，汽车安全装置用产气药，销售自产产品并提供产品的售后服务，包括汽车用安全装置无害化处理相关服务，含模块拆卸、安全带（含预紧式）拆卸、过期发生器安全处理，以及从事相关的研发（限分支机构生产经营）。（依法须经批准的项目，经相关部门批准后方可开展经营活动）。</w:t>
            </w:r>
          </w:p>
          <w:p w14:paraId="3A84EFE2">
            <w:pPr>
              <w:pStyle w:val="706"/>
              <w:adjustRightInd w:val="0"/>
              <w:snapToGrid w:val="0"/>
              <w:spacing w:line="360" w:lineRule="auto"/>
              <w:ind w:firstLine="420"/>
              <w:jc w:val="both"/>
              <w:rPr>
                <w:rFonts w:eastAsia="宋体"/>
                <w:b w:val="0"/>
                <w:bCs/>
                <w:color w:val="auto"/>
                <w:sz w:val="21"/>
                <w:szCs w:val="21"/>
              </w:rPr>
            </w:pPr>
            <w:r>
              <w:rPr>
                <w:rFonts w:hint="eastAsia" w:eastAsia="宋体"/>
                <w:b w:val="0"/>
                <w:bCs/>
                <w:color w:val="auto"/>
                <w:sz w:val="21"/>
                <w:szCs w:val="21"/>
              </w:rPr>
              <w:t>建设单位拟投资</w:t>
            </w:r>
            <w:r>
              <w:rPr>
                <w:rFonts w:hint="eastAsia" w:eastAsia="宋体"/>
                <w:b w:val="0"/>
                <w:bCs/>
                <w:color w:val="auto"/>
                <w:sz w:val="21"/>
                <w:szCs w:val="21"/>
                <w:lang w:val="en-US" w:eastAsia="zh-CN"/>
              </w:rPr>
              <w:t>42000</w:t>
            </w:r>
            <w:r>
              <w:rPr>
                <w:rFonts w:hint="eastAsia" w:eastAsia="宋体"/>
                <w:b w:val="0"/>
                <w:bCs/>
                <w:color w:val="auto"/>
                <w:sz w:val="21"/>
                <w:szCs w:val="21"/>
              </w:rPr>
              <w:t>万元</w:t>
            </w:r>
            <w:r>
              <w:rPr>
                <w:rFonts w:hint="eastAsia" w:eastAsia="宋体"/>
                <w:b w:val="0"/>
                <w:bCs/>
                <w:color w:val="auto"/>
                <w:sz w:val="21"/>
                <w:szCs w:val="21"/>
                <w:lang w:val="en-US" w:eastAsia="zh-CN"/>
              </w:rPr>
              <w:t>建设</w:t>
            </w:r>
            <w:r>
              <w:rPr>
                <w:rFonts w:hint="eastAsia" w:eastAsia="宋体"/>
                <w:b w:val="0"/>
                <w:bCs/>
                <w:color w:val="auto"/>
                <w:sz w:val="21"/>
                <w:szCs w:val="21"/>
              </w:rPr>
              <w:t>年产2000万件气体发生器生产配套项目，该项目位于</w:t>
            </w:r>
            <w:r>
              <w:rPr>
                <w:rFonts w:hint="eastAsia" w:eastAsia="宋体"/>
                <w:b w:val="0"/>
                <w:bCs/>
                <w:color w:val="auto"/>
                <w:sz w:val="21"/>
                <w:szCs w:val="21"/>
                <w:lang w:val="en-US" w:eastAsia="zh-CN"/>
              </w:rPr>
              <w:t>常州市金坛区薛埠镇奥托立夫大道1号</w:t>
            </w:r>
            <w:r>
              <w:rPr>
                <w:rFonts w:hint="eastAsia" w:eastAsia="宋体"/>
                <w:b w:val="0"/>
                <w:bCs/>
                <w:color w:val="auto"/>
                <w:sz w:val="21"/>
                <w:szCs w:val="21"/>
              </w:rPr>
              <w:t>。</w:t>
            </w:r>
            <w:r>
              <w:rPr>
                <w:rFonts w:eastAsia="宋体"/>
                <w:b w:val="0"/>
                <w:bCs/>
                <w:color w:val="auto"/>
                <w:sz w:val="21"/>
                <w:szCs w:val="21"/>
              </w:rPr>
              <w:t>本项目于202</w:t>
            </w:r>
            <w:r>
              <w:rPr>
                <w:rFonts w:hint="eastAsia" w:eastAsia="宋体"/>
                <w:b w:val="0"/>
                <w:bCs/>
                <w:color w:val="auto"/>
                <w:sz w:val="21"/>
                <w:szCs w:val="21"/>
                <w:lang w:val="en-US" w:eastAsia="zh-CN"/>
              </w:rPr>
              <w:t>3</w:t>
            </w:r>
            <w:r>
              <w:rPr>
                <w:rFonts w:eastAsia="宋体"/>
                <w:b w:val="0"/>
                <w:bCs/>
                <w:color w:val="auto"/>
                <w:sz w:val="21"/>
                <w:szCs w:val="21"/>
              </w:rPr>
              <w:t>年</w:t>
            </w:r>
            <w:r>
              <w:rPr>
                <w:rFonts w:hint="eastAsia" w:eastAsia="宋体"/>
                <w:b w:val="0"/>
                <w:bCs/>
                <w:color w:val="auto"/>
                <w:sz w:val="21"/>
                <w:szCs w:val="21"/>
                <w:lang w:val="en-US" w:eastAsia="zh-CN"/>
              </w:rPr>
              <w:t>1</w:t>
            </w:r>
            <w:r>
              <w:rPr>
                <w:rFonts w:eastAsia="宋体"/>
                <w:b w:val="0"/>
                <w:bCs/>
                <w:color w:val="auto"/>
                <w:sz w:val="21"/>
                <w:szCs w:val="21"/>
              </w:rPr>
              <w:t>月</w:t>
            </w:r>
            <w:r>
              <w:rPr>
                <w:rFonts w:hint="eastAsia" w:eastAsia="宋体"/>
                <w:b w:val="0"/>
                <w:bCs/>
                <w:color w:val="auto"/>
                <w:sz w:val="21"/>
                <w:szCs w:val="21"/>
                <w:lang w:val="en-US" w:eastAsia="zh-CN"/>
              </w:rPr>
              <w:t>13</w:t>
            </w:r>
            <w:r>
              <w:rPr>
                <w:rFonts w:eastAsia="宋体"/>
                <w:b w:val="0"/>
                <w:bCs/>
                <w:color w:val="auto"/>
                <w:sz w:val="21"/>
                <w:szCs w:val="21"/>
              </w:rPr>
              <w:t>日取得</w:t>
            </w:r>
            <w:r>
              <w:rPr>
                <w:rFonts w:hint="eastAsia" w:eastAsia="宋体"/>
                <w:b w:val="0"/>
                <w:bCs/>
                <w:color w:val="auto"/>
                <w:sz w:val="21"/>
                <w:szCs w:val="21"/>
              </w:rPr>
              <w:t>常州市金坛区发展和改革局</w:t>
            </w:r>
            <w:r>
              <w:rPr>
                <w:rFonts w:eastAsia="宋体"/>
                <w:b w:val="0"/>
                <w:bCs/>
                <w:color w:val="auto"/>
                <w:sz w:val="21"/>
                <w:szCs w:val="21"/>
              </w:rPr>
              <w:t>关于《</w:t>
            </w:r>
            <w:r>
              <w:rPr>
                <w:rFonts w:hint="eastAsia" w:eastAsia="宋体"/>
                <w:b w:val="0"/>
                <w:bCs/>
                <w:color w:val="auto"/>
                <w:sz w:val="21"/>
                <w:szCs w:val="21"/>
              </w:rPr>
              <w:t>年产2000万件气体发生器生产配套项目</w:t>
            </w:r>
            <w:r>
              <w:rPr>
                <w:rFonts w:eastAsia="宋体"/>
                <w:b w:val="0"/>
                <w:bCs/>
                <w:color w:val="auto"/>
                <w:sz w:val="21"/>
                <w:szCs w:val="21"/>
              </w:rPr>
              <w:t>》</w:t>
            </w:r>
            <w:r>
              <w:rPr>
                <w:rFonts w:hint="eastAsia" w:eastAsia="宋体"/>
                <w:b w:val="0"/>
                <w:bCs/>
                <w:color w:val="auto"/>
                <w:sz w:val="21"/>
                <w:szCs w:val="21"/>
              </w:rPr>
              <w:t>的备案证（坛</w:t>
            </w:r>
            <w:r>
              <w:rPr>
                <w:rFonts w:hint="eastAsia" w:eastAsia="宋体"/>
                <w:b w:val="0"/>
                <w:bCs/>
                <w:color w:val="auto"/>
                <w:sz w:val="21"/>
                <w:szCs w:val="21"/>
                <w:lang w:val="en-US" w:eastAsia="zh-CN"/>
              </w:rPr>
              <w:t>发改</w:t>
            </w:r>
            <w:r>
              <w:rPr>
                <w:rFonts w:hint="eastAsia" w:eastAsia="宋体"/>
                <w:b w:val="0"/>
                <w:bCs/>
                <w:color w:val="auto"/>
                <w:sz w:val="21"/>
                <w:szCs w:val="21"/>
              </w:rPr>
              <w:t>备[202</w:t>
            </w:r>
            <w:r>
              <w:rPr>
                <w:rFonts w:hint="eastAsia" w:eastAsia="宋体"/>
                <w:b w:val="0"/>
                <w:bCs/>
                <w:color w:val="auto"/>
                <w:sz w:val="21"/>
                <w:szCs w:val="21"/>
                <w:lang w:val="en-US" w:eastAsia="zh-CN"/>
              </w:rPr>
              <w:t>3</w:t>
            </w:r>
            <w:r>
              <w:rPr>
                <w:rFonts w:hint="eastAsia" w:eastAsia="宋体"/>
                <w:b w:val="0"/>
                <w:bCs/>
                <w:color w:val="auto"/>
                <w:sz w:val="21"/>
                <w:szCs w:val="21"/>
              </w:rPr>
              <w:t>]</w:t>
            </w:r>
            <w:r>
              <w:rPr>
                <w:rFonts w:hint="eastAsia" w:eastAsia="宋体"/>
                <w:b w:val="0"/>
                <w:bCs/>
                <w:color w:val="auto"/>
                <w:sz w:val="21"/>
                <w:szCs w:val="21"/>
                <w:lang w:val="en-US" w:eastAsia="zh-CN"/>
              </w:rPr>
              <w:t>1</w:t>
            </w:r>
            <w:r>
              <w:rPr>
                <w:rFonts w:hint="eastAsia" w:eastAsia="宋体"/>
                <w:b w:val="0"/>
                <w:bCs/>
                <w:color w:val="auto"/>
                <w:sz w:val="21"/>
                <w:szCs w:val="21"/>
              </w:rPr>
              <w:t>8号），</w:t>
            </w:r>
            <w:r>
              <w:rPr>
                <w:rFonts w:eastAsia="宋体"/>
                <w:b w:val="0"/>
                <w:bCs/>
                <w:color w:val="auto"/>
                <w:sz w:val="21"/>
                <w:szCs w:val="21"/>
              </w:rPr>
              <w:t>项目编号为</w:t>
            </w:r>
            <w:r>
              <w:rPr>
                <w:rFonts w:hint="eastAsia" w:eastAsia="宋体"/>
                <w:b w:val="0"/>
                <w:bCs/>
                <w:color w:val="auto"/>
                <w:sz w:val="21"/>
                <w:szCs w:val="21"/>
                <w:lang w:eastAsia="zh-CN"/>
              </w:rPr>
              <w:t>2301-320413-04-01-964596</w:t>
            </w:r>
            <w:r>
              <w:rPr>
                <w:rFonts w:eastAsia="宋体"/>
                <w:b w:val="0"/>
                <w:bCs/>
                <w:color w:val="auto"/>
                <w:sz w:val="21"/>
                <w:szCs w:val="21"/>
              </w:rPr>
              <w:t>。</w:t>
            </w:r>
          </w:p>
          <w:p w14:paraId="46E8EC4E">
            <w:pPr>
              <w:pStyle w:val="706"/>
              <w:adjustRightInd w:val="0"/>
              <w:snapToGrid w:val="0"/>
              <w:spacing w:line="360" w:lineRule="auto"/>
              <w:ind w:firstLine="420"/>
              <w:jc w:val="both"/>
              <w:rPr>
                <w:rFonts w:hint="default" w:eastAsia="宋体"/>
                <w:b/>
                <w:bCs w:val="0"/>
                <w:color w:val="auto"/>
                <w:sz w:val="21"/>
                <w:szCs w:val="21"/>
                <w:lang w:val="en-US" w:eastAsia="zh-CN"/>
              </w:rPr>
            </w:pPr>
            <w:r>
              <w:rPr>
                <w:rFonts w:hint="eastAsia" w:eastAsia="宋体"/>
                <w:b/>
                <w:bCs w:val="0"/>
                <w:color w:val="auto"/>
                <w:sz w:val="21"/>
                <w:szCs w:val="21"/>
                <w:lang w:val="en-US" w:eastAsia="zh-CN"/>
              </w:rPr>
              <w:t>备注：备案中新增工业用地53亩，新建厂房14000平方米；年产2000万件气体发生器。本项目使用厂房为附图3中304厂房（详见附图3），厂房建筑面积为3936平方米，因此本项目建设内容未超出备案内容。</w:t>
            </w:r>
          </w:p>
          <w:p w14:paraId="63F5A854">
            <w:pPr>
              <w:pStyle w:val="706"/>
              <w:adjustRightInd w:val="0"/>
              <w:snapToGrid w:val="0"/>
              <w:spacing w:line="360" w:lineRule="auto"/>
              <w:ind w:firstLine="420"/>
              <w:jc w:val="both"/>
              <w:rPr>
                <w:rFonts w:hint="default" w:eastAsia="宋体"/>
                <w:b/>
                <w:bCs w:val="0"/>
                <w:color w:val="auto"/>
                <w:sz w:val="21"/>
                <w:szCs w:val="21"/>
                <w:lang w:val="en-US" w:eastAsia="zh-CN"/>
              </w:rPr>
            </w:pPr>
            <w:r>
              <w:rPr>
                <w:rFonts w:hint="eastAsia" w:eastAsia="宋体"/>
                <w:b/>
                <w:bCs w:val="0"/>
                <w:color w:val="auto"/>
                <w:sz w:val="21"/>
                <w:szCs w:val="21"/>
                <w:lang w:val="en-US" w:eastAsia="zh-CN"/>
              </w:rPr>
              <w:t>目前该厂房已经建成，并且已经取得了房产证（详见附件5，附件5的房产证为303号厂房和304号厂房）。因此本次环评不包含相关厂房建设的评价内容，仅对</w:t>
            </w:r>
            <w:r>
              <w:rPr>
                <w:rFonts w:hint="eastAsia" w:eastAsia="宋体"/>
                <w:b/>
                <w:bCs w:val="0"/>
                <w:color w:val="auto"/>
                <w:sz w:val="21"/>
                <w:szCs w:val="21"/>
              </w:rPr>
              <w:t>年产2000万件气体发生器</w:t>
            </w:r>
            <w:r>
              <w:rPr>
                <w:rFonts w:hint="eastAsia" w:eastAsia="宋体"/>
                <w:b/>
                <w:bCs w:val="0"/>
                <w:color w:val="auto"/>
                <w:sz w:val="21"/>
                <w:szCs w:val="21"/>
                <w:lang w:val="en-US" w:eastAsia="zh-CN"/>
              </w:rPr>
              <w:t>相关的建设内容评价。</w:t>
            </w:r>
          </w:p>
          <w:p w14:paraId="3A84EFE3">
            <w:pPr>
              <w:adjustRightInd w:val="0"/>
              <w:snapToGrid w:val="0"/>
              <w:spacing w:line="360" w:lineRule="auto"/>
              <w:ind w:firstLine="420" w:firstLineChars="200"/>
              <w:rPr>
                <w:color w:val="auto"/>
              </w:rPr>
            </w:pPr>
            <w:r>
              <w:rPr>
                <w:rFonts w:hint="eastAsia" w:cs="宋体"/>
                <w:color w:val="auto"/>
              </w:rPr>
              <w:t>对照《建设项目环境影响评价分类管理名录（2021年版）》（生态环境部令第16号），</w:t>
            </w:r>
            <w:r>
              <w:rPr>
                <w:color w:val="auto"/>
              </w:rPr>
              <w:t>本项目属于</w:t>
            </w:r>
            <w:r>
              <w:rPr>
                <w:rFonts w:hint="eastAsia"/>
                <w:color w:val="auto"/>
              </w:rPr>
              <w:t>“</w:t>
            </w:r>
            <w:r>
              <w:rPr>
                <w:rFonts w:hint="eastAsia" w:cs="宋体"/>
                <w:color w:val="auto"/>
                <w:lang w:val="en-US" w:eastAsia="zh-CN"/>
              </w:rPr>
              <w:t>三十三</w:t>
            </w:r>
            <w:r>
              <w:rPr>
                <w:rFonts w:hint="eastAsia" w:cs="宋体"/>
                <w:color w:val="auto"/>
              </w:rPr>
              <w:t>、</w:t>
            </w:r>
            <w:r>
              <w:rPr>
                <w:rFonts w:hint="eastAsia" w:cs="宋体"/>
                <w:color w:val="auto"/>
                <w:lang w:val="en-US" w:eastAsia="zh-CN"/>
              </w:rPr>
              <w:t>汽车制造业36</w:t>
            </w:r>
            <w:r>
              <w:rPr>
                <w:rFonts w:hint="eastAsia"/>
                <w:color w:val="auto"/>
              </w:rPr>
              <w:t>”中“</w:t>
            </w:r>
            <w:r>
              <w:rPr>
                <w:rFonts w:hint="eastAsia"/>
                <w:color w:val="auto"/>
                <w:lang w:val="en-US" w:eastAsia="zh-CN"/>
              </w:rPr>
              <w:t>汽车零部件及配件制造367</w:t>
            </w:r>
            <w:r>
              <w:rPr>
                <w:rFonts w:hint="eastAsia"/>
                <w:color w:val="auto"/>
              </w:rPr>
              <w:t>”中“其他</w:t>
            </w:r>
            <w:r>
              <w:rPr>
                <w:rFonts w:hint="eastAsia"/>
                <w:color w:val="auto"/>
                <w:kern w:val="0"/>
              </w:rPr>
              <w:t>（年用非溶剂型低VOCs含量涂料10吨以下的除外）</w:t>
            </w:r>
            <w:r>
              <w:rPr>
                <w:rFonts w:hint="eastAsia"/>
                <w:color w:val="auto"/>
              </w:rPr>
              <w:t>”</w:t>
            </w:r>
            <w:r>
              <w:rPr>
                <w:color w:val="auto"/>
              </w:rPr>
              <w:t>，应编制环境影响报告表。</w:t>
            </w:r>
          </w:p>
          <w:p w14:paraId="3A84EFE4">
            <w:pPr>
              <w:adjustRightInd w:val="0"/>
              <w:snapToGrid w:val="0"/>
              <w:spacing w:line="360" w:lineRule="auto"/>
              <w:ind w:firstLine="420" w:firstLineChars="200"/>
              <w:rPr>
                <w:rFonts w:cs="宋体"/>
                <w:color w:val="auto"/>
              </w:rPr>
            </w:pPr>
            <w:r>
              <w:rPr>
                <w:rFonts w:hint="eastAsia" w:cs="新宋体"/>
                <w:color w:val="auto"/>
                <w:kern w:val="0"/>
                <w:lang w:bidi="ar"/>
              </w:rPr>
              <w:t>奥托立夫（江苏）汽车安全零部件有限公司</w:t>
            </w:r>
            <w:r>
              <w:rPr>
                <w:rFonts w:hint="eastAsia" w:cs="宋体"/>
                <w:color w:val="auto"/>
              </w:rPr>
              <w:t>委托我单位承担本项目环境影响报告表的编制工作。我单位接受委托后，即进行了现场调查及资料收集；因此我公司通过对有关资料的收集、整理和分析计算，根据编制技术指南要求和有关规范编制了该项目的环境影响报告表，经项目建设单位确认，供环保部门审查批准。</w:t>
            </w:r>
          </w:p>
          <w:p w14:paraId="3A84EFE5">
            <w:pPr>
              <w:autoSpaceDE w:val="0"/>
              <w:autoSpaceDN w:val="0"/>
              <w:adjustRightInd w:val="0"/>
              <w:snapToGrid w:val="0"/>
              <w:spacing w:line="360" w:lineRule="auto"/>
              <w:jc w:val="left"/>
              <w:rPr>
                <w:rFonts w:cs="宋体"/>
                <w:b/>
                <w:bCs/>
                <w:color w:val="auto"/>
                <w:kern w:val="0"/>
                <w:lang w:bidi="ar"/>
              </w:rPr>
            </w:pPr>
            <w:r>
              <w:rPr>
                <w:rFonts w:hint="eastAsia" w:cs="宋体"/>
                <w:b/>
                <w:bCs/>
                <w:color w:val="auto"/>
              </w:rPr>
              <w:t xml:space="preserve">2.1.2 </w:t>
            </w:r>
            <w:r>
              <w:rPr>
                <w:rFonts w:hint="eastAsia" w:cs="宋体"/>
                <w:b/>
                <w:bCs/>
                <w:color w:val="auto"/>
                <w:kern w:val="0"/>
                <w:lang w:bidi="ar"/>
              </w:rPr>
              <w:t>项目产品方案</w:t>
            </w:r>
          </w:p>
          <w:p w14:paraId="3A84EFE6">
            <w:pPr>
              <w:pStyle w:val="5"/>
              <w:adjustRightInd w:val="0"/>
              <w:snapToGrid w:val="0"/>
              <w:spacing w:line="360" w:lineRule="auto"/>
              <w:ind w:firstLineChars="200"/>
              <w:rPr>
                <w:rFonts w:cs="宋体"/>
                <w:color w:val="auto"/>
                <w:szCs w:val="21"/>
              </w:rPr>
            </w:pPr>
            <w:r>
              <w:rPr>
                <w:rFonts w:hint="eastAsia" w:cs="宋体"/>
                <w:color w:val="auto"/>
                <w:szCs w:val="21"/>
              </w:rPr>
              <w:t>项目主要产品方案如下：</w:t>
            </w:r>
          </w:p>
          <w:p w14:paraId="3A84EFE7">
            <w:pPr>
              <w:pStyle w:val="16"/>
              <w:keepNext/>
              <w:adjustRightInd w:val="0"/>
              <w:snapToGrid w:val="0"/>
              <w:jc w:val="center"/>
              <w:rPr>
                <w:rFonts w:ascii="Times New Roman" w:hAnsi="Times New Roman" w:eastAsia="宋体"/>
                <w:b/>
                <w:color w:val="auto"/>
                <w:sz w:val="21"/>
                <w:szCs w:val="21"/>
              </w:rPr>
            </w:pPr>
            <w:r>
              <w:rPr>
                <w:rFonts w:hint="eastAsia" w:ascii="Times New Roman" w:hAnsi="Times New Roman" w:eastAsia="宋体" w:cs="宋体"/>
                <w:b/>
                <w:color w:val="auto"/>
                <w:sz w:val="21"/>
                <w:szCs w:val="21"/>
              </w:rPr>
              <w:t>表2-1   项目产品方案</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528"/>
              <w:gridCol w:w="1985"/>
              <w:gridCol w:w="1072"/>
              <w:gridCol w:w="1072"/>
              <w:gridCol w:w="957"/>
              <w:gridCol w:w="867"/>
              <w:gridCol w:w="1063"/>
            </w:tblGrid>
            <w:tr w14:paraId="3A84EFE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94" w:type="pct"/>
                  <w:vMerge w:val="restart"/>
                  <w:tcBorders>
                    <w:tl2br w:val="nil"/>
                    <w:tr2bl w:val="nil"/>
                  </w:tcBorders>
                  <w:vAlign w:val="center"/>
                </w:tcPr>
                <w:p w14:paraId="3A84EFE8">
                  <w:pPr>
                    <w:widowControl/>
                    <w:adjustRightInd w:val="0"/>
                    <w:snapToGrid w:val="0"/>
                    <w:jc w:val="center"/>
                    <w:rPr>
                      <w:b/>
                      <w:bCs/>
                      <w:color w:val="auto"/>
                      <w:kern w:val="0"/>
                    </w:rPr>
                  </w:pPr>
                  <w:r>
                    <w:rPr>
                      <w:rFonts w:hint="eastAsia"/>
                      <w:b/>
                      <w:bCs/>
                      <w:color w:val="auto"/>
                      <w:kern w:val="0"/>
                    </w:rPr>
                    <w:t>工程名称（车间或生产线）</w:t>
                  </w:r>
                </w:p>
              </w:tc>
              <w:tc>
                <w:tcPr>
                  <w:tcW w:w="1161" w:type="pct"/>
                  <w:vMerge w:val="restart"/>
                  <w:tcBorders>
                    <w:tl2br w:val="nil"/>
                    <w:tr2bl w:val="nil"/>
                  </w:tcBorders>
                  <w:vAlign w:val="center"/>
                </w:tcPr>
                <w:p w14:paraId="3A84EFE9">
                  <w:pPr>
                    <w:widowControl/>
                    <w:adjustRightInd w:val="0"/>
                    <w:snapToGrid w:val="0"/>
                    <w:jc w:val="center"/>
                    <w:rPr>
                      <w:b/>
                      <w:bCs/>
                      <w:color w:val="auto"/>
                      <w:kern w:val="0"/>
                    </w:rPr>
                  </w:pPr>
                  <w:r>
                    <w:rPr>
                      <w:b/>
                      <w:bCs/>
                      <w:color w:val="auto"/>
                      <w:kern w:val="0"/>
                    </w:rPr>
                    <w:t>产品名称</w:t>
                  </w:r>
                </w:p>
              </w:tc>
              <w:tc>
                <w:tcPr>
                  <w:tcW w:w="1814" w:type="pct"/>
                  <w:gridSpan w:val="3"/>
                  <w:tcBorders>
                    <w:tl2br w:val="nil"/>
                    <w:tr2bl w:val="nil"/>
                  </w:tcBorders>
                  <w:vAlign w:val="center"/>
                </w:tcPr>
                <w:p w14:paraId="3A84EFEA">
                  <w:pPr>
                    <w:widowControl/>
                    <w:adjustRightInd w:val="0"/>
                    <w:snapToGrid w:val="0"/>
                    <w:jc w:val="center"/>
                    <w:rPr>
                      <w:b/>
                      <w:bCs/>
                      <w:color w:val="auto"/>
                      <w:kern w:val="0"/>
                    </w:rPr>
                  </w:pPr>
                  <w:r>
                    <w:rPr>
                      <w:b/>
                      <w:bCs/>
                      <w:color w:val="auto"/>
                      <w:kern w:val="0"/>
                    </w:rPr>
                    <w:t>设计能力</w:t>
                  </w:r>
                </w:p>
              </w:tc>
              <w:tc>
                <w:tcPr>
                  <w:tcW w:w="507" w:type="pct"/>
                  <w:vMerge w:val="restart"/>
                  <w:tcBorders>
                    <w:tl2br w:val="nil"/>
                    <w:tr2bl w:val="nil"/>
                  </w:tcBorders>
                  <w:vAlign w:val="center"/>
                </w:tcPr>
                <w:p w14:paraId="3A84EFEB">
                  <w:pPr>
                    <w:widowControl/>
                    <w:adjustRightInd w:val="0"/>
                    <w:snapToGrid w:val="0"/>
                    <w:jc w:val="center"/>
                    <w:rPr>
                      <w:b/>
                      <w:bCs/>
                      <w:color w:val="auto"/>
                      <w:kern w:val="0"/>
                    </w:rPr>
                  </w:pPr>
                  <w:r>
                    <w:rPr>
                      <w:b/>
                      <w:bCs/>
                      <w:color w:val="auto"/>
                      <w:kern w:val="0"/>
                    </w:rPr>
                    <w:t>年运行时数</w:t>
                  </w:r>
                </w:p>
              </w:tc>
              <w:tc>
                <w:tcPr>
                  <w:tcW w:w="622" w:type="pct"/>
                  <w:vMerge w:val="restart"/>
                  <w:tcBorders>
                    <w:tl2br w:val="nil"/>
                    <w:tr2bl w:val="nil"/>
                  </w:tcBorders>
                  <w:vAlign w:val="center"/>
                </w:tcPr>
                <w:p w14:paraId="3A84EFEC">
                  <w:pPr>
                    <w:widowControl/>
                    <w:adjustRightInd w:val="0"/>
                    <w:snapToGrid w:val="0"/>
                    <w:jc w:val="center"/>
                    <w:rPr>
                      <w:b/>
                      <w:bCs/>
                      <w:color w:val="auto"/>
                      <w:kern w:val="0"/>
                    </w:rPr>
                  </w:pPr>
                  <w:r>
                    <w:rPr>
                      <w:rFonts w:hint="eastAsia"/>
                      <w:b/>
                      <w:bCs/>
                      <w:color w:val="auto"/>
                      <w:kern w:val="0"/>
                    </w:rPr>
                    <w:t>备注</w:t>
                  </w:r>
                </w:p>
              </w:tc>
            </w:tr>
            <w:tr w14:paraId="3A84EFF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94" w:type="pct"/>
                  <w:vMerge w:val="continue"/>
                  <w:tcBorders>
                    <w:tl2br w:val="nil"/>
                    <w:tr2bl w:val="nil"/>
                  </w:tcBorders>
                  <w:vAlign w:val="center"/>
                </w:tcPr>
                <w:p w14:paraId="3A84EFEE">
                  <w:pPr>
                    <w:widowControl/>
                    <w:adjustRightInd w:val="0"/>
                    <w:snapToGrid w:val="0"/>
                    <w:jc w:val="center"/>
                    <w:rPr>
                      <w:b/>
                      <w:bCs/>
                      <w:color w:val="auto"/>
                      <w:kern w:val="0"/>
                    </w:rPr>
                  </w:pPr>
                </w:p>
              </w:tc>
              <w:tc>
                <w:tcPr>
                  <w:tcW w:w="1161" w:type="pct"/>
                  <w:vMerge w:val="continue"/>
                  <w:tcBorders>
                    <w:tl2br w:val="nil"/>
                    <w:tr2bl w:val="nil"/>
                  </w:tcBorders>
                  <w:vAlign w:val="center"/>
                </w:tcPr>
                <w:p w14:paraId="3A84EFEF">
                  <w:pPr>
                    <w:widowControl/>
                    <w:adjustRightInd w:val="0"/>
                    <w:snapToGrid w:val="0"/>
                    <w:jc w:val="center"/>
                    <w:rPr>
                      <w:b/>
                      <w:bCs/>
                      <w:color w:val="auto"/>
                      <w:kern w:val="0"/>
                    </w:rPr>
                  </w:pPr>
                </w:p>
              </w:tc>
              <w:tc>
                <w:tcPr>
                  <w:tcW w:w="627" w:type="pct"/>
                  <w:tcBorders>
                    <w:tl2br w:val="nil"/>
                    <w:tr2bl w:val="nil"/>
                  </w:tcBorders>
                  <w:vAlign w:val="center"/>
                </w:tcPr>
                <w:p w14:paraId="3A84EFF0">
                  <w:pPr>
                    <w:widowControl/>
                    <w:adjustRightInd w:val="0"/>
                    <w:snapToGrid w:val="0"/>
                    <w:jc w:val="center"/>
                    <w:rPr>
                      <w:b/>
                      <w:bCs/>
                      <w:color w:val="auto"/>
                      <w:kern w:val="0"/>
                    </w:rPr>
                  </w:pPr>
                  <w:r>
                    <w:rPr>
                      <w:rFonts w:hint="eastAsia"/>
                      <w:b/>
                      <w:bCs/>
                      <w:color w:val="auto"/>
                      <w:kern w:val="0"/>
                    </w:rPr>
                    <w:t>扩建前</w:t>
                  </w:r>
                </w:p>
              </w:tc>
              <w:tc>
                <w:tcPr>
                  <w:tcW w:w="627" w:type="pct"/>
                  <w:tcBorders>
                    <w:tl2br w:val="nil"/>
                    <w:tr2bl w:val="nil"/>
                  </w:tcBorders>
                  <w:vAlign w:val="center"/>
                </w:tcPr>
                <w:p w14:paraId="3A84EFF1">
                  <w:pPr>
                    <w:widowControl/>
                    <w:adjustRightInd w:val="0"/>
                    <w:snapToGrid w:val="0"/>
                    <w:jc w:val="center"/>
                    <w:rPr>
                      <w:b/>
                      <w:bCs/>
                      <w:color w:val="auto"/>
                      <w:kern w:val="0"/>
                    </w:rPr>
                  </w:pPr>
                  <w:r>
                    <w:rPr>
                      <w:rFonts w:hint="eastAsia"/>
                      <w:b/>
                      <w:bCs/>
                      <w:color w:val="auto"/>
                      <w:kern w:val="0"/>
                    </w:rPr>
                    <w:t>扩建后</w:t>
                  </w:r>
                </w:p>
              </w:tc>
              <w:tc>
                <w:tcPr>
                  <w:tcW w:w="560" w:type="pct"/>
                  <w:tcBorders>
                    <w:tl2br w:val="nil"/>
                    <w:tr2bl w:val="nil"/>
                  </w:tcBorders>
                  <w:vAlign w:val="center"/>
                </w:tcPr>
                <w:p w14:paraId="3A84EFF2">
                  <w:pPr>
                    <w:widowControl/>
                    <w:adjustRightInd w:val="0"/>
                    <w:snapToGrid w:val="0"/>
                    <w:jc w:val="center"/>
                    <w:rPr>
                      <w:b/>
                      <w:bCs/>
                      <w:color w:val="auto"/>
                      <w:kern w:val="0"/>
                    </w:rPr>
                  </w:pPr>
                  <w:r>
                    <w:rPr>
                      <w:rFonts w:hint="eastAsia"/>
                      <w:b/>
                      <w:bCs/>
                      <w:color w:val="auto"/>
                      <w:kern w:val="0"/>
                    </w:rPr>
                    <w:t>增减量</w:t>
                  </w:r>
                </w:p>
              </w:tc>
              <w:tc>
                <w:tcPr>
                  <w:tcW w:w="507" w:type="pct"/>
                  <w:vMerge w:val="continue"/>
                  <w:tcBorders>
                    <w:tl2br w:val="nil"/>
                    <w:tr2bl w:val="nil"/>
                  </w:tcBorders>
                  <w:vAlign w:val="center"/>
                </w:tcPr>
                <w:p w14:paraId="3A84EFF3">
                  <w:pPr>
                    <w:widowControl/>
                    <w:adjustRightInd w:val="0"/>
                    <w:snapToGrid w:val="0"/>
                    <w:jc w:val="center"/>
                    <w:rPr>
                      <w:b/>
                      <w:bCs/>
                      <w:color w:val="auto"/>
                      <w:kern w:val="0"/>
                    </w:rPr>
                  </w:pPr>
                </w:p>
              </w:tc>
              <w:tc>
                <w:tcPr>
                  <w:tcW w:w="622" w:type="pct"/>
                  <w:vMerge w:val="continue"/>
                  <w:tcBorders>
                    <w:tl2br w:val="nil"/>
                    <w:tr2bl w:val="nil"/>
                  </w:tcBorders>
                  <w:vAlign w:val="center"/>
                </w:tcPr>
                <w:p w14:paraId="3A84EFF4">
                  <w:pPr>
                    <w:widowControl/>
                    <w:adjustRightInd w:val="0"/>
                    <w:snapToGrid w:val="0"/>
                    <w:jc w:val="center"/>
                    <w:rPr>
                      <w:b/>
                      <w:bCs/>
                      <w:color w:val="auto"/>
                      <w:kern w:val="0"/>
                    </w:rPr>
                  </w:pPr>
                </w:p>
              </w:tc>
            </w:tr>
            <w:tr w14:paraId="3A84EF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94" w:type="pct"/>
                  <w:tcBorders>
                    <w:tl2br w:val="nil"/>
                    <w:tr2bl w:val="nil"/>
                  </w:tcBorders>
                  <w:vAlign w:val="center"/>
                </w:tcPr>
                <w:p w14:paraId="3A84EFF6">
                  <w:pPr>
                    <w:keepNext/>
                    <w:adjustRightInd w:val="0"/>
                    <w:snapToGrid w:val="0"/>
                    <w:jc w:val="center"/>
                    <w:rPr>
                      <w:color w:val="auto"/>
                      <w:kern w:val="0"/>
                    </w:rPr>
                  </w:pPr>
                  <w:r>
                    <w:rPr>
                      <w:rFonts w:hint="eastAsia"/>
                      <w:color w:val="auto"/>
                      <w:kern w:val="0"/>
                    </w:rPr>
                    <w:t>产气药生产线</w:t>
                  </w:r>
                </w:p>
              </w:tc>
              <w:tc>
                <w:tcPr>
                  <w:tcW w:w="1161" w:type="pct"/>
                  <w:tcBorders>
                    <w:tl2br w:val="nil"/>
                    <w:tr2bl w:val="nil"/>
                  </w:tcBorders>
                  <w:vAlign w:val="center"/>
                </w:tcPr>
                <w:p w14:paraId="3A84EFF7">
                  <w:pPr>
                    <w:keepNext/>
                    <w:adjustRightInd w:val="0"/>
                    <w:snapToGrid w:val="0"/>
                    <w:jc w:val="center"/>
                    <w:rPr>
                      <w:color w:val="auto"/>
                      <w:kern w:val="0"/>
                    </w:rPr>
                  </w:pPr>
                  <w:r>
                    <w:rPr>
                      <w:rFonts w:hint="eastAsia"/>
                      <w:color w:val="auto"/>
                      <w:kern w:val="0"/>
                    </w:rPr>
                    <w:t>产气药</w:t>
                  </w:r>
                </w:p>
              </w:tc>
              <w:tc>
                <w:tcPr>
                  <w:tcW w:w="627" w:type="pct"/>
                  <w:tcBorders>
                    <w:tl2br w:val="nil"/>
                    <w:tr2bl w:val="nil"/>
                  </w:tcBorders>
                  <w:vAlign w:val="center"/>
                </w:tcPr>
                <w:p w14:paraId="3A84EFF8">
                  <w:pPr>
                    <w:widowControl/>
                    <w:adjustRightInd w:val="0"/>
                    <w:snapToGrid w:val="0"/>
                    <w:jc w:val="center"/>
                    <w:rPr>
                      <w:color w:val="auto"/>
                      <w:kern w:val="0"/>
                    </w:rPr>
                  </w:pPr>
                  <w:r>
                    <w:rPr>
                      <w:rFonts w:hint="eastAsia"/>
                      <w:color w:val="auto"/>
                      <w:kern w:val="0"/>
                    </w:rPr>
                    <w:t>2750t/a</w:t>
                  </w:r>
                </w:p>
              </w:tc>
              <w:tc>
                <w:tcPr>
                  <w:tcW w:w="627" w:type="pct"/>
                  <w:tcBorders>
                    <w:tl2br w:val="nil"/>
                    <w:tr2bl w:val="nil"/>
                  </w:tcBorders>
                  <w:vAlign w:val="center"/>
                </w:tcPr>
                <w:p w14:paraId="3A84EFF9">
                  <w:pPr>
                    <w:widowControl/>
                    <w:adjustRightInd w:val="0"/>
                    <w:snapToGrid w:val="0"/>
                    <w:jc w:val="center"/>
                    <w:rPr>
                      <w:color w:val="auto"/>
                      <w:kern w:val="0"/>
                    </w:rPr>
                  </w:pPr>
                  <w:r>
                    <w:rPr>
                      <w:rFonts w:hint="eastAsia"/>
                      <w:color w:val="auto"/>
                      <w:kern w:val="0"/>
                    </w:rPr>
                    <w:t>2750t/a</w:t>
                  </w:r>
                </w:p>
              </w:tc>
              <w:tc>
                <w:tcPr>
                  <w:tcW w:w="560" w:type="pct"/>
                  <w:tcBorders>
                    <w:tl2br w:val="nil"/>
                    <w:tr2bl w:val="nil"/>
                  </w:tcBorders>
                  <w:vAlign w:val="center"/>
                </w:tcPr>
                <w:p w14:paraId="3A84EFFA">
                  <w:pPr>
                    <w:widowControl/>
                    <w:adjustRightInd w:val="0"/>
                    <w:snapToGrid w:val="0"/>
                    <w:jc w:val="center"/>
                    <w:rPr>
                      <w:color w:val="auto"/>
                      <w:kern w:val="0"/>
                    </w:rPr>
                  </w:pPr>
                  <w:r>
                    <w:rPr>
                      <w:rFonts w:hint="eastAsia"/>
                      <w:color w:val="auto"/>
                      <w:kern w:val="0"/>
                    </w:rPr>
                    <w:t>0</w:t>
                  </w:r>
                </w:p>
              </w:tc>
              <w:tc>
                <w:tcPr>
                  <w:tcW w:w="507" w:type="pct"/>
                  <w:tcBorders>
                    <w:tl2br w:val="nil"/>
                    <w:tr2bl w:val="nil"/>
                  </w:tcBorders>
                  <w:vAlign w:val="center"/>
                </w:tcPr>
                <w:p w14:paraId="3A84EFFB">
                  <w:pPr>
                    <w:adjustRightInd w:val="0"/>
                    <w:snapToGrid w:val="0"/>
                    <w:jc w:val="center"/>
                    <w:rPr>
                      <w:color w:val="auto"/>
                      <w:kern w:val="0"/>
                    </w:rPr>
                  </w:pPr>
                  <w:r>
                    <w:rPr>
                      <w:rFonts w:hint="eastAsia"/>
                      <w:color w:val="auto"/>
                      <w:kern w:val="0"/>
                    </w:rPr>
                    <w:t>7200h</w:t>
                  </w:r>
                </w:p>
              </w:tc>
              <w:tc>
                <w:tcPr>
                  <w:tcW w:w="622" w:type="pct"/>
                  <w:tcBorders>
                    <w:tl2br w:val="nil"/>
                    <w:tr2bl w:val="nil"/>
                  </w:tcBorders>
                  <w:vAlign w:val="center"/>
                </w:tcPr>
                <w:p w14:paraId="3A84EFFC">
                  <w:pPr>
                    <w:adjustRightInd w:val="0"/>
                    <w:snapToGrid w:val="0"/>
                    <w:jc w:val="center"/>
                    <w:rPr>
                      <w:color w:val="auto"/>
                      <w:kern w:val="0"/>
                    </w:rPr>
                  </w:pPr>
                  <w:r>
                    <w:rPr>
                      <w:rFonts w:hint="eastAsia"/>
                      <w:color w:val="auto"/>
                      <w:kern w:val="0"/>
                    </w:rPr>
                    <w:t>外售550t/a</w:t>
                  </w:r>
                </w:p>
              </w:tc>
            </w:tr>
            <w:tr w14:paraId="3A84F00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94" w:type="pct"/>
                  <w:vMerge w:val="restart"/>
                  <w:tcBorders>
                    <w:tl2br w:val="nil"/>
                    <w:tr2bl w:val="nil"/>
                  </w:tcBorders>
                  <w:vAlign w:val="center"/>
                </w:tcPr>
                <w:p w14:paraId="3A84EFFE">
                  <w:pPr>
                    <w:keepNext/>
                    <w:adjustRightInd w:val="0"/>
                    <w:snapToGrid w:val="0"/>
                    <w:jc w:val="center"/>
                    <w:rPr>
                      <w:color w:val="auto"/>
                      <w:kern w:val="0"/>
                    </w:rPr>
                  </w:pPr>
                  <w:r>
                    <w:rPr>
                      <w:rFonts w:hint="eastAsia"/>
                      <w:color w:val="auto"/>
                      <w:kern w:val="0"/>
                    </w:rPr>
                    <w:t>气体发生器生产线</w:t>
                  </w:r>
                </w:p>
              </w:tc>
              <w:tc>
                <w:tcPr>
                  <w:tcW w:w="1161" w:type="pct"/>
                  <w:tcBorders>
                    <w:tl2br w:val="nil"/>
                    <w:tr2bl w:val="nil"/>
                  </w:tcBorders>
                  <w:vAlign w:val="center"/>
                </w:tcPr>
                <w:p w14:paraId="3A84EFFF">
                  <w:pPr>
                    <w:keepNext/>
                    <w:adjustRightInd w:val="0"/>
                    <w:snapToGrid w:val="0"/>
                    <w:jc w:val="center"/>
                    <w:rPr>
                      <w:color w:val="auto"/>
                      <w:kern w:val="0"/>
                    </w:rPr>
                  </w:pPr>
                  <w:r>
                    <w:rPr>
                      <w:rFonts w:hint="eastAsia"/>
                      <w:color w:val="auto"/>
                      <w:kern w:val="0"/>
                    </w:rPr>
                    <w:t>气体发生器（ADP驾驶员用发生器（PF）、ADPS乘客用发生器（PF）、ASP-2侧气囊气体发生器（PS））</w:t>
                  </w:r>
                </w:p>
              </w:tc>
              <w:tc>
                <w:tcPr>
                  <w:tcW w:w="627" w:type="pct"/>
                  <w:tcBorders>
                    <w:tl2br w:val="nil"/>
                    <w:tr2bl w:val="nil"/>
                  </w:tcBorders>
                  <w:vAlign w:val="center"/>
                </w:tcPr>
                <w:p w14:paraId="3A84F000">
                  <w:pPr>
                    <w:widowControl/>
                    <w:adjustRightInd w:val="0"/>
                    <w:snapToGrid w:val="0"/>
                    <w:jc w:val="center"/>
                    <w:rPr>
                      <w:color w:val="auto"/>
                      <w:kern w:val="0"/>
                    </w:rPr>
                  </w:pPr>
                  <w:r>
                    <w:rPr>
                      <w:rFonts w:hint="eastAsia"/>
                      <w:color w:val="auto"/>
                      <w:kern w:val="0"/>
                    </w:rPr>
                    <w:t>4300万个/a</w:t>
                  </w:r>
                </w:p>
              </w:tc>
              <w:tc>
                <w:tcPr>
                  <w:tcW w:w="627" w:type="pct"/>
                  <w:tcBorders>
                    <w:tl2br w:val="nil"/>
                    <w:tr2bl w:val="nil"/>
                  </w:tcBorders>
                  <w:vAlign w:val="center"/>
                </w:tcPr>
                <w:p w14:paraId="3A84F001">
                  <w:pPr>
                    <w:widowControl/>
                    <w:adjustRightInd w:val="0"/>
                    <w:snapToGrid w:val="0"/>
                    <w:jc w:val="center"/>
                    <w:rPr>
                      <w:color w:val="auto"/>
                      <w:kern w:val="0"/>
                    </w:rPr>
                  </w:pPr>
                  <w:r>
                    <w:rPr>
                      <w:rFonts w:hint="eastAsia"/>
                      <w:color w:val="auto"/>
                      <w:kern w:val="0"/>
                    </w:rPr>
                    <w:t>4300万个/a</w:t>
                  </w:r>
                </w:p>
              </w:tc>
              <w:tc>
                <w:tcPr>
                  <w:tcW w:w="560" w:type="pct"/>
                  <w:tcBorders>
                    <w:tl2br w:val="nil"/>
                    <w:tr2bl w:val="nil"/>
                  </w:tcBorders>
                  <w:vAlign w:val="center"/>
                </w:tcPr>
                <w:p w14:paraId="3A84F002">
                  <w:pPr>
                    <w:widowControl/>
                    <w:adjustRightInd w:val="0"/>
                    <w:snapToGrid w:val="0"/>
                    <w:jc w:val="center"/>
                    <w:rPr>
                      <w:color w:val="auto"/>
                      <w:kern w:val="0"/>
                    </w:rPr>
                  </w:pPr>
                  <w:r>
                    <w:rPr>
                      <w:rFonts w:hint="eastAsia"/>
                      <w:color w:val="auto"/>
                      <w:kern w:val="0"/>
                    </w:rPr>
                    <w:t>0</w:t>
                  </w:r>
                </w:p>
              </w:tc>
              <w:tc>
                <w:tcPr>
                  <w:tcW w:w="507" w:type="pct"/>
                  <w:tcBorders>
                    <w:tl2br w:val="nil"/>
                    <w:tr2bl w:val="nil"/>
                  </w:tcBorders>
                  <w:vAlign w:val="center"/>
                </w:tcPr>
                <w:p w14:paraId="3A84F003">
                  <w:pPr>
                    <w:adjustRightInd w:val="0"/>
                    <w:snapToGrid w:val="0"/>
                    <w:jc w:val="center"/>
                    <w:rPr>
                      <w:color w:val="auto"/>
                      <w:kern w:val="0"/>
                    </w:rPr>
                  </w:pPr>
                  <w:r>
                    <w:rPr>
                      <w:rFonts w:hint="eastAsia"/>
                      <w:color w:val="auto"/>
                      <w:kern w:val="0"/>
                    </w:rPr>
                    <w:t>7200h</w:t>
                  </w:r>
                </w:p>
              </w:tc>
              <w:tc>
                <w:tcPr>
                  <w:tcW w:w="622" w:type="pct"/>
                  <w:tcBorders>
                    <w:tl2br w:val="nil"/>
                    <w:tr2bl w:val="nil"/>
                  </w:tcBorders>
                  <w:vAlign w:val="center"/>
                </w:tcPr>
                <w:p w14:paraId="3A84F004">
                  <w:pPr>
                    <w:adjustRightInd w:val="0"/>
                    <w:snapToGrid w:val="0"/>
                    <w:jc w:val="center"/>
                    <w:rPr>
                      <w:color w:val="auto"/>
                      <w:kern w:val="0"/>
                    </w:rPr>
                  </w:pPr>
                  <w:r>
                    <w:rPr>
                      <w:rFonts w:hint="eastAsia"/>
                      <w:color w:val="auto"/>
                      <w:kern w:val="0"/>
                    </w:rPr>
                    <w:t>全部外售</w:t>
                  </w:r>
                </w:p>
              </w:tc>
            </w:tr>
            <w:tr w14:paraId="3A84F00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94" w:type="pct"/>
                  <w:vMerge w:val="continue"/>
                  <w:tcBorders>
                    <w:tl2br w:val="nil"/>
                    <w:tr2bl w:val="nil"/>
                  </w:tcBorders>
                  <w:vAlign w:val="center"/>
                </w:tcPr>
                <w:p w14:paraId="3A84F006">
                  <w:pPr>
                    <w:keepNext/>
                    <w:adjustRightInd w:val="0"/>
                    <w:snapToGrid w:val="0"/>
                    <w:jc w:val="center"/>
                    <w:rPr>
                      <w:color w:val="auto"/>
                      <w:kern w:val="0"/>
                    </w:rPr>
                  </w:pPr>
                </w:p>
              </w:tc>
              <w:tc>
                <w:tcPr>
                  <w:tcW w:w="1161" w:type="pct"/>
                  <w:tcBorders>
                    <w:tl2br w:val="nil"/>
                    <w:tr2bl w:val="nil"/>
                  </w:tcBorders>
                  <w:vAlign w:val="center"/>
                </w:tcPr>
                <w:p w14:paraId="3A84F007">
                  <w:pPr>
                    <w:keepNext/>
                    <w:adjustRightInd w:val="0"/>
                    <w:snapToGrid w:val="0"/>
                    <w:jc w:val="center"/>
                    <w:rPr>
                      <w:color w:val="auto"/>
                      <w:kern w:val="0"/>
                    </w:rPr>
                  </w:pPr>
                  <w:r>
                    <w:rPr>
                      <w:rFonts w:hint="eastAsia"/>
                      <w:color w:val="auto"/>
                      <w:kern w:val="0"/>
                    </w:rPr>
                    <w:t>APG气体发生器（乘客用发生器）</w:t>
                  </w:r>
                </w:p>
              </w:tc>
              <w:tc>
                <w:tcPr>
                  <w:tcW w:w="627" w:type="pct"/>
                  <w:tcBorders>
                    <w:tl2br w:val="nil"/>
                    <w:tr2bl w:val="nil"/>
                  </w:tcBorders>
                  <w:vAlign w:val="center"/>
                </w:tcPr>
                <w:p w14:paraId="3A84F008">
                  <w:pPr>
                    <w:widowControl/>
                    <w:adjustRightInd w:val="0"/>
                    <w:snapToGrid w:val="0"/>
                    <w:jc w:val="center"/>
                    <w:rPr>
                      <w:color w:val="auto"/>
                      <w:kern w:val="0"/>
                    </w:rPr>
                  </w:pPr>
                  <w:r>
                    <w:rPr>
                      <w:rFonts w:hint="eastAsia"/>
                      <w:color w:val="auto"/>
                      <w:kern w:val="0"/>
                    </w:rPr>
                    <w:t>360万个/a</w:t>
                  </w:r>
                </w:p>
              </w:tc>
              <w:tc>
                <w:tcPr>
                  <w:tcW w:w="627" w:type="pct"/>
                  <w:tcBorders>
                    <w:tl2br w:val="nil"/>
                    <w:tr2bl w:val="nil"/>
                  </w:tcBorders>
                  <w:vAlign w:val="center"/>
                </w:tcPr>
                <w:p w14:paraId="3A84F009">
                  <w:pPr>
                    <w:widowControl/>
                    <w:adjustRightInd w:val="0"/>
                    <w:snapToGrid w:val="0"/>
                    <w:jc w:val="center"/>
                    <w:rPr>
                      <w:color w:val="auto"/>
                      <w:kern w:val="0"/>
                    </w:rPr>
                  </w:pPr>
                  <w:r>
                    <w:rPr>
                      <w:rFonts w:hint="eastAsia"/>
                      <w:color w:val="auto"/>
                      <w:kern w:val="0"/>
                    </w:rPr>
                    <w:t>360万个/a</w:t>
                  </w:r>
                </w:p>
              </w:tc>
              <w:tc>
                <w:tcPr>
                  <w:tcW w:w="560" w:type="pct"/>
                  <w:tcBorders>
                    <w:tl2br w:val="nil"/>
                    <w:tr2bl w:val="nil"/>
                  </w:tcBorders>
                  <w:vAlign w:val="center"/>
                </w:tcPr>
                <w:p w14:paraId="3A84F00A">
                  <w:pPr>
                    <w:widowControl/>
                    <w:adjustRightInd w:val="0"/>
                    <w:snapToGrid w:val="0"/>
                    <w:jc w:val="center"/>
                    <w:rPr>
                      <w:color w:val="auto"/>
                      <w:kern w:val="0"/>
                    </w:rPr>
                  </w:pPr>
                  <w:r>
                    <w:rPr>
                      <w:rFonts w:hint="eastAsia"/>
                      <w:color w:val="auto"/>
                      <w:kern w:val="0"/>
                    </w:rPr>
                    <w:t>0</w:t>
                  </w:r>
                </w:p>
              </w:tc>
              <w:tc>
                <w:tcPr>
                  <w:tcW w:w="507" w:type="pct"/>
                  <w:tcBorders>
                    <w:tl2br w:val="nil"/>
                    <w:tr2bl w:val="nil"/>
                  </w:tcBorders>
                  <w:vAlign w:val="center"/>
                </w:tcPr>
                <w:p w14:paraId="3A84F00B">
                  <w:pPr>
                    <w:adjustRightInd w:val="0"/>
                    <w:snapToGrid w:val="0"/>
                    <w:jc w:val="center"/>
                    <w:rPr>
                      <w:color w:val="auto"/>
                      <w:kern w:val="0"/>
                    </w:rPr>
                  </w:pPr>
                  <w:r>
                    <w:rPr>
                      <w:rFonts w:hint="eastAsia"/>
                      <w:color w:val="auto"/>
                      <w:kern w:val="0"/>
                    </w:rPr>
                    <w:t>7200h</w:t>
                  </w:r>
                </w:p>
              </w:tc>
              <w:tc>
                <w:tcPr>
                  <w:tcW w:w="622" w:type="pct"/>
                  <w:tcBorders>
                    <w:tl2br w:val="nil"/>
                    <w:tr2bl w:val="nil"/>
                  </w:tcBorders>
                  <w:vAlign w:val="center"/>
                </w:tcPr>
                <w:p w14:paraId="3A84F00C">
                  <w:pPr>
                    <w:adjustRightInd w:val="0"/>
                    <w:snapToGrid w:val="0"/>
                    <w:jc w:val="center"/>
                    <w:rPr>
                      <w:color w:val="auto"/>
                      <w:kern w:val="0"/>
                    </w:rPr>
                  </w:pPr>
                  <w:r>
                    <w:rPr>
                      <w:rFonts w:hint="eastAsia"/>
                      <w:color w:val="auto"/>
                      <w:kern w:val="0"/>
                    </w:rPr>
                    <w:t>全部外售</w:t>
                  </w:r>
                </w:p>
              </w:tc>
            </w:tr>
            <w:tr w14:paraId="3A84F01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94" w:type="pct"/>
                  <w:tcBorders>
                    <w:tl2br w:val="nil"/>
                    <w:tr2bl w:val="nil"/>
                  </w:tcBorders>
                  <w:vAlign w:val="center"/>
                </w:tcPr>
                <w:p w14:paraId="3A84F00E">
                  <w:pPr>
                    <w:keepNext/>
                    <w:adjustRightInd w:val="0"/>
                    <w:snapToGrid w:val="0"/>
                    <w:jc w:val="center"/>
                    <w:rPr>
                      <w:color w:val="auto"/>
                      <w:kern w:val="0"/>
                    </w:rPr>
                  </w:pPr>
                  <w:r>
                    <w:rPr>
                      <w:rFonts w:hint="eastAsia"/>
                      <w:color w:val="auto"/>
                      <w:kern w:val="0"/>
                    </w:rPr>
                    <w:t>35条气体发生器装配生产线</w:t>
                  </w:r>
                </w:p>
              </w:tc>
              <w:tc>
                <w:tcPr>
                  <w:tcW w:w="1161" w:type="pct"/>
                  <w:tcBorders>
                    <w:tl2br w:val="nil"/>
                    <w:tr2bl w:val="nil"/>
                  </w:tcBorders>
                  <w:vAlign w:val="center"/>
                </w:tcPr>
                <w:p w14:paraId="3A84F00F">
                  <w:pPr>
                    <w:keepNext/>
                    <w:adjustRightInd w:val="0"/>
                    <w:snapToGrid w:val="0"/>
                    <w:jc w:val="center"/>
                    <w:rPr>
                      <w:color w:val="auto"/>
                      <w:kern w:val="0"/>
                    </w:rPr>
                  </w:pPr>
                  <w:r>
                    <w:rPr>
                      <w:rFonts w:hint="eastAsia"/>
                      <w:color w:val="auto"/>
                      <w:kern w:val="0"/>
                    </w:rPr>
                    <w:t>气体发生器（PF、PS、ACH）</w:t>
                  </w:r>
                </w:p>
              </w:tc>
              <w:tc>
                <w:tcPr>
                  <w:tcW w:w="627" w:type="pct"/>
                  <w:tcBorders>
                    <w:tl2br w:val="nil"/>
                    <w:tr2bl w:val="nil"/>
                  </w:tcBorders>
                  <w:vAlign w:val="center"/>
                </w:tcPr>
                <w:p w14:paraId="3A84F010">
                  <w:pPr>
                    <w:widowControl/>
                    <w:adjustRightInd w:val="0"/>
                    <w:snapToGrid w:val="0"/>
                    <w:jc w:val="center"/>
                    <w:rPr>
                      <w:color w:val="auto"/>
                      <w:kern w:val="0"/>
                    </w:rPr>
                  </w:pPr>
                  <w:r>
                    <w:rPr>
                      <w:rFonts w:hint="eastAsia"/>
                      <w:color w:val="auto"/>
                      <w:kern w:val="0"/>
                    </w:rPr>
                    <w:t>3700万件/a</w:t>
                  </w:r>
                </w:p>
              </w:tc>
              <w:tc>
                <w:tcPr>
                  <w:tcW w:w="627" w:type="pct"/>
                  <w:tcBorders>
                    <w:tl2br w:val="nil"/>
                    <w:tr2bl w:val="nil"/>
                  </w:tcBorders>
                  <w:vAlign w:val="center"/>
                </w:tcPr>
                <w:p w14:paraId="3A84F011">
                  <w:pPr>
                    <w:widowControl/>
                    <w:adjustRightInd w:val="0"/>
                    <w:snapToGrid w:val="0"/>
                    <w:jc w:val="center"/>
                    <w:rPr>
                      <w:color w:val="auto"/>
                      <w:kern w:val="0"/>
                    </w:rPr>
                  </w:pPr>
                  <w:r>
                    <w:rPr>
                      <w:rFonts w:hint="eastAsia"/>
                      <w:color w:val="auto"/>
                      <w:kern w:val="0"/>
                    </w:rPr>
                    <w:t>3700万件/a</w:t>
                  </w:r>
                </w:p>
              </w:tc>
              <w:tc>
                <w:tcPr>
                  <w:tcW w:w="560" w:type="pct"/>
                  <w:tcBorders>
                    <w:tl2br w:val="nil"/>
                    <w:tr2bl w:val="nil"/>
                  </w:tcBorders>
                  <w:vAlign w:val="center"/>
                </w:tcPr>
                <w:p w14:paraId="3A84F012">
                  <w:pPr>
                    <w:widowControl/>
                    <w:adjustRightInd w:val="0"/>
                    <w:snapToGrid w:val="0"/>
                    <w:jc w:val="center"/>
                    <w:rPr>
                      <w:color w:val="auto"/>
                      <w:kern w:val="0"/>
                    </w:rPr>
                  </w:pPr>
                  <w:r>
                    <w:rPr>
                      <w:rFonts w:hint="eastAsia"/>
                      <w:color w:val="auto"/>
                      <w:kern w:val="0"/>
                    </w:rPr>
                    <w:t>0</w:t>
                  </w:r>
                </w:p>
              </w:tc>
              <w:tc>
                <w:tcPr>
                  <w:tcW w:w="507" w:type="pct"/>
                  <w:tcBorders>
                    <w:tl2br w:val="nil"/>
                    <w:tr2bl w:val="nil"/>
                  </w:tcBorders>
                  <w:vAlign w:val="center"/>
                </w:tcPr>
                <w:p w14:paraId="3A84F013">
                  <w:pPr>
                    <w:adjustRightInd w:val="0"/>
                    <w:snapToGrid w:val="0"/>
                    <w:jc w:val="center"/>
                    <w:rPr>
                      <w:color w:val="auto"/>
                      <w:kern w:val="0"/>
                    </w:rPr>
                  </w:pPr>
                  <w:r>
                    <w:rPr>
                      <w:rFonts w:hint="eastAsia"/>
                      <w:color w:val="auto"/>
                      <w:kern w:val="0"/>
                    </w:rPr>
                    <w:t>7200h</w:t>
                  </w:r>
                </w:p>
              </w:tc>
              <w:tc>
                <w:tcPr>
                  <w:tcW w:w="622" w:type="pct"/>
                  <w:tcBorders>
                    <w:tl2br w:val="nil"/>
                    <w:tr2bl w:val="nil"/>
                  </w:tcBorders>
                  <w:vAlign w:val="center"/>
                </w:tcPr>
                <w:p w14:paraId="3A84F014">
                  <w:pPr>
                    <w:adjustRightInd w:val="0"/>
                    <w:snapToGrid w:val="0"/>
                    <w:jc w:val="center"/>
                    <w:rPr>
                      <w:color w:val="auto"/>
                      <w:kern w:val="0"/>
                    </w:rPr>
                  </w:pPr>
                  <w:r>
                    <w:rPr>
                      <w:rFonts w:hint="eastAsia"/>
                      <w:color w:val="auto"/>
                      <w:kern w:val="0"/>
                    </w:rPr>
                    <w:t>全部外售</w:t>
                  </w:r>
                </w:p>
              </w:tc>
            </w:tr>
            <w:tr w14:paraId="3A84F01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94" w:type="pct"/>
                  <w:tcBorders>
                    <w:tl2br w:val="nil"/>
                    <w:tr2bl w:val="nil"/>
                  </w:tcBorders>
                  <w:vAlign w:val="center"/>
                </w:tcPr>
                <w:p w14:paraId="3A84F016">
                  <w:pPr>
                    <w:keepNext/>
                    <w:adjustRightInd w:val="0"/>
                    <w:snapToGrid w:val="0"/>
                    <w:jc w:val="center"/>
                    <w:rPr>
                      <w:color w:val="auto"/>
                      <w:kern w:val="0"/>
                    </w:rPr>
                  </w:pPr>
                  <w:r>
                    <w:rPr>
                      <w:rFonts w:hint="eastAsia"/>
                      <w:color w:val="auto"/>
                      <w:kern w:val="0"/>
                    </w:rPr>
                    <w:t>6条小型气体发生器生产线</w:t>
                  </w:r>
                </w:p>
              </w:tc>
              <w:tc>
                <w:tcPr>
                  <w:tcW w:w="1161" w:type="pct"/>
                  <w:tcBorders>
                    <w:tl2br w:val="nil"/>
                    <w:tr2bl w:val="nil"/>
                  </w:tcBorders>
                  <w:vAlign w:val="center"/>
                </w:tcPr>
                <w:p w14:paraId="3A84F017">
                  <w:pPr>
                    <w:keepNext/>
                    <w:adjustRightInd w:val="0"/>
                    <w:snapToGrid w:val="0"/>
                    <w:jc w:val="center"/>
                    <w:rPr>
                      <w:color w:val="auto"/>
                      <w:kern w:val="0"/>
                    </w:rPr>
                  </w:pPr>
                  <w:r>
                    <w:rPr>
                      <w:rFonts w:hint="eastAsia"/>
                      <w:color w:val="auto"/>
                      <w:kern w:val="0"/>
                    </w:rPr>
                    <w:t>MGC</w:t>
                  </w:r>
                </w:p>
              </w:tc>
              <w:tc>
                <w:tcPr>
                  <w:tcW w:w="627" w:type="pct"/>
                  <w:tcBorders>
                    <w:tl2br w:val="nil"/>
                    <w:tr2bl w:val="nil"/>
                  </w:tcBorders>
                  <w:vAlign w:val="center"/>
                </w:tcPr>
                <w:p w14:paraId="3A84F018">
                  <w:pPr>
                    <w:widowControl/>
                    <w:adjustRightInd w:val="0"/>
                    <w:snapToGrid w:val="0"/>
                    <w:jc w:val="center"/>
                    <w:rPr>
                      <w:color w:val="auto"/>
                      <w:kern w:val="0"/>
                    </w:rPr>
                  </w:pPr>
                  <w:r>
                    <w:rPr>
                      <w:rFonts w:hint="eastAsia"/>
                      <w:color w:val="auto"/>
                      <w:kern w:val="0"/>
                    </w:rPr>
                    <w:t>800万件/a</w:t>
                  </w:r>
                </w:p>
              </w:tc>
              <w:tc>
                <w:tcPr>
                  <w:tcW w:w="627" w:type="pct"/>
                  <w:tcBorders>
                    <w:tl2br w:val="nil"/>
                    <w:tr2bl w:val="nil"/>
                  </w:tcBorders>
                  <w:vAlign w:val="center"/>
                </w:tcPr>
                <w:p w14:paraId="3A84F019">
                  <w:pPr>
                    <w:widowControl/>
                    <w:adjustRightInd w:val="0"/>
                    <w:snapToGrid w:val="0"/>
                    <w:jc w:val="center"/>
                    <w:rPr>
                      <w:color w:val="auto"/>
                      <w:kern w:val="0"/>
                    </w:rPr>
                  </w:pPr>
                  <w:r>
                    <w:rPr>
                      <w:rFonts w:hint="eastAsia"/>
                      <w:color w:val="auto"/>
                      <w:kern w:val="0"/>
                    </w:rPr>
                    <w:t>800万件/a</w:t>
                  </w:r>
                </w:p>
              </w:tc>
              <w:tc>
                <w:tcPr>
                  <w:tcW w:w="560" w:type="pct"/>
                  <w:tcBorders>
                    <w:tl2br w:val="nil"/>
                    <w:tr2bl w:val="nil"/>
                  </w:tcBorders>
                  <w:vAlign w:val="center"/>
                </w:tcPr>
                <w:p w14:paraId="3A84F01A">
                  <w:pPr>
                    <w:widowControl/>
                    <w:adjustRightInd w:val="0"/>
                    <w:snapToGrid w:val="0"/>
                    <w:jc w:val="center"/>
                    <w:rPr>
                      <w:color w:val="auto"/>
                      <w:kern w:val="0"/>
                    </w:rPr>
                  </w:pPr>
                  <w:r>
                    <w:rPr>
                      <w:rFonts w:hint="eastAsia"/>
                      <w:color w:val="auto"/>
                      <w:kern w:val="0"/>
                    </w:rPr>
                    <w:t>0</w:t>
                  </w:r>
                </w:p>
              </w:tc>
              <w:tc>
                <w:tcPr>
                  <w:tcW w:w="507" w:type="pct"/>
                  <w:tcBorders>
                    <w:tl2br w:val="nil"/>
                    <w:tr2bl w:val="nil"/>
                  </w:tcBorders>
                  <w:vAlign w:val="center"/>
                </w:tcPr>
                <w:p w14:paraId="3A84F01B">
                  <w:pPr>
                    <w:adjustRightInd w:val="0"/>
                    <w:snapToGrid w:val="0"/>
                    <w:jc w:val="center"/>
                    <w:rPr>
                      <w:color w:val="auto"/>
                      <w:kern w:val="0"/>
                    </w:rPr>
                  </w:pPr>
                  <w:r>
                    <w:rPr>
                      <w:rFonts w:hint="eastAsia"/>
                      <w:color w:val="auto"/>
                      <w:kern w:val="0"/>
                    </w:rPr>
                    <w:t>7200</w:t>
                  </w:r>
                </w:p>
              </w:tc>
              <w:tc>
                <w:tcPr>
                  <w:tcW w:w="622" w:type="pct"/>
                  <w:tcBorders>
                    <w:tl2br w:val="nil"/>
                    <w:tr2bl w:val="nil"/>
                  </w:tcBorders>
                  <w:vAlign w:val="center"/>
                </w:tcPr>
                <w:p w14:paraId="3A84F01C">
                  <w:pPr>
                    <w:adjustRightInd w:val="0"/>
                    <w:snapToGrid w:val="0"/>
                    <w:jc w:val="center"/>
                    <w:rPr>
                      <w:color w:val="auto"/>
                      <w:kern w:val="0"/>
                    </w:rPr>
                  </w:pPr>
                  <w:r>
                    <w:rPr>
                      <w:rFonts w:hint="eastAsia"/>
                      <w:color w:val="auto"/>
                      <w:kern w:val="0"/>
                    </w:rPr>
                    <w:t>全部外售</w:t>
                  </w:r>
                </w:p>
              </w:tc>
            </w:tr>
            <w:tr w14:paraId="3A84F02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94" w:type="pct"/>
                  <w:tcBorders>
                    <w:tl2br w:val="nil"/>
                    <w:tr2bl w:val="nil"/>
                  </w:tcBorders>
                  <w:vAlign w:val="center"/>
                </w:tcPr>
                <w:p w14:paraId="3A84F01E">
                  <w:pPr>
                    <w:keepNext/>
                    <w:adjustRightInd w:val="0"/>
                    <w:snapToGrid w:val="0"/>
                    <w:jc w:val="center"/>
                    <w:rPr>
                      <w:color w:val="auto"/>
                      <w:kern w:val="0"/>
                    </w:rPr>
                  </w:pPr>
                  <w:r>
                    <w:rPr>
                      <w:rFonts w:hint="eastAsia"/>
                      <w:color w:val="auto"/>
                      <w:kern w:val="0"/>
                    </w:rPr>
                    <w:t>1条小型气体发生器生产线</w:t>
                  </w:r>
                </w:p>
              </w:tc>
              <w:tc>
                <w:tcPr>
                  <w:tcW w:w="1161" w:type="pct"/>
                  <w:tcBorders>
                    <w:tl2br w:val="nil"/>
                    <w:tr2bl w:val="nil"/>
                  </w:tcBorders>
                  <w:vAlign w:val="center"/>
                </w:tcPr>
                <w:p w14:paraId="3A84F01F">
                  <w:pPr>
                    <w:keepNext/>
                    <w:adjustRightInd w:val="0"/>
                    <w:snapToGrid w:val="0"/>
                    <w:jc w:val="center"/>
                    <w:rPr>
                      <w:color w:val="auto"/>
                      <w:kern w:val="0"/>
                    </w:rPr>
                  </w:pPr>
                  <w:r>
                    <w:rPr>
                      <w:rFonts w:hint="eastAsia"/>
                      <w:color w:val="auto"/>
                      <w:kern w:val="0"/>
                    </w:rPr>
                    <w:t>PSS4电源切断器</w:t>
                  </w:r>
                </w:p>
              </w:tc>
              <w:tc>
                <w:tcPr>
                  <w:tcW w:w="627" w:type="pct"/>
                  <w:tcBorders>
                    <w:tl2br w:val="nil"/>
                    <w:tr2bl w:val="nil"/>
                  </w:tcBorders>
                  <w:vAlign w:val="center"/>
                </w:tcPr>
                <w:p w14:paraId="3A84F020">
                  <w:pPr>
                    <w:widowControl/>
                    <w:adjustRightInd w:val="0"/>
                    <w:snapToGrid w:val="0"/>
                    <w:jc w:val="center"/>
                    <w:rPr>
                      <w:color w:val="auto"/>
                      <w:kern w:val="0"/>
                    </w:rPr>
                  </w:pPr>
                  <w:r>
                    <w:rPr>
                      <w:rFonts w:hint="eastAsia"/>
                      <w:color w:val="auto"/>
                      <w:kern w:val="0"/>
                    </w:rPr>
                    <w:t>200万件/a</w:t>
                  </w:r>
                </w:p>
              </w:tc>
              <w:tc>
                <w:tcPr>
                  <w:tcW w:w="627" w:type="pct"/>
                  <w:tcBorders>
                    <w:tl2br w:val="nil"/>
                    <w:tr2bl w:val="nil"/>
                  </w:tcBorders>
                  <w:vAlign w:val="center"/>
                </w:tcPr>
                <w:p w14:paraId="3A84F021">
                  <w:pPr>
                    <w:widowControl/>
                    <w:adjustRightInd w:val="0"/>
                    <w:snapToGrid w:val="0"/>
                    <w:jc w:val="center"/>
                    <w:rPr>
                      <w:color w:val="auto"/>
                      <w:kern w:val="0"/>
                    </w:rPr>
                  </w:pPr>
                  <w:r>
                    <w:rPr>
                      <w:rFonts w:hint="eastAsia"/>
                      <w:color w:val="auto"/>
                      <w:kern w:val="0"/>
                    </w:rPr>
                    <w:t>200万件/a</w:t>
                  </w:r>
                </w:p>
              </w:tc>
              <w:tc>
                <w:tcPr>
                  <w:tcW w:w="560" w:type="pct"/>
                  <w:tcBorders>
                    <w:tl2br w:val="nil"/>
                    <w:tr2bl w:val="nil"/>
                  </w:tcBorders>
                  <w:vAlign w:val="center"/>
                </w:tcPr>
                <w:p w14:paraId="3A84F022">
                  <w:pPr>
                    <w:widowControl/>
                    <w:adjustRightInd w:val="0"/>
                    <w:snapToGrid w:val="0"/>
                    <w:jc w:val="center"/>
                    <w:rPr>
                      <w:color w:val="auto"/>
                      <w:kern w:val="0"/>
                    </w:rPr>
                  </w:pPr>
                  <w:r>
                    <w:rPr>
                      <w:rFonts w:hint="eastAsia"/>
                      <w:color w:val="auto"/>
                      <w:kern w:val="0"/>
                    </w:rPr>
                    <w:t>0</w:t>
                  </w:r>
                </w:p>
              </w:tc>
              <w:tc>
                <w:tcPr>
                  <w:tcW w:w="507" w:type="pct"/>
                  <w:tcBorders>
                    <w:tl2br w:val="nil"/>
                    <w:tr2bl w:val="nil"/>
                  </w:tcBorders>
                  <w:vAlign w:val="center"/>
                </w:tcPr>
                <w:p w14:paraId="3A84F023">
                  <w:pPr>
                    <w:adjustRightInd w:val="0"/>
                    <w:snapToGrid w:val="0"/>
                    <w:jc w:val="center"/>
                    <w:rPr>
                      <w:color w:val="auto"/>
                      <w:kern w:val="0"/>
                    </w:rPr>
                  </w:pPr>
                  <w:r>
                    <w:rPr>
                      <w:rFonts w:hint="eastAsia"/>
                      <w:color w:val="auto"/>
                      <w:kern w:val="0"/>
                    </w:rPr>
                    <w:t>7200</w:t>
                  </w:r>
                </w:p>
              </w:tc>
              <w:tc>
                <w:tcPr>
                  <w:tcW w:w="622" w:type="pct"/>
                  <w:tcBorders>
                    <w:tl2br w:val="nil"/>
                    <w:tr2bl w:val="nil"/>
                  </w:tcBorders>
                  <w:vAlign w:val="center"/>
                </w:tcPr>
                <w:p w14:paraId="3A84F024">
                  <w:pPr>
                    <w:adjustRightInd w:val="0"/>
                    <w:snapToGrid w:val="0"/>
                    <w:jc w:val="center"/>
                    <w:rPr>
                      <w:color w:val="auto"/>
                      <w:kern w:val="0"/>
                    </w:rPr>
                  </w:pPr>
                  <w:r>
                    <w:rPr>
                      <w:rFonts w:hint="eastAsia"/>
                      <w:color w:val="auto"/>
                      <w:kern w:val="0"/>
                    </w:rPr>
                    <w:t>全部外售</w:t>
                  </w:r>
                </w:p>
              </w:tc>
            </w:tr>
            <w:tr w14:paraId="3A84F02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94" w:type="pct"/>
                  <w:vMerge w:val="restart"/>
                  <w:tcBorders>
                    <w:tl2br w:val="nil"/>
                    <w:tr2bl w:val="nil"/>
                  </w:tcBorders>
                  <w:vAlign w:val="center"/>
                </w:tcPr>
                <w:p w14:paraId="3A84F026">
                  <w:pPr>
                    <w:keepNext/>
                    <w:adjustRightInd w:val="0"/>
                    <w:snapToGrid w:val="0"/>
                    <w:jc w:val="center"/>
                    <w:rPr>
                      <w:color w:val="auto"/>
                      <w:kern w:val="0"/>
                    </w:rPr>
                  </w:pPr>
                  <w:r>
                    <w:rPr>
                      <w:rFonts w:hint="eastAsia"/>
                      <w:color w:val="auto"/>
                      <w:kern w:val="0"/>
                    </w:rPr>
                    <w:t>点火具生产线</w:t>
                  </w:r>
                </w:p>
              </w:tc>
              <w:tc>
                <w:tcPr>
                  <w:tcW w:w="1161" w:type="pct"/>
                  <w:tcBorders>
                    <w:tl2br w:val="nil"/>
                    <w:tr2bl w:val="nil"/>
                  </w:tcBorders>
                  <w:vAlign w:val="center"/>
                </w:tcPr>
                <w:p w14:paraId="3A84F027">
                  <w:pPr>
                    <w:keepNext/>
                    <w:adjustRightInd w:val="0"/>
                    <w:snapToGrid w:val="0"/>
                    <w:jc w:val="center"/>
                    <w:rPr>
                      <w:color w:val="auto"/>
                      <w:kern w:val="0"/>
                    </w:rPr>
                  </w:pPr>
                  <w:r>
                    <w:rPr>
                      <w:rFonts w:hint="eastAsia"/>
                      <w:color w:val="auto"/>
                      <w:kern w:val="0"/>
                    </w:rPr>
                    <w:t>点火具（汽车安全带预紧器MGG用）</w:t>
                  </w:r>
                </w:p>
              </w:tc>
              <w:tc>
                <w:tcPr>
                  <w:tcW w:w="627" w:type="pct"/>
                  <w:tcBorders>
                    <w:tl2br w:val="nil"/>
                    <w:tr2bl w:val="nil"/>
                  </w:tcBorders>
                  <w:vAlign w:val="center"/>
                </w:tcPr>
                <w:p w14:paraId="3A84F028">
                  <w:pPr>
                    <w:widowControl/>
                    <w:adjustRightInd w:val="0"/>
                    <w:snapToGrid w:val="0"/>
                    <w:jc w:val="center"/>
                    <w:rPr>
                      <w:color w:val="auto"/>
                      <w:kern w:val="0"/>
                    </w:rPr>
                  </w:pPr>
                  <w:r>
                    <w:rPr>
                      <w:rFonts w:hint="eastAsia"/>
                      <w:color w:val="auto"/>
                      <w:kern w:val="0"/>
                    </w:rPr>
                    <w:t>3000万个/a</w:t>
                  </w:r>
                </w:p>
              </w:tc>
              <w:tc>
                <w:tcPr>
                  <w:tcW w:w="627" w:type="pct"/>
                  <w:tcBorders>
                    <w:tl2br w:val="nil"/>
                    <w:tr2bl w:val="nil"/>
                  </w:tcBorders>
                  <w:vAlign w:val="center"/>
                </w:tcPr>
                <w:p w14:paraId="3A84F029">
                  <w:pPr>
                    <w:widowControl/>
                    <w:adjustRightInd w:val="0"/>
                    <w:snapToGrid w:val="0"/>
                    <w:jc w:val="center"/>
                    <w:rPr>
                      <w:color w:val="auto"/>
                      <w:kern w:val="0"/>
                    </w:rPr>
                  </w:pPr>
                  <w:r>
                    <w:rPr>
                      <w:rFonts w:hint="eastAsia"/>
                      <w:color w:val="auto"/>
                      <w:kern w:val="0"/>
                    </w:rPr>
                    <w:t>3000万个/a</w:t>
                  </w:r>
                </w:p>
              </w:tc>
              <w:tc>
                <w:tcPr>
                  <w:tcW w:w="560" w:type="pct"/>
                  <w:tcBorders>
                    <w:tl2br w:val="nil"/>
                    <w:tr2bl w:val="nil"/>
                  </w:tcBorders>
                  <w:vAlign w:val="center"/>
                </w:tcPr>
                <w:p w14:paraId="3A84F02A">
                  <w:pPr>
                    <w:widowControl/>
                    <w:adjustRightInd w:val="0"/>
                    <w:snapToGrid w:val="0"/>
                    <w:jc w:val="center"/>
                    <w:rPr>
                      <w:color w:val="auto"/>
                      <w:kern w:val="0"/>
                    </w:rPr>
                  </w:pPr>
                  <w:r>
                    <w:rPr>
                      <w:rFonts w:hint="eastAsia"/>
                      <w:color w:val="auto"/>
                      <w:kern w:val="0"/>
                    </w:rPr>
                    <w:t>0</w:t>
                  </w:r>
                </w:p>
              </w:tc>
              <w:tc>
                <w:tcPr>
                  <w:tcW w:w="507" w:type="pct"/>
                  <w:tcBorders>
                    <w:tl2br w:val="nil"/>
                    <w:tr2bl w:val="nil"/>
                  </w:tcBorders>
                  <w:vAlign w:val="center"/>
                </w:tcPr>
                <w:p w14:paraId="3A84F02B">
                  <w:pPr>
                    <w:adjustRightInd w:val="0"/>
                    <w:snapToGrid w:val="0"/>
                    <w:jc w:val="center"/>
                    <w:rPr>
                      <w:color w:val="auto"/>
                      <w:kern w:val="0"/>
                    </w:rPr>
                  </w:pPr>
                  <w:r>
                    <w:rPr>
                      <w:rFonts w:hint="eastAsia"/>
                      <w:color w:val="auto"/>
                      <w:kern w:val="0"/>
                    </w:rPr>
                    <w:t>6000h</w:t>
                  </w:r>
                </w:p>
              </w:tc>
              <w:tc>
                <w:tcPr>
                  <w:tcW w:w="622" w:type="pct"/>
                  <w:tcBorders>
                    <w:tl2br w:val="nil"/>
                    <w:tr2bl w:val="nil"/>
                  </w:tcBorders>
                  <w:vAlign w:val="center"/>
                </w:tcPr>
                <w:p w14:paraId="3A84F02C">
                  <w:pPr>
                    <w:adjustRightInd w:val="0"/>
                    <w:snapToGrid w:val="0"/>
                    <w:jc w:val="center"/>
                    <w:rPr>
                      <w:color w:val="auto"/>
                      <w:kern w:val="0"/>
                    </w:rPr>
                  </w:pPr>
                  <w:r>
                    <w:rPr>
                      <w:rFonts w:hint="eastAsia"/>
                      <w:color w:val="auto"/>
                      <w:kern w:val="0"/>
                    </w:rPr>
                    <w:t>暂未建设</w:t>
                  </w:r>
                </w:p>
              </w:tc>
            </w:tr>
            <w:tr w14:paraId="3A84F03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54" w:hRule="atLeast"/>
                <w:jc w:val="center"/>
              </w:trPr>
              <w:tc>
                <w:tcPr>
                  <w:tcW w:w="894" w:type="pct"/>
                  <w:vMerge w:val="continue"/>
                  <w:tcBorders>
                    <w:tl2br w:val="nil"/>
                    <w:tr2bl w:val="nil"/>
                  </w:tcBorders>
                  <w:vAlign w:val="center"/>
                </w:tcPr>
                <w:p w14:paraId="3A84F02E">
                  <w:pPr>
                    <w:keepNext/>
                    <w:adjustRightInd w:val="0"/>
                    <w:snapToGrid w:val="0"/>
                    <w:jc w:val="center"/>
                    <w:rPr>
                      <w:color w:val="auto"/>
                      <w:kern w:val="0"/>
                    </w:rPr>
                  </w:pPr>
                </w:p>
              </w:tc>
              <w:tc>
                <w:tcPr>
                  <w:tcW w:w="1161" w:type="pct"/>
                  <w:tcBorders>
                    <w:tl2br w:val="nil"/>
                    <w:tr2bl w:val="nil"/>
                  </w:tcBorders>
                  <w:vAlign w:val="center"/>
                </w:tcPr>
                <w:p w14:paraId="3A84F02F">
                  <w:pPr>
                    <w:keepNext/>
                    <w:adjustRightInd w:val="0"/>
                    <w:snapToGrid w:val="0"/>
                    <w:jc w:val="center"/>
                    <w:rPr>
                      <w:color w:val="auto"/>
                      <w:kern w:val="0"/>
                    </w:rPr>
                  </w:pPr>
                  <w:r>
                    <w:rPr>
                      <w:rFonts w:hint="eastAsia"/>
                      <w:color w:val="auto"/>
                      <w:kern w:val="0"/>
                    </w:rPr>
                    <w:t>点火具（汽车安全气囊气体发生器用）</w:t>
                  </w:r>
                </w:p>
              </w:tc>
              <w:tc>
                <w:tcPr>
                  <w:tcW w:w="627" w:type="pct"/>
                  <w:tcBorders>
                    <w:tl2br w:val="nil"/>
                    <w:tr2bl w:val="nil"/>
                  </w:tcBorders>
                  <w:vAlign w:val="center"/>
                </w:tcPr>
                <w:p w14:paraId="3A84F030">
                  <w:pPr>
                    <w:widowControl/>
                    <w:adjustRightInd w:val="0"/>
                    <w:snapToGrid w:val="0"/>
                    <w:jc w:val="center"/>
                    <w:rPr>
                      <w:color w:val="auto"/>
                      <w:kern w:val="0"/>
                    </w:rPr>
                  </w:pPr>
                  <w:r>
                    <w:rPr>
                      <w:rFonts w:hint="eastAsia"/>
                      <w:color w:val="auto"/>
                      <w:kern w:val="0"/>
                    </w:rPr>
                    <w:t>9000万个/a</w:t>
                  </w:r>
                </w:p>
              </w:tc>
              <w:tc>
                <w:tcPr>
                  <w:tcW w:w="627" w:type="pct"/>
                  <w:tcBorders>
                    <w:tl2br w:val="nil"/>
                    <w:tr2bl w:val="nil"/>
                  </w:tcBorders>
                  <w:vAlign w:val="center"/>
                </w:tcPr>
                <w:p w14:paraId="3A84F031">
                  <w:pPr>
                    <w:widowControl/>
                    <w:adjustRightInd w:val="0"/>
                    <w:snapToGrid w:val="0"/>
                    <w:jc w:val="center"/>
                    <w:rPr>
                      <w:color w:val="auto"/>
                      <w:kern w:val="0"/>
                    </w:rPr>
                  </w:pPr>
                  <w:r>
                    <w:rPr>
                      <w:rFonts w:hint="eastAsia"/>
                      <w:color w:val="auto"/>
                      <w:kern w:val="0"/>
                    </w:rPr>
                    <w:t>9000万个/a</w:t>
                  </w:r>
                </w:p>
              </w:tc>
              <w:tc>
                <w:tcPr>
                  <w:tcW w:w="560" w:type="pct"/>
                  <w:tcBorders>
                    <w:tl2br w:val="nil"/>
                    <w:tr2bl w:val="nil"/>
                  </w:tcBorders>
                  <w:vAlign w:val="center"/>
                </w:tcPr>
                <w:p w14:paraId="3A84F032">
                  <w:pPr>
                    <w:widowControl/>
                    <w:adjustRightInd w:val="0"/>
                    <w:snapToGrid w:val="0"/>
                    <w:jc w:val="center"/>
                    <w:rPr>
                      <w:color w:val="auto"/>
                      <w:kern w:val="0"/>
                    </w:rPr>
                  </w:pPr>
                  <w:r>
                    <w:rPr>
                      <w:rFonts w:hint="eastAsia"/>
                      <w:color w:val="auto"/>
                      <w:kern w:val="0"/>
                    </w:rPr>
                    <w:t>0</w:t>
                  </w:r>
                </w:p>
              </w:tc>
              <w:tc>
                <w:tcPr>
                  <w:tcW w:w="507" w:type="pct"/>
                  <w:tcBorders>
                    <w:tl2br w:val="nil"/>
                    <w:tr2bl w:val="nil"/>
                  </w:tcBorders>
                  <w:vAlign w:val="center"/>
                </w:tcPr>
                <w:p w14:paraId="3A84F033">
                  <w:pPr>
                    <w:adjustRightInd w:val="0"/>
                    <w:snapToGrid w:val="0"/>
                    <w:jc w:val="center"/>
                    <w:rPr>
                      <w:color w:val="auto"/>
                      <w:kern w:val="0"/>
                    </w:rPr>
                  </w:pPr>
                  <w:r>
                    <w:rPr>
                      <w:rFonts w:hint="eastAsia"/>
                      <w:color w:val="auto"/>
                      <w:kern w:val="0"/>
                    </w:rPr>
                    <w:t>6000h</w:t>
                  </w:r>
                </w:p>
              </w:tc>
              <w:tc>
                <w:tcPr>
                  <w:tcW w:w="622" w:type="pct"/>
                  <w:tcBorders>
                    <w:tl2br w:val="nil"/>
                    <w:tr2bl w:val="nil"/>
                  </w:tcBorders>
                  <w:vAlign w:val="center"/>
                </w:tcPr>
                <w:p w14:paraId="3A84F034">
                  <w:pPr>
                    <w:adjustRightInd w:val="0"/>
                    <w:snapToGrid w:val="0"/>
                    <w:jc w:val="center"/>
                    <w:rPr>
                      <w:color w:val="auto"/>
                      <w:kern w:val="0"/>
                    </w:rPr>
                  </w:pPr>
                  <w:r>
                    <w:rPr>
                      <w:rFonts w:hint="eastAsia"/>
                      <w:color w:val="auto"/>
                      <w:kern w:val="0"/>
                    </w:rPr>
                    <w:t>4680万个/a配套厂内</w:t>
                  </w:r>
                  <w:r>
                    <w:rPr>
                      <w:rFonts w:hint="eastAsia"/>
                      <w:color w:val="auto"/>
                      <w:kern w:val="0"/>
                      <w:lang w:val="en-US" w:eastAsia="zh-CN"/>
                    </w:rPr>
                    <w:t>使用</w:t>
                  </w:r>
                  <w:r>
                    <w:rPr>
                      <w:rFonts w:hint="eastAsia"/>
                      <w:color w:val="auto"/>
                      <w:kern w:val="0"/>
                    </w:rPr>
                    <w:t>，其余</w:t>
                  </w:r>
                  <w:r>
                    <w:rPr>
                      <w:rFonts w:hint="eastAsia"/>
                      <w:color w:val="auto"/>
                      <w:kern w:val="0"/>
                      <w:lang w:val="en-US" w:eastAsia="zh-CN"/>
                    </w:rPr>
                    <w:t>作为产品</w:t>
                  </w:r>
                  <w:r>
                    <w:rPr>
                      <w:rFonts w:hint="eastAsia"/>
                      <w:color w:val="auto"/>
                      <w:kern w:val="0"/>
                    </w:rPr>
                    <w:t>外售</w:t>
                  </w:r>
                </w:p>
              </w:tc>
            </w:tr>
            <w:tr w14:paraId="3A84F03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54" w:hRule="atLeast"/>
                <w:jc w:val="center"/>
              </w:trPr>
              <w:tc>
                <w:tcPr>
                  <w:tcW w:w="894" w:type="pct"/>
                  <w:tcBorders>
                    <w:tl2br w:val="nil"/>
                    <w:tr2bl w:val="nil"/>
                  </w:tcBorders>
                  <w:vAlign w:val="center"/>
                </w:tcPr>
                <w:p w14:paraId="3A84F036">
                  <w:pPr>
                    <w:keepNext/>
                    <w:adjustRightInd w:val="0"/>
                    <w:snapToGrid w:val="0"/>
                    <w:jc w:val="center"/>
                    <w:rPr>
                      <w:color w:val="auto"/>
                      <w:kern w:val="0"/>
                    </w:rPr>
                  </w:pPr>
                  <w:r>
                    <w:rPr>
                      <w:rFonts w:hint="eastAsia"/>
                      <w:color w:val="auto"/>
                      <w:kern w:val="0"/>
                    </w:rPr>
                    <w:t>36条点火具生注塑线</w:t>
                  </w:r>
                </w:p>
              </w:tc>
              <w:tc>
                <w:tcPr>
                  <w:tcW w:w="1161" w:type="pct"/>
                  <w:tcBorders>
                    <w:tl2br w:val="nil"/>
                    <w:tr2bl w:val="nil"/>
                  </w:tcBorders>
                  <w:vAlign w:val="center"/>
                </w:tcPr>
                <w:p w14:paraId="3A84F037">
                  <w:pPr>
                    <w:keepNext/>
                    <w:adjustRightInd w:val="0"/>
                    <w:snapToGrid w:val="0"/>
                    <w:jc w:val="center"/>
                    <w:rPr>
                      <w:color w:val="auto"/>
                      <w:kern w:val="0"/>
                    </w:rPr>
                  </w:pPr>
                  <w:r>
                    <w:rPr>
                      <w:rFonts w:hint="eastAsia"/>
                      <w:color w:val="auto"/>
                      <w:kern w:val="0"/>
                    </w:rPr>
                    <w:t>点火具（引爆器）</w:t>
                  </w:r>
                </w:p>
              </w:tc>
              <w:tc>
                <w:tcPr>
                  <w:tcW w:w="627" w:type="pct"/>
                  <w:tcBorders>
                    <w:tl2br w:val="nil"/>
                    <w:tr2bl w:val="nil"/>
                  </w:tcBorders>
                  <w:vAlign w:val="center"/>
                </w:tcPr>
                <w:p w14:paraId="3A84F038">
                  <w:pPr>
                    <w:widowControl/>
                    <w:adjustRightInd w:val="0"/>
                    <w:snapToGrid w:val="0"/>
                    <w:jc w:val="center"/>
                    <w:rPr>
                      <w:color w:val="auto"/>
                      <w:kern w:val="0"/>
                    </w:rPr>
                  </w:pPr>
                  <w:r>
                    <w:rPr>
                      <w:rFonts w:hint="eastAsia"/>
                      <w:color w:val="auto"/>
                      <w:kern w:val="0"/>
                    </w:rPr>
                    <w:t>9000万发/a</w:t>
                  </w:r>
                </w:p>
              </w:tc>
              <w:tc>
                <w:tcPr>
                  <w:tcW w:w="627" w:type="pct"/>
                  <w:tcBorders>
                    <w:tl2br w:val="nil"/>
                    <w:tr2bl w:val="nil"/>
                  </w:tcBorders>
                  <w:vAlign w:val="center"/>
                </w:tcPr>
                <w:p w14:paraId="3A84F039">
                  <w:pPr>
                    <w:widowControl/>
                    <w:adjustRightInd w:val="0"/>
                    <w:snapToGrid w:val="0"/>
                    <w:jc w:val="center"/>
                    <w:rPr>
                      <w:color w:val="auto"/>
                      <w:kern w:val="0"/>
                    </w:rPr>
                  </w:pPr>
                  <w:r>
                    <w:rPr>
                      <w:rFonts w:hint="eastAsia"/>
                      <w:color w:val="auto"/>
                      <w:kern w:val="0"/>
                    </w:rPr>
                    <w:t>9000万发/a</w:t>
                  </w:r>
                </w:p>
              </w:tc>
              <w:tc>
                <w:tcPr>
                  <w:tcW w:w="560" w:type="pct"/>
                  <w:tcBorders>
                    <w:tl2br w:val="nil"/>
                    <w:tr2bl w:val="nil"/>
                  </w:tcBorders>
                  <w:vAlign w:val="center"/>
                </w:tcPr>
                <w:p w14:paraId="3A84F03A">
                  <w:pPr>
                    <w:widowControl/>
                    <w:adjustRightInd w:val="0"/>
                    <w:snapToGrid w:val="0"/>
                    <w:jc w:val="center"/>
                    <w:rPr>
                      <w:color w:val="auto"/>
                      <w:kern w:val="0"/>
                    </w:rPr>
                  </w:pPr>
                  <w:r>
                    <w:rPr>
                      <w:rFonts w:hint="eastAsia"/>
                      <w:color w:val="auto"/>
                      <w:kern w:val="0"/>
                    </w:rPr>
                    <w:t>0</w:t>
                  </w:r>
                </w:p>
              </w:tc>
              <w:tc>
                <w:tcPr>
                  <w:tcW w:w="507" w:type="pct"/>
                  <w:tcBorders>
                    <w:tl2br w:val="nil"/>
                    <w:tr2bl w:val="nil"/>
                  </w:tcBorders>
                  <w:vAlign w:val="center"/>
                </w:tcPr>
                <w:p w14:paraId="3A84F03B">
                  <w:pPr>
                    <w:adjustRightInd w:val="0"/>
                    <w:snapToGrid w:val="0"/>
                    <w:jc w:val="center"/>
                    <w:rPr>
                      <w:color w:val="auto"/>
                      <w:kern w:val="0"/>
                    </w:rPr>
                  </w:pPr>
                  <w:r>
                    <w:rPr>
                      <w:rFonts w:hint="eastAsia"/>
                      <w:color w:val="auto"/>
                      <w:kern w:val="0"/>
                    </w:rPr>
                    <w:t>6000h</w:t>
                  </w:r>
                </w:p>
              </w:tc>
              <w:tc>
                <w:tcPr>
                  <w:tcW w:w="622" w:type="pct"/>
                  <w:tcBorders>
                    <w:tl2br w:val="nil"/>
                    <w:tr2bl w:val="nil"/>
                  </w:tcBorders>
                  <w:vAlign w:val="center"/>
                </w:tcPr>
                <w:p w14:paraId="3A84F03C">
                  <w:pPr>
                    <w:adjustRightInd w:val="0"/>
                    <w:snapToGrid w:val="0"/>
                    <w:jc w:val="center"/>
                    <w:rPr>
                      <w:rFonts w:hint="default" w:eastAsia="宋体"/>
                      <w:color w:val="auto"/>
                      <w:kern w:val="0"/>
                      <w:lang w:val="en-US" w:eastAsia="zh-CN"/>
                    </w:rPr>
                  </w:pPr>
                  <w:r>
                    <w:rPr>
                      <w:rFonts w:hint="eastAsia"/>
                      <w:color w:val="auto"/>
                      <w:kern w:val="0"/>
                    </w:rPr>
                    <w:t>全部自用</w:t>
                  </w:r>
                  <w:r>
                    <w:rPr>
                      <w:rFonts w:hint="eastAsia"/>
                      <w:color w:val="auto"/>
                      <w:lang w:eastAsia="zh-CN"/>
                    </w:rPr>
                    <w:t>，</w:t>
                  </w:r>
                  <w:r>
                    <w:rPr>
                      <w:rFonts w:hint="eastAsia"/>
                      <w:color w:val="auto"/>
                      <w:lang w:val="en-US" w:eastAsia="zh-CN"/>
                    </w:rPr>
                    <w:t>不作为产品单独外售</w:t>
                  </w:r>
                </w:p>
              </w:tc>
            </w:tr>
            <w:tr w14:paraId="3A84F04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54" w:hRule="atLeast"/>
                <w:jc w:val="center"/>
              </w:trPr>
              <w:tc>
                <w:tcPr>
                  <w:tcW w:w="894" w:type="pct"/>
                  <w:tcBorders>
                    <w:tl2br w:val="nil"/>
                    <w:tr2bl w:val="nil"/>
                  </w:tcBorders>
                  <w:vAlign w:val="center"/>
                </w:tcPr>
                <w:p w14:paraId="3A84F03E">
                  <w:pPr>
                    <w:keepNext/>
                    <w:adjustRightInd w:val="0"/>
                    <w:snapToGrid w:val="0"/>
                    <w:jc w:val="center"/>
                    <w:rPr>
                      <w:color w:val="auto"/>
                      <w:kern w:val="0"/>
                    </w:rPr>
                  </w:pPr>
                  <w:r>
                    <w:rPr>
                      <w:rFonts w:hint="eastAsia"/>
                      <w:color w:val="auto"/>
                      <w:kern w:val="0"/>
                    </w:rPr>
                    <w:t>1条传火药/条点火芯生产线、9条传火管组装线</w:t>
                  </w:r>
                </w:p>
              </w:tc>
              <w:tc>
                <w:tcPr>
                  <w:tcW w:w="1161" w:type="pct"/>
                  <w:tcBorders>
                    <w:tl2br w:val="nil"/>
                    <w:tr2bl w:val="nil"/>
                  </w:tcBorders>
                  <w:vAlign w:val="center"/>
                </w:tcPr>
                <w:p w14:paraId="3A84F03F">
                  <w:pPr>
                    <w:keepNext/>
                    <w:adjustRightInd w:val="0"/>
                    <w:snapToGrid w:val="0"/>
                    <w:jc w:val="center"/>
                    <w:rPr>
                      <w:color w:val="auto"/>
                      <w:kern w:val="0"/>
                    </w:rPr>
                  </w:pPr>
                  <w:r>
                    <w:rPr>
                      <w:rFonts w:hint="eastAsia"/>
                      <w:color w:val="auto"/>
                      <w:kern w:val="0"/>
                    </w:rPr>
                    <w:t>传火管</w:t>
                  </w:r>
                </w:p>
              </w:tc>
              <w:tc>
                <w:tcPr>
                  <w:tcW w:w="627" w:type="pct"/>
                  <w:tcBorders>
                    <w:tl2br w:val="nil"/>
                    <w:tr2bl w:val="nil"/>
                  </w:tcBorders>
                  <w:vAlign w:val="center"/>
                </w:tcPr>
                <w:p w14:paraId="3A84F040">
                  <w:pPr>
                    <w:widowControl/>
                    <w:adjustRightInd w:val="0"/>
                    <w:snapToGrid w:val="0"/>
                    <w:jc w:val="center"/>
                    <w:rPr>
                      <w:color w:val="auto"/>
                      <w:kern w:val="0"/>
                    </w:rPr>
                  </w:pPr>
                  <w:r>
                    <w:rPr>
                      <w:rFonts w:hint="eastAsia"/>
                      <w:color w:val="auto"/>
                      <w:kern w:val="0"/>
                    </w:rPr>
                    <w:t>3000万发/a</w:t>
                  </w:r>
                </w:p>
              </w:tc>
              <w:tc>
                <w:tcPr>
                  <w:tcW w:w="627" w:type="pct"/>
                  <w:tcBorders>
                    <w:tl2br w:val="nil"/>
                    <w:tr2bl w:val="nil"/>
                  </w:tcBorders>
                  <w:vAlign w:val="center"/>
                </w:tcPr>
                <w:p w14:paraId="3A84F041">
                  <w:pPr>
                    <w:widowControl/>
                    <w:adjustRightInd w:val="0"/>
                    <w:snapToGrid w:val="0"/>
                    <w:jc w:val="center"/>
                    <w:rPr>
                      <w:color w:val="auto"/>
                      <w:kern w:val="0"/>
                    </w:rPr>
                  </w:pPr>
                  <w:r>
                    <w:rPr>
                      <w:rFonts w:hint="eastAsia"/>
                      <w:color w:val="auto"/>
                      <w:kern w:val="0"/>
                    </w:rPr>
                    <w:t>3000万发/a</w:t>
                  </w:r>
                </w:p>
              </w:tc>
              <w:tc>
                <w:tcPr>
                  <w:tcW w:w="560" w:type="pct"/>
                  <w:tcBorders>
                    <w:tl2br w:val="nil"/>
                    <w:tr2bl w:val="nil"/>
                  </w:tcBorders>
                  <w:vAlign w:val="center"/>
                </w:tcPr>
                <w:p w14:paraId="3A84F042">
                  <w:pPr>
                    <w:widowControl/>
                    <w:adjustRightInd w:val="0"/>
                    <w:snapToGrid w:val="0"/>
                    <w:jc w:val="center"/>
                    <w:rPr>
                      <w:color w:val="auto"/>
                      <w:kern w:val="0"/>
                    </w:rPr>
                  </w:pPr>
                  <w:r>
                    <w:rPr>
                      <w:rFonts w:hint="eastAsia"/>
                      <w:color w:val="auto"/>
                      <w:kern w:val="0"/>
                    </w:rPr>
                    <w:t>0</w:t>
                  </w:r>
                </w:p>
              </w:tc>
              <w:tc>
                <w:tcPr>
                  <w:tcW w:w="507" w:type="pct"/>
                  <w:tcBorders>
                    <w:tl2br w:val="nil"/>
                    <w:tr2bl w:val="nil"/>
                  </w:tcBorders>
                  <w:vAlign w:val="center"/>
                </w:tcPr>
                <w:p w14:paraId="3A84F043">
                  <w:pPr>
                    <w:adjustRightInd w:val="0"/>
                    <w:snapToGrid w:val="0"/>
                    <w:jc w:val="center"/>
                    <w:rPr>
                      <w:color w:val="auto"/>
                      <w:kern w:val="0"/>
                    </w:rPr>
                  </w:pPr>
                  <w:r>
                    <w:rPr>
                      <w:rFonts w:hint="eastAsia"/>
                      <w:color w:val="auto"/>
                      <w:kern w:val="0"/>
                    </w:rPr>
                    <w:t>6000h</w:t>
                  </w:r>
                </w:p>
              </w:tc>
              <w:tc>
                <w:tcPr>
                  <w:tcW w:w="622" w:type="pct"/>
                  <w:tcBorders>
                    <w:tl2br w:val="nil"/>
                    <w:tr2bl w:val="nil"/>
                  </w:tcBorders>
                  <w:shd w:val="clear" w:color="auto" w:fill="auto"/>
                  <w:vAlign w:val="center"/>
                </w:tcPr>
                <w:p w14:paraId="3A84F044">
                  <w:pPr>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rPr>
                    <w:t>全部自用</w:t>
                  </w:r>
                  <w:r>
                    <w:rPr>
                      <w:rFonts w:hint="eastAsia"/>
                      <w:color w:val="auto"/>
                      <w:lang w:eastAsia="zh-CN"/>
                    </w:rPr>
                    <w:t>，</w:t>
                  </w:r>
                  <w:r>
                    <w:rPr>
                      <w:rFonts w:hint="eastAsia"/>
                      <w:color w:val="auto"/>
                      <w:lang w:val="en-US" w:eastAsia="zh-CN"/>
                    </w:rPr>
                    <w:t>不作为产品单独外售</w:t>
                  </w:r>
                </w:p>
              </w:tc>
            </w:tr>
            <w:tr w14:paraId="3A84F0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94" w:type="pct"/>
                  <w:tcBorders>
                    <w:tl2br w:val="nil"/>
                    <w:tr2bl w:val="nil"/>
                  </w:tcBorders>
                  <w:vAlign w:val="center"/>
                </w:tcPr>
                <w:p w14:paraId="3A84F046">
                  <w:pPr>
                    <w:keepNext/>
                    <w:adjustRightInd w:val="0"/>
                    <w:snapToGrid w:val="0"/>
                    <w:jc w:val="center"/>
                    <w:rPr>
                      <w:color w:val="auto"/>
                      <w:kern w:val="0"/>
                    </w:rPr>
                  </w:pPr>
                  <w:r>
                    <w:rPr>
                      <w:rFonts w:hint="eastAsia"/>
                      <w:color w:val="auto"/>
                      <w:kern w:val="0"/>
                    </w:rPr>
                    <w:t>4条气体发生器生产线</w:t>
                  </w:r>
                </w:p>
              </w:tc>
              <w:tc>
                <w:tcPr>
                  <w:tcW w:w="1161" w:type="pct"/>
                  <w:tcBorders>
                    <w:tl2br w:val="nil"/>
                    <w:tr2bl w:val="nil"/>
                  </w:tcBorders>
                  <w:vAlign w:val="center"/>
                </w:tcPr>
                <w:p w14:paraId="3A84F047">
                  <w:pPr>
                    <w:keepNext/>
                    <w:adjustRightInd w:val="0"/>
                    <w:snapToGrid w:val="0"/>
                    <w:jc w:val="center"/>
                    <w:rPr>
                      <w:color w:val="auto"/>
                      <w:kern w:val="0"/>
                    </w:rPr>
                  </w:pPr>
                  <w:r>
                    <w:rPr>
                      <w:rFonts w:hint="eastAsia"/>
                      <w:color w:val="auto"/>
                      <w:kern w:val="0"/>
                    </w:rPr>
                    <w:t>气体发生器（PF双极、PF单级）</w:t>
                  </w:r>
                </w:p>
              </w:tc>
              <w:tc>
                <w:tcPr>
                  <w:tcW w:w="627" w:type="pct"/>
                  <w:tcBorders>
                    <w:tl2br w:val="nil"/>
                    <w:tr2bl w:val="nil"/>
                  </w:tcBorders>
                  <w:shd w:val="clear" w:color="auto" w:fill="auto"/>
                  <w:vAlign w:val="center"/>
                </w:tcPr>
                <w:p w14:paraId="3A84F048">
                  <w:pPr>
                    <w:widowControl/>
                    <w:adjustRightInd w:val="0"/>
                    <w:snapToGrid w:val="0"/>
                    <w:jc w:val="center"/>
                    <w:rPr>
                      <w:color w:val="auto"/>
                      <w:kern w:val="0"/>
                    </w:rPr>
                  </w:pPr>
                  <w:r>
                    <w:rPr>
                      <w:rFonts w:hint="eastAsia"/>
                      <w:color w:val="auto"/>
                      <w:kern w:val="0"/>
                    </w:rPr>
                    <w:t>0</w:t>
                  </w:r>
                </w:p>
              </w:tc>
              <w:tc>
                <w:tcPr>
                  <w:tcW w:w="627" w:type="pct"/>
                  <w:tcBorders>
                    <w:tl2br w:val="nil"/>
                    <w:tr2bl w:val="nil"/>
                  </w:tcBorders>
                  <w:shd w:val="clear" w:color="auto" w:fill="auto"/>
                  <w:vAlign w:val="center"/>
                </w:tcPr>
                <w:p w14:paraId="3A84F049">
                  <w:pPr>
                    <w:widowControl/>
                    <w:adjustRightInd w:val="0"/>
                    <w:snapToGrid w:val="0"/>
                    <w:jc w:val="center"/>
                    <w:rPr>
                      <w:color w:val="auto"/>
                      <w:kern w:val="0"/>
                    </w:rPr>
                  </w:pPr>
                  <w:r>
                    <w:rPr>
                      <w:rFonts w:hint="eastAsia"/>
                      <w:color w:val="auto"/>
                      <w:kern w:val="0"/>
                    </w:rPr>
                    <w:t>2000万件/a</w:t>
                  </w:r>
                </w:p>
              </w:tc>
              <w:tc>
                <w:tcPr>
                  <w:tcW w:w="560" w:type="pct"/>
                  <w:tcBorders>
                    <w:tl2br w:val="nil"/>
                    <w:tr2bl w:val="nil"/>
                  </w:tcBorders>
                  <w:vAlign w:val="center"/>
                </w:tcPr>
                <w:p w14:paraId="3A84F04A">
                  <w:pPr>
                    <w:widowControl/>
                    <w:adjustRightInd w:val="0"/>
                    <w:snapToGrid w:val="0"/>
                    <w:jc w:val="center"/>
                    <w:rPr>
                      <w:color w:val="auto"/>
                      <w:kern w:val="0"/>
                    </w:rPr>
                  </w:pPr>
                  <w:r>
                    <w:rPr>
                      <w:rFonts w:hint="eastAsia"/>
                      <w:color w:val="auto"/>
                      <w:kern w:val="0"/>
                    </w:rPr>
                    <w:t>+2000万件/a</w:t>
                  </w:r>
                </w:p>
              </w:tc>
              <w:tc>
                <w:tcPr>
                  <w:tcW w:w="507" w:type="pct"/>
                  <w:tcBorders>
                    <w:tl2br w:val="nil"/>
                    <w:tr2bl w:val="nil"/>
                  </w:tcBorders>
                  <w:vAlign w:val="center"/>
                </w:tcPr>
                <w:p w14:paraId="3A84F04B">
                  <w:pPr>
                    <w:adjustRightInd w:val="0"/>
                    <w:snapToGrid w:val="0"/>
                    <w:jc w:val="center"/>
                    <w:rPr>
                      <w:color w:val="auto"/>
                      <w:kern w:val="0"/>
                    </w:rPr>
                  </w:pPr>
                  <w:r>
                    <w:rPr>
                      <w:rFonts w:hint="eastAsia"/>
                      <w:color w:val="auto"/>
                      <w:kern w:val="0"/>
                    </w:rPr>
                    <w:t>6160h</w:t>
                  </w:r>
                </w:p>
              </w:tc>
              <w:tc>
                <w:tcPr>
                  <w:tcW w:w="622" w:type="pct"/>
                  <w:tcBorders>
                    <w:tl2br w:val="nil"/>
                    <w:tr2bl w:val="nil"/>
                  </w:tcBorders>
                  <w:vAlign w:val="center"/>
                </w:tcPr>
                <w:p w14:paraId="3A84F04C">
                  <w:pPr>
                    <w:adjustRightInd w:val="0"/>
                    <w:snapToGrid w:val="0"/>
                    <w:jc w:val="center"/>
                    <w:rPr>
                      <w:color w:val="auto"/>
                      <w:kern w:val="0"/>
                    </w:rPr>
                  </w:pPr>
                  <w:r>
                    <w:rPr>
                      <w:rFonts w:hint="eastAsia"/>
                      <w:color w:val="auto"/>
                      <w:kern w:val="0"/>
                    </w:rPr>
                    <w:t>本次新建</w:t>
                  </w:r>
                </w:p>
              </w:tc>
            </w:tr>
            <w:tr w14:paraId="7AE638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7"/>
                  <w:tcBorders>
                    <w:tl2br w:val="nil"/>
                    <w:tr2bl w:val="nil"/>
                  </w:tcBorders>
                  <w:vAlign w:val="center"/>
                </w:tcPr>
                <w:p w14:paraId="11DF9254">
                  <w:pPr>
                    <w:adjustRightInd w:val="0"/>
                    <w:snapToGrid w:val="0"/>
                    <w:jc w:val="left"/>
                    <w:rPr>
                      <w:rFonts w:hint="eastAsia"/>
                      <w:b/>
                      <w:bCs/>
                      <w:color w:val="FF0000"/>
                      <w:kern w:val="0"/>
                      <w:lang w:val="en-US" w:eastAsia="zh-CN"/>
                    </w:rPr>
                  </w:pPr>
                  <w:r>
                    <w:rPr>
                      <w:rFonts w:hint="eastAsia"/>
                      <w:b/>
                      <w:bCs/>
                      <w:color w:val="FF0000"/>
                      <w:kern w:val="0"/>
                      <w:lang w:val="en-US" w:eastAsia="zh-CN"/>
                    </w:rPr>
                    <w:t>气体发生器：</w:t>
                  </w:r>
                </w:p>
                <w:p w14:paraId="2EE474B8">
                  <w:pPr>
                    <w:adjustRightInd w:val="0"/>
                    <w:snapToGrid w:val="0"/>
                    <w:jc w:val="left"/>
                    <w:rPr>
                      <w:rFonts w:hint="eastAsia"/>
                      <w:color w:val="FF0000"/>
                      <w:kern w:val="0"/>
                      <w:lang w:val="en-US" w:eastAsia="zh-CN"/>
                    </w:rPr>
                  </w:pPr>
                  <w:r>
                    <w:rPr>
                      <w:rFonts w:hint="eastAsia"/>
                      <w:color w:val="FF0000"/>
                      <w:kern w:val="0"/>
                      <w:lang w:val="en-US" w:eastAsia="zh-CN"/>
                    </w:rPr>
                    <w:t>单级：高度31mm、直径60mm、重量290g、出气压力200kpa；</w:t>
                  </w:r>
                </w:p>
                <w:p w14:paraId="74D690E0">
                  <w:pPr>
                    <w:adjustRightInd w:val="0"/>
                    <w:snapToGrid w:val="0"/>
                    <w:jc w:val="left"/>
                    <w:rPr>
                      <w:rFonts w:hint="default" w:eastAsia="宋体"/>
                      <w:color w:val="FF0000"/>
                      <w:kern w:val="0"/>
                      <w:lang w:val="en-US" w:eastAsia="zh-CN"/>
                    </w:rPr>
                  </w:pPr>
                  <w:r>
                    <w:rPr>
                      <w:rFonts w:hint="eastAsia"/>
                      <w:color w:val="FF0000"/>
                      <w:kern w:val="0"/>
                      <w:lang w:val="en-US" w:eastAsia="zh-CN"/>
                    </w:rPr>
                    <w:t>双极：高度38mm、直径60mm、重量395g、出气压力185kpa。</w:t>
                  </w:r>
                </w:p>
              </w:tc>
            </w:tr>
          </w:tbl>
          <w:p w14:paraId="719CD465">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pPr>
            <w:r>
              <w:drawing>
                <wp:inline distT="0" distB="0" distL="114300" distR="114300">
                  <wp:extent cx="5422900" cy="2722245"/>
                  <wp:effectExtent l="0" t="0" r="6350" b="1905"/>
                  <wp:docPr id="1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6"/>
                          <pic:cNvPicPr>
                            <a:picLocks noChangeAspect="1"/>
                          </pic:cNvPicPr>
                        </pic:nvPicPr>
                        <pic:blipFill>
                          <a:blip r:embed="rId9"/>
                          <a:stretch>
                            <a:fillRect/>
                          </a:stretch>
                        </pic:blipFill>
                        <pic:spPr>
                          <a:xfrm>
                            <a:off x="0" y="0"/>
                            <a:ext cx="5422900" cy="2722245"/>
                          </a:xfrm>
                          <a:prstGeom prst="rect">
                            <a:avLst/>
                          </a:prstGeom>
                          <a:noFill/>
                          <a:ln>
                            <a:noFill/>
                          </a:ln>
                        </pic:spPr>
                      </pic:pic>
                    </a:graphicData>
                  </a:graphic>
                </wp:inline>
              </w:drawing>
            </w:r>
          </w:p>
          <w:p w14:paraId="19838CC9">
            <w:pPr>
              <w:autoSpaceDE w:val="0"/>
              <w:autoSpaceDN w:val="0"/>
              <w:adjustRightInd w:val="0"/>
              <w:snapToGrid w:val="0"/>
              <w:spacing w:line="360" w:lineRule="auto"/>
              <w:jc w:val="center"/>
              <w:rPr>
                <w:rFonts w:hint="default" w:eastAsia="宋体" w:cs="宋体"/>
                <w:b/>
                <w:bCs/>
                <w:color w:val="auto"/>
                <w:lang w:val="en-US" w:eastAsia="zh-CN"/>
              </w:rPr>
            </w:pPr>
            <w:r>
              <w:rPr>
                <w:rFonts w:hint="eastAsia" w:cs="宋体"/>
                <w:b/>
                <w:bCs/>
                <w:color w:val="auto"/>
                <w:lang w:val="en-US" w:eastAsia="zh-CN"/>
              </w:rPr>
              <w:t>气体发生器产品图</w:t>
            </w:r>
          </w:p>
          <w:p w14:paraId="3A84F04E">
            <w:pPr>
              <w:autoSpaceDE w:val="0"/>
              <w:autoSpaceDN w:val="0"/>
              <w:adjustRightInd w:val="0"/>
              <w:snapToGrid w:val="0"/>
              <w:spacing w:line="360" w:lineRule="auto"/>
              <w:jc w:val="left"/>
              <w:rPr>
                <w:rFonts w:cs="宋体"/>
                <w:b/>
                <w:bCs/>
                <w:color w:val="auto"/>
              </w:rPr>
            </w:pPr>
            <w:r>
              <w:rPr>
                <w:rFonts w:hint="eastAsia" w:cs="宋体"/>
                <w:b/>
                <w:bCs/>
                <w:color w:val="auto"/>
              </w:rPr>
              <w:t>2.1.3 工程内容</w:t>
            </w:r>
          </w:p>
          <w:p w14:paraId="3A84F04F">
            <w:pPr>
              <w:adjustRightInd w:val="0"/>
              <w:snapToGrid w:val="0"/>
              <w:spacing w:line="360" w:lineRule="auto"/>
              <w:ind w:firstLine="420" w:firstLineChars="200"/>
              <w:jc w:val="left"/>
              <w:rPr>
                <w:color w:val="auto"/>
              </w:rPr>
            </w:pPr>
            <w:r>
              <w:rPr>
                <w:rFonts w:hint="eastAsia" w:cs="宋体"/>
                <w:color w:val="auto"/>
                <w:kern w:val="0"/>
                <w:lang w:bidi="ar"/>
              </w:rPr>
              <w:t>本项目主体工程、储运工程、公用工程及环保工程见下表：</w:t>
            </w:r>
          </w:p>
          <w:p w14:paraId="3A84F050">
            <w:pPr>
              <w:pStyle w:val="16"/>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表2-</w:t>
            </w:r>
            <w:r>
              <w:rPr>
                <w:rFonts w:hint="eastAsia" w:ascii="Times New Roman" w:hAnsi="Times New Roman" w:eastAsia="宋体"/>
                <w:b/>
                <w:color w:val="auto"/>
                <w:sz w:val="21"/>
                <w:szCs w:val="21"/>
              </w:rPr>
              <w:t>2</w:t>
            </w:r>
            <w:r>
              <w:rPr>
                <w:rFonts w:ascii="Times New Roman" w:hAnsi="Times New Roman" w:eastAsia="宋体"/>
                <w:b/>
                <w:color w:val="auto"/>
                <w:sz w:val="21"/>
                <w:szCs w:val="21"/>
              </w:rPr>
              <w:t xml:space="preserve">   项目主要组成内容</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483"/>
              <w:gridCol w:w="564"/>
              <w:gridCol w:w="901"/>
              <w:gridCol w:w="3177"/>
              <w:gridCol w:w="969"/>
              <w:gridCol w:w="1425"/>
              <w:gridCol w:w="1025"/>
            </w:tblGrid>
            <w:tr w14:paraId="3A84F05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93" w:hRule="atLeast"/>
                <w:jc w:val="center"/>
              </w:trPr>
              <w:tc>
                <w:tcPr>
                  <w:tcW w:w="282" w:type="pct"/>
                  <w:tcBorders>
                    <w:tl2br w:val="nil"/>
                    <w:tr2bl w:val="nil"/>
                  </w:tcBorders>
                  <w:vAlign w:val="center"/>
                </w:tcPr>
                <w:p w14:paraId="3A84F051">
                  <w:pPr>
                    <w:adjustRightInd w:val="0"/>
                    <w:snapToGrid w:val="0"/>
                    <w:jc w:val="center"/>
                    <w:rPr>
                      <w:b/>
                      <w:color w:val="auto"/>
                    </w:rPr>
                  </w:pPr>
                  <w:r>
                    <w:rPr>
                      <w:b/>
                      <w:color w:val="auto"/>
                    </w:rPr>
                    <w:t>类别</w:t>
                  </w:r>
                </w:p>
              </w:tc>
              <w:tc>
                <w:tcPr>
                  <w:tcW w:w="857" w:type="pct"/>
                  <w:gridSpan w:val="2"/>
                  <w:tcBorders>
                    <w:tl2br w:val="nil"/>
                    <w:tr2bl w:val="nil"/>
                  </w:tcBorders>
                  <w:vAlign w:val="center"/>
                </w:tcPr>
                <w:p w14:paraId="3A84F052">
                  <w:pPr>
                    <w:adjustRightInd w:val="0"/>
                    <w:snapToGrid w:val="0"/>
                    <w:jc w:val="center"/>
                    <w:rPr>
                      <w:b/>
                      <w:color w:val="auto"/>
                    </w:rPr>
                  </w:pPr>
                  <w:r>
                    <w:rPr>
                      <w:rFonts w:hint="eastAsia"/>
                      <w:b/>
                      <w:color w:val="auto"/>
                    </w:rPr>
                    <w:t>单项工程</w:t>
                  </w:r>
                  <w:r>
                    <w:rPr>
                      <w:b/>
                      <w:color w:val="auto"/>
                    </w:rPr>
                    <w:t>名称</w:t>
                  </w:r>
                </w:p>
              </w:tc>
              <w:tc>
                <w:tcPr>
                  <w:tcW w:w="1859" w:type="pct"/>
                  <w:tcBorders>
                    <w:tl2br w:val="nil"/>
                    <w:tr2bl w:val="nil"/>
                  </w:tcBorders>
                  <w:vAlign w:val="center"/>
                </w:tcPr>
                <w:p w14:paraId="3A84F053">
                  <w:pPr>
                    <w:adjustRightInd w:val="0"/>
                    <w:snapToGrid w:val="0"/>
                    <w:jc w:val="center"/>
                    <w:rPr>
                      <w:b/>
                      <w:color w:val="auto"/>
                    </w:rPr>
                  </w:pPr>
                  <w:r>
                    <w:rPr>
                      <w:rFonts w:hint="eastAsia"/>
                      <w:b/>
                      <w:color w:val="auto"/>
                    </w:rPr>
                    <w:t>工程内容</w:t>
                  </w:r>
                </w:p>
              </w:tc>
              <w:tc>
                <w:tcPr>
                  <w:tcW w:w="1400" w:type="pct"/>
                  <w:gridSpan w:val="2"/>
                  <w:tcBorders>
                    <w:tl2br w:val="nil"/>
                    <w:tr2bl w:val="nil"/>
                  </w:tcBorders>
                  <w:vAlign w:val="center"/>
                </w:tcPr>
                <w:p w14:paraId="3A84F054">
                  <w:pPr>
                    <w:adjustRightInd w:val="0"/>
                    <w:snapToGrid w:val="0"/>
                    <w:jc w:val="center"/>
                    <w:rPr>
                      <w:b/>
                      <w:color w:val="auto"/>
                    </w:rPr>
                  </w:pPr>
                  <w:r>
                    <w:rPr>
                      <w:rFonts w:hint="eastAsia"/>
                      <w:b/>
                      <w:color w:val="auto"/>
                    </w:rPr>
                    <w:t>工程规模</w:t>
                  </w:r>
                </w:p>
              </w:tc>
              <w:tc>
                <w:tcPr>
                  <w:tcW w:w="599" w:type="pct"/>
                  <w:tcBorders>
                    <w:tl2br w:val="nil"/>
                    <w:tr2bl w:val="nil"/>
                  </w:tcBorders>
                  <w:vAlign w:val="center"/>
                </w:tcPr>
                <w:p w14:paraId="3A84F055">
                  <w:pPr>
                    <w:adjustRightInd w:val="0"/>
                    <w:snapToGrid w:val="0"/>
                    <w:jc w:val="center"/>
                    <w:rPr>
                      <w:b/>
                      <w:color w:val="auto"/>
                    </w:rPr>
                  </w:pPr>
                  <w:r>
                    <w:rPr>
                      <w:b/>
                      <w:color w:val="auto"/>
                    </w:rPr>
                    <w:t>备注</w:t>
                  </w:r>
                </w:p>
              </w:tc>
            </w:tr>
            <w:tr w14:paraId="3A84F0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89" w:hRule="atLeast"/>
                <w:jc w:val="center"/>
              </w:trPr>
              <w:tc>
                <w:tcPr>
                  <w:tcW w:w="282" w:type="pct"/>
                  <w:tcBorders>
                    <w:tl2br w:val="nil"/>
                    <w:tr2bl w:val="nil"/>
                  </w:tcBorders>
                  <w:vAlign w:val="center"/>
                </w:tcPr>
                <w:p w14:paraId="3A84F057">
                  <w:pPr>
                    <w:adjustRightInd w:val="0"/>
                    <w:snapToGrid w:val="0"/>
                    <w:jc w:val="center"/>
                    <w:rPr>
                      <w:b/>
                      <w:bCs/>
                      <w:color w:val="auto"/>
                    </w:rPr>
                  </w:pPr>
                  <w:r>
                    <w:rPr>
                      <w:b/>
                      <w:bCs/>
                      <w:color w:val="auto"/>
                    </w:rPr>
                    <w:t>主体</w:t>
                  </w:r>
                </w:p>
                <w:p w14:paraId="3A84F058">
                  <w:pPr>
                    <w:adjustRightInd w:val="0"/>
                    <w:snapToGrid w:val="0"/>
                    <w:jc w:val="center"/>
                    <w:rPr>
                      <w:b/>
                      <w:bCs/>
                      <w:color w:val="auto"/>
                    </w:rPr>
                  </w:pPr>
                  <w:r>
                    <w:rPr>
                      <w:b/>
                      <w:bCs/>
                      <w:color w:val="auto"/>
                    </w:rPr>
                    <w:t>工程</w:t>
                  </w:r>
                </w:p>
              </w:tc>
              <w:tc>
                <w:tcPr>
                  <w:tcW w:w="857" w:type="pct"/>
                  <w:gridSpan w:val="2"/>
                  <w:tcBorders>
                    <w:tl2br w:val="nil"/>
                    <w:tr2bl w:val="nil"/>
                  </w:tcBorders>
                  <w:vAlign w:val="center"/>
                </w:tcPr>
                <w:p w14:paraId="3A84F059">
                  <w:pPr>
                    <w:pStyle w:val="5"/>
                    <w:adjustRightInd w:val="0"/>
                    <w:snapToGrid w:val="0"/>
                    <w:ind w:firstLine="0"/>
                    <w:jc w:val="center"/>
                    <w:rPr>
                      <w:color w:val="auto"/>
                      <w:szCs w:val="21"/>
                    </w:rPr>
                  </w:pPr>
                  <w:r>
                    <w:rPr>
                      <w:rFonts w:hint="eastAsia"/>
                      <w:color w:val="auto"/>
                      <w:szCs w:val="21"/>
                    </w:rPr>
                    <w:t>304车间</w:t>
                  </w:r>
                </w:p>
              </w:tc>
              <w:tc>
                <w:tcPr>
                  <w:tcW w:w="1859" w:type="pct"/>
                  <w:tcBorders>
                    <w:tl2br w:val="nil"/>
                    <w:tr2bl w:val="nil"/>
                  </w:tcBorders>
                  <w:vAlign w:val="center"/>
                </w:tcPr>
                <w:p w14:paraId="3A84F05A">
                  <w:pPr>
                    <w:adjustRightInd w:val="0"/>
                    <w:snapToGrid w:val="0"/>
                    <w:jc w:val="center"/>
                    <w:rPr>
                      <w:color w:val="auto"/>
                    </w:rPr>
                  </w:pPr>
                  <w:r>
                    <w:rPr>
                      <w:rFonts w:hint="eastAsia"/>
                      <w:color w:val="FF0000"/>
                    </w:rPr>
                    <w:t>主要布置</w:t>
                  </w:r>
                  <w:r>
                    <w:rPr>
                      <w:rFonts w:hint="eastAsia"/>
                      <w:color w:val="FF0000"/>
                      <w:lang w:val="en-US" w:eastAsia="zh-CN"/>
                    </w:rPr>
                    <w:t>两条</w:t>
                  </w:r>
                  <w:r>
                    <w:rPr>
                      <w:rFonts w:hint="eastAsia"/>
                      <w:color w:val="FF0000"/>
                    </w:rPr>
                    <w:t>PF双极、</w:t>
                  </w:r>
                  <w:r>
                    <w:rPr>
                      <w:rFonts w:hint="eastAsia"/>
                      <w:color w:val="FF0000"/>
                      <w:lang w:val="en-US" w:eastAsia="zh-CN"/>
                    </w:rPr>
                    <w:t>两条</w:t>
                  </w:r>
                  <w:r>
                    <w:rPr>
                      <w:rFonts w:hint="eastAsia"/>
                      <w:color w:val="FF0000"/>
                    </w:rPr>
                    <w:t>PF单级生产线</w:t>
                  </w:r>
                </w:p>
              </w:tc>
              <w:tc>
                <w:tcPr>
                  <w:tcW w:w="567" w:type="pct"/>
                  <w:tcBorders>
                    <w:tl2br w:val="nil"/>
                    <w:tr2bl w:val="nil"/>
                  </w:tcBorders>
                  <w:vAlign w:val="center"/>
                </w:tcPr>
                <w:p w14:paraId="3A84F05B">
                  <w:pPr>
                    <w:adjustRightInd w:val="0"/>
                    <w:snapToGrid w:val="0"/>
                    <w:jc w:val="center"/>
                    <w:rPr>
                      <w:color w:val="auto"/>
                    </w:rPr>
                  </w:pPr>
                  <w:r>
                    <w:rPr>
                      <w:rFonts w:hint="eastAsia"/>
                      <w:color w:val="auto"/>
                    </w:rPr>
                    <w:t>建筑面积3936</w:t>
                  </w:r>
                  <w:r>
                    <w:rPr>
                      <w:color w:val="auto"/>
                    </w:rPr>
                    <w:t>m</w:t>
                  </w:r>
                  <w:r>
                    <w:rPr>
                      <w:color w:val="auto"/>
                      <w:vertAlign w:val="superscript"/>
                    </w:rPr>
                    <w:t>2</w:t>
                  </w:r>
                </w:p>
              </w:tc>
              <w:tc>
                <w:tcPr>
                  <w:tcW w:w="833" w:type="pct"/>
                  <w:tcBorders>
                    <w:tl2br w:val="nil"/>
                    <w:tr2bl w:val="nil"/>
                  </w:tcBorders>
                  <w:vAlign w:val="center"/>
                </w:tcPr>
                <w:p w14:paraId="3A84F05C">
                  <w:pPr>
                    <w:adjustRightInd w:val="0"/>
                    <w:snapToGrid w:val="0"/>
                    <w:jc w:val="center"/>
                    <w:rPr>
                      <w:color w:val="auto"/>
                    </w:rPr>
                  </w:pPr>
                  <w:r>
                    <w:rPr>
                      <w:rFonts w:hint="eastAsia" w:cs="新宋体"/>
                      <w:color w:val="auto"/>
                      <w:kern w:val="0"/>
                      <w:lang w:bidi="ar"/>
                    </w:rPr>
                    <w:t>年产2000万件气体发生器</w:t>
                  </w:r>
                </w:p>
              </w:tc>
              <w:tc>
                <w:tcPr>
                  <w:tcW w:w="599" w:type="pct"/>
                  <w:tcBorders>
                    <w:tl2br w:val="nil"/>
                    <w:tr2bl w:val="nil"/>
                  </w:tcBorders>
                  <w:vAlign w:val="center"/>
                </w:tcPr>
                <w:p w14:paraId="3A84F05D">
                  <w:pPr>
                    <w:adjustRightInd w:val="0"/>
                    <w:snapToGrid w:val="0"/>
                    <w:jc w:val="center"/>
                    <w:rPr>
                      <w:color w:val="auto"/>
                    </w:rPr>
                  </w:pPr>
                  <w:r>
                    <w:rPr>
                      <w:rFonts w:hint="eastAsia"/>
                      <w:color w:val="auto"/>
                    </w:rPr>
                    <w:t>依托现有已建厂房</w:t>
                  </w:r>
                </w:p>
              </w:tc>
            </w:tr>
            <w:tr w14:paraId="3A84F0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2" w:type="pct"/>
                  <w:vMerge w:val="restart"/>
                  <w:tcBorders>
                    <w:tl2br w:val="nil"/>
                    <w:tr2bl w:val="nil"/>
                  </w:tcBorders>
                  <w:vAlign w:val="center"/>
                </w:tcPr>
                <w:p w14:paraId="3A84F05F">
                  <w:pPr>
                    <w:adjustRightInd w:val="0"/>
                    <w:snapToGrid w:val="0"/>
                    <w:jc w:val="center"/>
                    <w:rPr>
                      <w:b/>
                      <w:bCs/>
                      <w:color w:val="auto"/>
                    </w:rPr>
                  </w:pPr>
                  <w:r>
                    <w:rPr>
                      <w:rFonts w:hint="eastAsia"/>
                      <w:b/>
                      <w:bCs/>
                      <w:color w:val="auto"/>
                    </w:rPr>
                    <w:t>公辅</w:t>
                  </w:r>
                </w:p>
                <w:p w14:paraId="3A84F060">
                  <w:pPr>
                    <w:adjustRightInd w:val="0"/>
                    <w:snapToGrid w:val="0"/>
                    <w:jc w:val="center"/>
                    <w:rPr>
                      <w:b/>
                      <w:bCs/>
                      <w:color w:val="auto"/>
                    </w:rPr>
                  </w:pPr>
                  <w:r>
                    <w:rPr>
                      <w:rFonts w:hint="eastAsia"/>
                      <w:b/>
                      <w:bCs/>
                      <w:color w:val="auto"/>
                    </w:rPr>
                    <w:t>工程</w:t>
                  </w:r>
                </w:p>
              </w:tc>
              <w:tc>
                <w:tcPr>
                  <w:tcW w:w="857" w:type="pct"/>
                  <w:gridSpan w:val="2"/>
                  <w:tcBorders>
                    <w:tl2br w:val="nil"/>
                    <w:tr2bl w:val="nil"/>
                  </w:tcBorders>
                  <w:vAlign w:val="center"/>
                </w:tcPr>
                <w:p w14:paraId="3A84F061">
                  <w:pPr>
                    <w:adjustRightInd w:val="0"/>
                    <w:snapToGrid w:val="0"/>
                    <w:jc w:val="center"/>
                    <w:rPr>
                      <w:color w:val="auto"/>
                    </w:rPr>
                  </w:pPr>
                  <w:r>
                    <w:rPr>
                      <w:color w:val="auto"/>
                    </w:rPr>
                    <w:t>给水</w:t>
                  </w:r>
                </w:p>
              </w:tc>
              <w:tc>
                <w:tcPr>
                  <w:tcW w:w="1859" w:type="pct"/>
                  <w:tcBorders>
                    <w:tl2br w:val="nil"/>
                    <w:tr2bl w:val="nil"/>
                  </w:tcBorders>
                  <w:vAlign w:val="center"/>
                </w:tcPr>
                <w:p w14:paraId="3A84F062">
                  <w:pPr>
                    <w:adjustRightInd w:val="0"/>
                    <w:snapToGrid w:val="0"/>
                    <w:jc w:val="center"/>
                    <w:rPr>
                      <w:color w:val="auto"/>
                    </w:rPr>
                  </w:pPr>
                  <w:r>
                    <w:rPr>
                      <w:color w:val="auto"/>
                    </w:rPr>
                    <w:t>由市政自来水管网提供</w:t>
                  </w:r>
                </w:p>
              </w:tc>
              <w:tc>
                <w:tcPr>
                  <w:tcW w:w="1400" w:type="pct"/>
                  <w:gridSpan w:val="2"/>
                  <w:tcBorders>
                    <w:tl2br w:val="nil"/>
                    <w:tr2bl w:val="nil"/>
                  </w:tcBorders>
                  <w:vAlign w:val="center"/>
                </w:tcPr>
                <w:p w14:paraId="3A84F063">
                  <w:pPr>
                    <w:adjustRightInd w:val="0"/>
                    <w:snapToGrid w:val="0"/>
                    <w:jc w:val="center"/>
                    <w:rPr>
                      <w:color w:val="auto"/>
                    </w:rPr>
                  </w:pPr>
                  <w:r>
                    <w:rPr>
                      <w:rFonts w:hint="eastAsia"/>
                      <w:color w:val="auto"/>
                      <w:lang w:val="en-US" w:eastAsia="zh-CN"/>
                    </w:rPr>
                    <w:t>1120</w:t>
                  </w:r>
                  <w:r>
                    <w:rPr>
                      <w:rFonts w:hint="eastAsia"/>
                      <w:color w:val="auto"/>
                    </w:rPr>
                    <w:t>t/a</w:t>
                  </w:r>
                </w:p>
              </w:tc>
              <w:tc>
                <w:tcPr>
                  <w:tcW w:w="599" w:type="pct"/>
                  <w:tcBorders>
                    <w:tl2br w:val="nil"/>
                    <w:tr2bl w:val="nil"/>
                  </w:tcBorders>
                  <w:vAlign w:val="center"/>
                </w:tcPr>
                <w:p w14:paraId="3A84F064">
                  <w:pPr>
                    <w:adjustRightInd w:val="0"/>
                    <w:snapToGrid w:val="0"/>
                    <w:jc w:val="center"/>
                    <w:rPr>
                      <w:color w:val="auto"/>
                    </w:rPr>
                  </w:pPr>
                  <w:r>
                    <w:rPr>
                      <w:color w:val="auto"/>
                    </w:rPr>
                    <w:t>依托</w:t>
                  </w:r>
                  <w:r>
                    <w:rPr>
                      <w:rFonts w:hint="eastAsia"/>
                      <w:color w:val="auto"/>
                    </w:rPr>
                    <w:t>现有</w:t>
                  </w:r>
                  <w:r>
                    <w:rPr>
                      <w:color w:val="auto"/>
                    </w:rPr>
                    <w:t>已建管网</w:t>
                  </w:r>
                </w:p>
              </w:tc>
            </w:tr>
            <w:tr w14:paraId="3A84F06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2" w:type="pct"/>
                  <w:vMerge w:val="continue"/>
                  <w:tcBorders>
                    <w:tl2br w:val="nil"/>
                    <w:tr2bl w:val="nil"/>
                  </w:tcBorders>
                  <w:vAlign w:val="center"/>
                </w:tcPr>
                <w:p w14:paraId="3A84F066">
                  <w:pPr>
                    <w:adjustRightInd w:val="0"/>
                    <w:snapToGrid w:val="0"/>
                    <w:jc w:val="center"/>
                    <w:rPr>
                      <w:b/>
                      <w:bCs/>
                      <w:color w:val="auto"/>
                    </w:rPr>
                  </w:pPr>
                </w:p>
              </w:tc>
              <w:tc>
                <w:tcPr>
                  <w:tcW w:w="857" w:type="pct"/>
                  <w:gridSpan w:val="2"/>
                  <w:tcBorders>
                    <w:tl2br w:val="nil"/>
                    <w:tr2bl w:val="nil"/>
                  </w:tcBorders>
                  <w:vAlign w:val="center"/>
                </w:tcPr>
                <w:p w14:paraId="3A84F067">
                  <w:pPr>
                    <w:adjustRightInd w:val="0"/>
                    <w:snapToGrid w:val="0"/>
                    <w:jc w:val="center"/>
                    <w:rPr>
                      <w:color w:val="auto"/>
                    </w:rPr>
                  </w:pPr>
                  <w:r>
                    <w:rPr>
                      <w:color w:val="auto"/>
                    </w:rPr>
                    <w:t>排水</w:t>
                  </w:r>
                </w:p>
              </w:tc>
              <w:tc>
                <w:tcPr>
                  <w:tcW w:w="1859" w:type="pct"/>
                  <w:tcBorders>
                    <w:tl2br w:val="nil"/>
                    <w:tr2bl w:val="nil"/>
                  </w:tcBorders>
                  <w:vAlign w:val="center"/>
                </w:tcPr>
                <w:p w14:paraId="3A84F068">
                  <w:pPr>
                    <w:adjustRightInd w:val="0"/>
                    <w:snapToGrid w:val="0"/>
                    <w:jc w:val="center"/>
                    <w:rPr>
                      <w:color w:val="auto"/>
                    </w:rPr>
                  </w:pPr>
                  <w:r>
                    <w:rPr>
                      <w:rFonts w:hint="eastAsia"/>
                      <w:color w:val="auto"/>
                    </w:rPr>
                    <w:t>雨污分流，雨水接入市政雨水管网，生活污水接入市政污水管网，接管至常州市金坛区茅东污水处理厂处理</w:t>
                  </w:r>
                </w:p>
              </w:tc>
              <w:tc>
                <w:tcPr>
                  <w:tcW w:w="1400" w:type="pct"/>
                  <w:gridSpan w:val="2"/>
                  <w:tcBorders>
                    <w:tl2br w:val="nil"/>
                    <w:tr2bl w:val="nil"/>
                  </w:tcBorders>
                  <w:vAlign w:val="center"/>
                </w:tcPr>
                <w:p w14:paraId="3A84F069">
                  <w:pPr>
                    <w:adjustRightInd w:val="0"/>
                    <w:snapToGrid w:val="0"/>
                    <w:jc w:val="center"/>
                    <w:rPr>
                      <w:color w:val="auto"/>
                    </w:rPr>
                  </w:pPr>
                  <w:r>
                    <w:rPr>
                      <w:rFonts w:hint="eastAsia"/>
                      <w:color w:val="auto"/>
                      <w:lang w:val="en-US" w:eastAsia="zh-CN"/>
                    </w:rPr>
                    <w:t>896</w:t>
                  </w:r>
                  <w:r>
                    <w:rPr>
                      <w:rFonts w:hint="eastAsia"/>
                      <w:color w:val="auto"/>
                    </w:rPr>
                    <w:t>t/a</w:t>
                  </w:r>
                </w:p>
              </w:tc>
              <w:tc>
                <w:tcPr>
                  <w:tcW w:w="599" w:type="pct"/>
                  <w:tcBorders>
                    <w:tl2br w:val="nil"/>
                    <w:tr2bl w:val="nil"/>
                  </w:tcBorders>
                  <w:vAlign w:val="center"/>
                </w:tcPr>
                <w:p w14:paraId="3A84F06A">
                  <w:pPr>
                    <w:adjustRightInd w:val="0"/>
                    <w:snapToGrid w:val="0"/>
                    <w:jc w:val="center"/>
                    <w:rPr>
                      <w:color w:val="auto"/>
                    </w:rPr>
                  </w:pPr>
                  <w:r>
                    <w:rPr>
                      <w:color w:val="auto"/>
                    </w:rPr>
                    <w:t>依托</w:t>
                  </w:r>
                  <w:r>
                    <w:rPr>
                      <w:rFonts w:hint="eastAsia"/>
                      <w:color w:val="auto"/>
                    </w:rPr>
                    <w:t>现有</w:t>
                  </w:r>
                  <w:r>
                    <w:rPr>
                      <w:color w:val="auto"/>
                    </w:rPr>
                    <w:t>已建管网</w:t>
                  </w:r>
                  <w:r>
                    <w:rPr>
                      <w:rFonts w:hint="eastAsia"/>
                      <w:color w:val="auto"/>
                    </w:rPr>
                    <w:t>及排口</w:t>
                  </w:r>
                </w:p>
              </w:tc>
            </w:tr>
            <w:tr w14:paraId="3A84F0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2" w:type="pct"/>
                  <w:vMerge w:val="continue"/>
                  <w:tcBorders>
                    <w:tl2br w:val="nil"/>
                    <w:tr2bl w:val="nil"/>
                  </w:tcBorders>
                  <w:vAlign w:val="center"/>
                </w:tcPr>
                <w:p w14:paraId="3A84F06C">
                  <w:pPr>
                    <w:adjustRightInd w:val="0"/>
                    <w:snapToGrid w:val="0"/>
                    <w:jc w:val="center"/>
                    <w:rPr>
                      <w:b/>
                      <w:bCs/>
                      <w:color w:val="auto"/>
                    </w:rPr>
                  </w:pPr>
                </w:p>
              </w:tc>
              <w:tc>
                <w:tcPr>
                  <w:tcW w:w="857" w:type="pct"/>
                  <w:gridSpan w:val="2"/>
                  <w:tcBorders>
                    <w:tl2br w:val="nil"/>
                    <w:tr2bl w:val="nil"/>
                  </w:tcBorders>
                  <w:vAlign w:val="center"/>
                </w:tcPr>
                <w:p w14:paraId="3A84F06D">
                  <w:pPr>
                    <w:adjustRightInd w:val="0"/>
                    <w:snapToGrid w:val="0"/>
                    <w:jc w:val="center"/>
                    <w:rPr>
                      <w:color w:val="auto"/>
                    </w:rPr>
                  </w:pPr>
                  <w:r>
                    <w:rPr>
                      <w:color w:val="auto"/>
                    </w:rPr>
                    <w:t>供电</w:t>
                  </w:r>
                </w:p>
              </w:tc>
              <w:tc>
                <w:tcPr>
                  <w:tcW w:w="1859" w:type="pct"/>
                  <w:tcBorders>
                    <w:tl2br w:val="nil"/>
                    <w:tr2bl w:val="nil"/>
                  </w:tcBorders>
                  <w:vAlign w:val="center"/>
                </w:tcPr>
                <w:p w14:paraId="3A84F06E">
                  <w:pPr>
                    <w:adjustRightInd w:val="0"/>
                    <w:snapToGrid w:val="0"/>
                    <w:jc w:val="center"/>
                    <w:rPr>
                      <w:color w:val="auto"/>
                    </w:rPr>
                  </w:pPr>
                  <w:r>
                    <w:rPr>
                      <w:color w:val="auto"/>
                    </w:rPr>
                    <w:t>由市政电网供给</w:t>
                  </w:r>
                </w:p>
              </w:tc>
              <w:tc>
                <w:tcPr>
                  <w:tcW w:w="1400" w:type="pct"/>
                  <w:gridSpan w:val="2"/>
                  <w:tcBorders>
                    <w:tl2br w:val="nil"/>
                    <w:tr2bl w:val="nil"/>
                  </w:tcBorders>
                  <w:vAlign w:val="center"/>
                </w:tcPr>
                <w:p w14:paraId="3A84F06F">
                  <w:pPr>
                    <w:adjustRightInd w:val="0"/>
                    <w:snapToGrid w:val="0"/>
                    <w:jc w:val="center"/>
                    <w:rPr>
                      <w:color w:val="auto"/>
                    </w:rPr>
                  </w:pPr>
                  <w:r>
                    <w:rPr>
                      <w:rFonts w:hint="eastAsia"/>
                      <w:color w:val="auto"/>
                      <w:lang w:val="en-US" w:eastAsia="zh-CN"/>
                    </w:rPr>
                    <w:t>50</w:t>
                  </w:r>
                  <w:r>
                    <w:rPr>
                      <w:rFonts w:hint="eastAsia"/>
                      <w:color w:val="auto"/>
                    </w:rPr>
                    <w:t>万KWh</w:t>
                  </w:r>
                </w:p>
              </w:tc>
              <w:tc>
                <w:tcPr>
                  <w:tcW w:w="599" w:type="pct"/>
                  <w:tcBorders>
                    <w:tl2br w:val="nil"/>
                    <w:tr2bl w:val="nil"/>
                  </w:tcBorders>
                  <w:vAlign w:val="center"/>
                </w:tcPr>
                <w:p w14:paraId="3A84F070">
                  <w:pPr>
                    <w:adjustRightInd w:val="0"/>
                    <w:snapToGrid w:val="0"/>
                    <w:jc w:val="center"/>
                    <w:rPr>
                      <w:color w:val="auto"/>
                    </w:rPr>
                  </w:pPr>
                  <w:r>
                    <w:rPr>
                      <w:color w:val="auto"/>
                    </w:rPr>
                    <w:t>依托</w:t>
                  </w:r>
                  <w:r>
                    <w:rPr>
                      <w:rFonts w:hint="eastAsia"/>
                      <w:color w:val="auto"/>
                    </w:rPr>
                    <w:t>现有</w:t>
                  </w:r>
                  <w:r>
                    <w:rPr>
                      <w:color w:val="auto"/>
                    </w:rPr>
                    <w:t>已建电网</w:t>
                  </w:r>
                </w:p>
              </w:tc>
            </w:tr>
            <w:tr w14:paraId="3A84F07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2" w:type="pct"/>
                  <w:vMerge w:val="restart"/>
                  <w:tcBorders>
                    <w:tl2br w:val="nil"/>
                    <w:tr2bl w:val="nil"/>
                  </w:tcBorders>
                  <w:vAlign w:val="center"/>
                </w:tcPr>
                <w:p w14:paraId="3A84F072">
                  <w:pPr>
                    <w:adjustRightInd w:val="0"/>
                    <w:snapToGrid w:val="0"/>
                    <w:jc w:val="center"/>
                    <w:rPr>
                      <w:b/>
                      <w:bCs/>
                      <w:color w:val="auto"/>
                    </w:rPr>
                  </w:pPr>
                  <w:r>
                    <w:rPr>
                      <w:b/>
                      <w:bCs/>
                      <w:color w:val="auto"/>
                    </w:rPr>
                    <w:t>储运</w:t>
                  </w:r>
                </w:p>
                <w:p w14:paraId="3A84F073">
                  <w:pPr>
                    <w:adjustRightInd w:val="0"/>
                    <w:snapToGrid w:val="0"/>
                    <w:jc w:val="center"/>
                    <w:rPr>
                      <w:b/>
                      <w:bCs/>
                      <w:color w:val="auto"/>
                    </w:rPr>
                  </w:pPr>
                  <w:r>
                    <w:rPr>
                      <w:b/>
                      <w:bCs/>
                      <w:color w:val="auto"/>
                    </w:rPr>
                    <w:t>工程</w:t>
                  </w:r>
                </w:p>
              </w:tc>
              <w:tc>
                <w:tcPr>
                  <w:tcW w:w="857" w:type="pct"/>
                  <w:gridSpan w:val="2"/>
                  <w:tcBorders>
                    <w:tl2br w:val="nil"/>
                    <w:tr2bl w:val="nil"/>
                  </w:tcBorders>
                  <w:vAlign w:val="center"/>
                </w:tcPr>
                <w:p w14:paraId="3A84F074">
                  <w:pPr>
                    <w:adjustRightInd w:val="0"/>
                    <w:snapToGrid w:val="0"/>
                    <w:jc w:val="center"/>
                    <w:rPr>
                      <w:color w:val="auto"/>
                    </w:rPr>
                  </w:pPr>
                  <w:r>
                    <w:rPr>
                      <w:rFonts w:hint="eastAsia"/>
                      <w:color w:val="auto"/>
                    </w:rPr>
                    <w:t>仓库</w:t>
                  </w:r>
                </w:p>
              </w:tc>
              <w:tc>
                <w:tcPr>
                  <w:tcW w:w="3260" w:type="pct"/>
                  <w:gridSpan w:val="3"/>
                  <w:tcBorders>
                    <w:tl2br w:val="nil"/>
                    <w:tr2bl w:val="nil"/>
                  </w:tcBorders>
                  <w:vAlign w:val="center"/>
                </w:tcPr>
                <w:p w14:paraId="3A84F075">
                  <w:pPr>
                    <w:adjustRightInd w:val="0"/>
                    <w:snapToGrid w:val="0"/>
                    <w:jc w:val="center"/>
                    <w:rPr>
                      <w:color w:val="auto"/>
                    </w:rPr>
                  </w:pPr>
                  <w:r>
                    <w:rPr>
                      <w:rFonts w:hint="eastAsia"/>
                      <w:color w:val="auto"/>
                    </w:rPr>
                    <w:t>储存原料、成品，位于车间东侧</w:t>
                  </w:r>
                </w:p>
              </w:tc>
              <w:tc>
                <w:tcPr>
                  <w:tcW w:w="599" w:type="pct"/>
                  <w:tcBorders>
                    <w:tl2br w:val="nil"/>
                    <w:tr2bl w:val="nil"/>
                  </w:tcBorders>
                  <w:vAlign w:val="center"/>
                </w:tcPr>
                <w:p w14:paraId="3A84F076">
                  <w:pPr>
                    <w:adjustRightInd w:val="0"/>
                    <w:snapToGrid w:val="0"/>
                    <w:jc w:val="center"/>
                    <w:rPr>
                      <w:color w:val="auto"/>
                    </w:rPr>
                  </w:pPr>
                  <w:r>
                    <w:rPr>
                      <w:rFonts w:hint="eastAsia"/>
                      <w:color w:val="auto"/>
                    </w:rPr>
                    <w:t>依托现有厂房，新建</w:t>
                  </w:r>
                </w:p>
              </w:tc>
            </w:tr>
            <w:tr w14:paraId="3A84F0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2" w:type="pct"/>
                  <w:vMerge w:val="continue"/>
                  <w:tcBorders>
                    <w:tl2br w:val="nil"/>
                    <w:tr2bl w:val="nil"/>
                  </w:tcBorders>
                  <w:vAlign w:val="center"/>
                </w:tcPr>
                <w:p w14:paraId="3A84F078">
                  <w:pPr>
                    <w:adjustRightInd w:val="0"/>
                    <w:snapToGrid w:val="0"/>
                    <w:jc w:val="center"/>
                    <w:rPr>
                      <w:b/>
                      <w:bCs/>
                      <w:color w:val="auto"/>
                    </w:rPr>
                  </w:pPr>
                </w:p>
              </w:tc>
              <w:tc>
                <w:tcPr>
                  <w:tcW w:w="857" w:type="pct"/>
                  <w:gridSpan w:val="2"/>
                  <w:tcBorders>
                    <w:tl2br w:val="nil"/>
                    <w:tr2bl w:val="nil"/>
                  </w:tcBorders>
                  <w:vAlign w:val="center"/>
                </w:tcPr>
                <w:p w14:paraId="3A84F079">
                  <w:pPr>
                    <w:adjustRightInd w:val="0"/>
                    <w:snapToGrid w:val="0"/>
                    <w:jc w:val="center"/>
                    <w:rPr>
                      <w:color w:val="auto"/>
                    </w:rPr>
                  </w:pPr>
                  <w:r>
                    <w:rPr>
                      <w:rFonts w:hint="eastAsia"/>
                      <w:color w:val="auto"/>
                    </w:rPr>
                    <w:t>运输</w:t>
                  </w:r>
                </w:p>
              </w:tc>
              <w:tc>
                <w:tcPr>
                  <w:tcW w:w="3860" w:type="pct"/>
                  <w:gridSpan w:val="4"/>
                  <w:tcBorders>
                    <w:tl2br w:val="nil"/>
                    <w:tr2bl w:val="nil"/>
                  </w:tcBorders>
                  <w:vAlign w:val="center"/>
                </w:tcPr>
                <w:p w14:paraId="3A84F07A">
                  <w:pPr>
                    <w:adjustRightInd w:val="0"/>
                    <w:snapToGrid w:val="0"/>
                    <w:jc w:val="center"/>
                    <w:rPr>
                      <w:color w:val="auto"/>
                    </w:rPr>
                  </w:pPr>
                  <w:r>
                    <w:rPr>
                      <w:rFonts w:hint="eastAsia"/>
                      <w:color w:val="auto"/>
                    </w:rPr>
                    <w:t>统一由社会车辆运输</w:t>
                  </w:r>
                </w:p>
              </w:tc>
            </w:tr>
            <w:tr w14:paraId="3A84F08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04" w:hRule="atLeast"/>
                <w:jc w:val="center"/>
              </w:trPr>
              <w:tc>
                <w:tcPr>
                  <w:tcW w:w="282" w:type="pct"/>
                  <w:vMerge w:val="restart"/>
                  <w:tcBorders>
                    <w:tl2br w:val="nil"/>
                    <w:tr2bl w:val="nil"/>
                  </w:tcBorders>
                  <w:vAlign w:val="center"/>
                </w:tcPr>
                <w:p w14:paraId="3A84F07C">
                  <w:pPr>
                    <w:adjustRightInd w:val="0"/>
                    <w:snapToGrid w:val="0"/>
                    <w:jc w:val="center"/>
                    <w:rPr>
                      <w:b/>
                      <w:bCs/>
                      <w:color w:val="auto"/>
                    </w:rPr>
                  </w:pPr>
                  <w:r>
                    <w:rPr>
                      <w:b/>
                      <w:bCs/>
                      <w:color w:val="auto"/>
                    </w:rPr>
                    <w:t>环保</w:t>
                  </w:r>
                </w:p>
                <w:p w14:paraId="3A84F07D">
                  <w:pPr>
                    <w:adjustRightInd w:val="0"/>
                    <w:snapToGrid w:val="0"/>
                    <w:jc w:val="center"/>
                    <w:rPr>
                      <w:b/>
                      <w:bCs/>
                      <w:color w:val="auto"/>
                    </w:rPr>
                  </w:pPr>
                  <w:r>
                    <w:rPr>
                      <w:b/>
                      <w:bCs/>
                      <w:color w:val="auto"/>
                    </w:rPr>
                    <w:t>工程</w:t>
                  </w:r>
                </w:p>
              </w:tc>
              <w:tc>
                <w:tcPr>
                  <w:tcW w:w="330" w:type="pct"/>
                  <w:vMerge w:val="restart"/>
                  <w:tcBorders>
                    <w:tl2br w:val="nil"/>
                    <w:tr2bl w:val="nil"/>
                  </w:tcBorders>
                  <w:vAlign w:val="center"/>
                </w:tcPr>
                <w:p w14:paraId="3A84F07E">
                  <w:pPr>
                    <w:adjustRightInd w:val="0"/>
                    <w:snapToGrid w:val="0"/>
                    <w:jc w:val="center"/>
                    <w:rPr>
                      <w:color w:val="auto"/>
                    </w:rPr>
                  </w:pPr>
                  <w:r>
                    <w:rPr>
                      <w:color w:val="auto"/>
                    </w:rPr>
                    <w:t>废气</w:t>
                  </w:r>
                </w:p>
              </w:tc>
              <w:tc>
                <w:tcPr>
                  <w:tcW w:w="527" w:type="pct"/>
                  <w:tcBorders>
                    <w:tl2br w:val="nil"/>
                    <w:tr2bl w:val="nil"/>
                  </w:tcBorders>
                  <w:vAlign w:val="center"/>
                </w:tcPr>
                <w:p w14:paraId="3A84F07F">
                  <w:pPr>
                    <w:adjustRightInd w:val="0"/>
                    <w:snapToGrid w:val="0"/>
                    <w:jc w:val="center"/>
                    <w:rPr>
                      <w:rFonts w:hint="eastAsia" w:eastAsia="宋体"/>
                      <w:color w:val="auto"/>
                      <w:lang w:val="en-US" w:eastAsia="zh-CN"/>
                    </w:rPr>
                  </w:pPr>
                  <w:r>
                    <w:rPr>
                      <w:rFonts w:hint="eastAsia"/>
                      <w:color w:val="auto"/>
                      <w:lang w:val="en-US" w:eastAsia="zh-CN"/>
                    </w:rPr>
                    <w:t>焚烧废气</w:t>
                  </w:r>
                </w:p>
              </w:tc>
              <w:tc>
                <w:tcPr>
                  <w:tcW w:w="1859" w:type="pct"/>
                  <w:tcBorders>
                    <w:tl2br w:val="nil"/>
                    <w:tr2bl w:val="nil"/>
                  </w:tcBorders>
                  <w:vAlign w:val="center"/>
                </w:tcPr>
                <w:p w14:paraId="3A84F080">
                  <w:pPr>
                    <w:adjustRightInd w:val="0"/>
                    <w:snapToGrid w:val="0"/>
                    <w:jc w:val="center"/>
                    <w:rPr>
                      <w:rFonts w:hint="default"/>
                      <w:color w:val="auto"/>
                      <w:sz w:val="21"/>
                      <w:szCs w:val="21"/>
                      <w:lang w:val="en-US"/>
                    </w:rPr>
                  </w:pPr>
                  <w:r>
                    <w:rPr>
                      <w:rFonts w:hint="eastAsia" w:eastAsia="宋体"/>
                      <w:color w:val="auto"/>
                      <w:sz w:val="21"/>
                      <w:szCs w:val="21"/>
                      <w:lang w:eastAsia="zh-CN"/>
                    </w:rPr>
                    <w:t>“</w:t>
                  </w:r>
                  <w:r>
                    <w:rPr>
                      <w:rFonts w:hint="eastAsia" w:eastAsia="宋体"/>
                      <w:color w:val="auto"/>
                      <w:sz w:val="21"/>
                      <w:szCs w:val="21"/>
                    </w:rPr>
                    <w:t>SNCR脱硝+急冷除盐+干粉吸收+布袋除尘+臭氧氧化+碱喷淋吸收</w:t>
                  </w:r>
                  <w:r>
                    <w:rPr>
                      <w:rFonts w:hint="eastAsia" w:eastAsia="宋体"/>
                      <w:color w:val="auto"/>
                      <w:sz w:val="21"/>
                      <w:szCs w:val="21"/>
                      <w:lang w:val="en-US" w:eastAsia="zh-CN"/>
                    </w:rPr>
                    <w:t>装置</w:t>
                  </w:r>
                  <w:r>
                    <w:rPr>
                      <w:rFonts w:hint="eastAsia" w:eastAsia="宋体"/>
                      <w:color w:val="auto"/>
                      <w:sz w:val="21"/>
                      <w:szCs w:val="21"/>
                      <w:lang w:eastAsia="zh-CN"/>
                    </w:rPr>
                    <w:t>”</w:t>
                  </w:r>
                  <w:r>
                    <w:rPr>
                      <w:rFonts w:hint="eastAsia" w:eastAsia="宋体"/>
                      <w:color w:val="auto"/>
                      <w:sz w:val="21"/>
                      <w:szCs w:val="21"/>
                      <w:lang w:val="en-US" w:eastAsia="zh-CN"/>
                    </w:rPr>
                    <w:t>+25m排气筒</w:t>
                  </w:r>
                </w:p>
              </w:tc>
              <w:tc>
                <w:tcPr>
                  <w:tcW w:w="1400" w:type="pct"/>
                  <w:gridSpan w:val="2"/>
                  <w:tcBorders>
                    <w:tl2br w:val="nil"/>
                    <w:tr2bl w:val="nil"/>
                  </w:tcBorders>
                  <w:vAlign w:val="center"/>
                </w:tcPr>
                <w:p w14:paraId="3A84F081">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收集效率100%，颗粒物去除效率99.5%；SO</w:t>
                  </w:r>
                  <w:r>
                    <w:rPr>
                      <w:rFonts w:hint="eastAsia"/>
                      <w:color w:val="auto"/>
                      <w:sz w:val="21"/>
                      <w:szCs w:val="21"/>
                      <w:vertAlign w:val="subscript"/>
                      <w:lang w:val="en-US" w:eastAsia="zh-CN"/>
                    </w:rPr>
                    <w:t>2</w:t>
                  </w:r>
                  <w:r>
                    <w:rPr>
                      <w:rFonts w:hint="eastAsia"/>
                      <w:color w:val="auto"/>
                      <w:sz w:val="21"/>
                      <w:szCs w:val="21"/>
                      <w:lang w:val="en-US" w:eastAsia="zh-CN"/>
                    </w:rPr>
                    <w:t>、NOx、HCl去除效率90%；氨去除效率80%；CO去除效率60%；非甲烷总烃去除效率0；铜及其化合物（以Cu计）去除效率99%；二噁英类去除效率95%</w:t>
                  </w:r>
                </w:p>
              </w:tc>
              <w:tc>
                <w:tcPr>
                  <w:tcW w:w="599" w:type="pct"/>
                  <w:tcBorders>
                    <w:tl2br w:val="nil"/>
                    <w:tr2bl w:val="nil"/>
                  </w:tcBorders>
                  <w:vAlign w:val="center"/>
                </w:tcPr>
                <w:p w14:paraId="3A84F082">
                  <w:pPr>
                    <w:adjustRightInd w:val="0"/>
                    <w:snapToGrid w:val="0"/>
                    <w:jc w:val="center"/>
                    <w:rPr>
                      <w:rFonts w:hint="eastAsia" w:eastAsia="宋体"/>
                      <w:color w:val="auto"/>
                      <w:lang w:val="en-US" w:eastAsia="zh-CN"/>
                    </w:rPr>
                  </w:pPr>
                  <w:r>
                    <w:rPr>
                      <w:rFonts w:hint="eastAsia"/>
                      <w:color w:val="auto"/>
                      <w:lang w:val="en-US" w:eastAsia="zh-CN"/>
                    </w:rPr>
                    <w:t>依托现有</w:t>
                  </w:r>
                </w:p>
              </w:tc>
            </w:tr>
            <w:tr w14:paraId="0DA7E83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04" w:hRule="atLeast"/>
                <w:jc w:val="center"/>
              </w:trPr>
              <w:tc>
                <w:tcPr>
                  <w:tcW w:w="282" w:type="pct"/>
                  <w:vMerge w:val="continue"/>
                  <w:tcBorders>
                    <w:tl2br w:val="nil"/>
                    <w:tr2bl w:val="nil"/>
                  </w:tcBorders>
                  <w:vAlign w:val="center"/>
                </w:tcPr>
                <w:p w14:paraId="66118A48">
                  <w:pPr>
                    <w:adjustRightInd w:val="0"/>
                    <w:snapToGrid w:val="0"/>
                    <w:jc w:val="center"/>
                    <w:rPr>
                      <w:b/>
                      <w:bCs/>
                      <w:color w:val="auto"/>
                    </w:rPr>
                  </w:pPr>
                </w:p>
              </w:tc>
              <w:tc>
                <w:tcPr>
                  <w:tcW w:w="330" w:type="pct"/>
                  <w:vMerge w:val="continue"/>
                  <w:tcBorders>
                    <w:tl2br w:val="nil"/>
                    <w:tr2bl w:val="nil"/>
                  </w:tcBorders>
                  <w:vAlign w:val="center"/>
                </w:tcPr>
                <w:p w14:paraId="0B6FC87B">
                  <w:pPr>
                    <w:adjustRightInd w:val="0"/>
                    <w:snapToGrid w:val="0"/>
                    <w:jc w:val="center"/>
                    <w:rPr>
                      <w:color w:val="auto"/>
                    </w:rPr>
                  </w:pPr>
                </w:p>
              </w:tc>
              <w:tc>
                <w:tcPr>
                  <w:tcW w:w="527" w:type="pct"/>
                  <w:tcBorders>
                    <w:tl2br w:val="nil"/>
                    <w:tr2bl w:val="nil"/>
                  </w:tcBorders>
                  <w:vAlign w:val="center"/>
                </w:tcPr>
                <w:p w14:paraId="4CF30E96">
                  <w:pPr>
                    <w:adjustRightInd w:val="0"/>
                    <w:snapToGrid w:val="0"/>
                    <w:jc w:val="center"/>
                    <w:rPr>
                      <w:rFonts w:hint="default"/>
                      <w:color w:val="FF0000"/>
                      <w:lang w:val="en-US" w:eastAsia="zh-CN"/>
                    </w:rPr>
                  </w:pPr>
                  <w:r>
                    <w:rPr>
                      <w:rFonts w:hint="eastAsia"/>
                      <w:color w:val="FF0000"/>
                      <w:lang w:val="en-US" w:eastAsia="zh-CN"/>
                    </w:rPr>
                    <w:t>点火具烘干废气</w:t>
                  </w:r>
                </w:p>
              </w:tc>
              <w:tc>
                <w:tcPr>
                  <w:tcW w:w="1859" w:type="pct"/>
                  <w:tcBorders>
                    <w:tl2br w:val="nil"/>
                    <w:tr2bl w:val="nil"/>
                  </w:tcBorders>
                  <w:vAlign w:val="center"/>
                </w:tcPr>
                <w:p w14:paraId="37982D72">
                  <w:pPr>
                    <w:adjustRightInd w:val="0"/>
                    <w:snapToGrid w:val="0"/>
                    <w:jc w:val="center"/>
                    <w:rPr>
                      <w:rFonts w:hint="default" w:eastAsia="宋体"/>
                      <w:color w:val="FF0000"/>
                      <w:sz w:val="21"/>
                      <w:szCs w:val="21"/>
                      <w:lang w:val="en-US" w:eastAsia="zh-CN"/>
                    </w:rPr>
                  </w:pPr>
                  <w:r>
                    <w:rPr>
                      <w:rFonts w:hint="eastAsia"/>
                      <w:color w:val="FF0000"/>
                      <w:sz w:val="21"/>
                      <w:szCs w:val="21"/>
                      <w:lang w:val="en-US" w:eastAsia="zh-CN"/>
                    </w:rPr>
                    <w:t>三级水洗吸收+15m排气筒1#</w:t>
                  </w:r>
                </w:p>
              </w:tc>
              <w:tc>
                <w:tcPr>
                  <w:tcW w:w="1400" w:type="pct"/>
                  <w:gridSpan w:val="2"/>
                  <w:tcBorders>
                    <w:tl2br w:val="nil"/>
                    <w:tr2bl w:val="nil"/>
                  </w:tcBorders>
                  <w:vAlign w:val="center"/>
                </w:tcPr>
                <w:p w14:paraId="098768AA">
                  <w:pPr>
                    <w:adjustRightInd w:val="0"/>
                    <w:snapToGrid w:val="0"/>
                    <w:jc w:val="center"/>
                    <w:rPr>
                      <w:rFonts w:hint="default"/>
                      <w:color w:val="FF0000"/>
                      <w:sz w:val="21"/>
                      <w:szCs w:val="21"/>
                      <w:lang w:val="en-US" w:eastAsia="zh-CN"/>
                    </w:rPr>
                  </w:pPr>
                  <w:r>
                    <w:rPr>
                      <w:rFonts w:hint="eastAsia"/>
                      <w:color w:val="FF0000"/>
                      <w:sz w:val="21"/>
                      <w:szCs w:val="21"/>
                      <w:lang w:val="en-US" w:eastAsia="zh-CN"/>
                    </w:rPr>
                    <w:t>收集效率90%，处理效率95%</w:t>
                  </w:r>
                </w:p>
              </w:tc>
              <w:tc>
                <w:tcPr>
                  <w:tcW w:w="599" w:type="pct"/>
                  <w:vMerge w:val="restart"/>
                  <w:tcBorders>
                    <w:tl2br w:val="nil"/>
                    <w:tr2bl w:val="nil"/>
                  </w:tcBorders>
                  <w:vAlign w:val="center"/>
                </w:tcPr>
                <w:p w14:paraId="44503566">
                  <w:pPr>
                    <w:adjustRightInd w:val="0"/>
                    <w:snapToGrid w:val="0"/>
                    <w:jc w:val="center"/>
                    <w:rPr>
                      <w:rFonts w:hint="default"/>
                      <w:color w:val="auto"/>
                      <w:lang w:val="en-US" w:eastAsia="zh-CN"/>
                    </w:rPr>
                  </w:pPr>
                  <w:r>
                    <w:rPr>
                      <w:rFonts w:hint="eastAsia"/>
                      <w:color w:val="FF0000"/>
                      <w:lang w:val="en-US" w:eastAsia="zh-CN"/>
                    </w:rPr>
                    <w:t>现有污染防治措施</w:t>
                  </w:r>
                </w:p>
              </w:tc>
            </w:tr>
            <w:tr w14:paraId="4D0E9C9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04" w:hRule="atLeast"/>
                <w:jc w:val="center"/>
              </w:trPr>
              <w:tc>
                <w:tcPr>
                  <w:tcW w:w="282" w:type="pct"/>
                  <w:vMerge w:val="continue"/>
                  <w:tcBorders>
                    <w:tl2br w:val="nil"/>
                    <w:tr2bl w:val="nil"/>
                  </w:tcBorders>
                  <w:vAlign w:val="center"/>
                </w:tcPr>
                <w:p w14:paraId="02E6A3E1">
                  <w:pPr>
                    <w:adjustRightInd w:val="0"/>
                    <w:snapToGrid w:val="0"/>
                    <w:jc w:val="center"/>
                    <w:rPr>
                      <w:b/>
                      <w:bCs/>
                      <w:color w:val="auto"/>
                    </w:rPr>
                  </w:pPr>
                </w:p>
              </w:tc>
              <w:tc>
                <w:tcPr>
                  <w:tcW w:w="330" w:type="pct"/>
                  <w:vMerge w:val="continue"/>
                  <w:tcBorders>
                    <w:tl2br w:val="nil"/>
                    <w:tr2bl w:val="nil"/>
                  </w:tcBorders>
                  <w:vAlign w:val="center"/>
                </w:tcPr>
                <w:p w14:paraId="2A490AF4">
                  <w:pPr>
                    <w:adjustRightInd w:val="0"/>
                    <w:snapToGrid w:val="0"/>
                    <w:jc w:val="center"/>
                    <w:rPr>
                      <w:color w:val="auto"/>
                    </w:rPr>
                  </w:pPr>
                </w:p>
              </w:tc>
              <w:tc>
                <w:tcPr>
                  <w:tcW w:w="527" w:type="pct"/>
                  <w:tcBorders>
                    <w:tl2br w:val="nil"/>
                    <w:tr2bl w:val="nil"/>
                  </w:tcBorders>
                  <w:vAlign w:val="center"/>
                </w:tcPr>
                <w:p w14:paraId="7B3204E5">
                  <w:pPr>
                    <w:adjustRightInd w:val="0"/>
                    <w:snapToGrid w:val="0"/>
                    <w:jc w:val="center"/>
                    <w:rPr>
                      <w:rFonts w:hint="default"/>
                      <w:color w:val="FF0000"/>
                      <w:lang w:val="en-US" w:eastAsia="zh-CN"/>
                    </w:rPr>
                  </w:pPr>
                  <w:r>
                    <w:rPr>
                      <w:rFonts w:hint="eastAsia"/>
                      <w:color w:val="FF0000"/>
                      <w:lang w:val="en-US" w:eastAsia="zh-CN"/>
                    </w:rPr>
                    <w:t>注塑废气</w:t>
                  </w:r>
                </w:p>
              </w:tc>
              <w:tc>
                <w:tcPr>
                  <w:tcW w:w="1859" w:type="pct"/>
                  <w:tcBorders>
                    <w:tl2br w:val="nil"/>
                    <w:tr2bl w:val="nil"/>
                  </w:tcBorders>
                  <w:vAlign w:val="center"/>
                </w:tcPr>
                <w:p w14:paraId="6C44E04A">
                  <w:pPr>
                    <w:adjustRightInd w:val="0"/>
                    <w:snapToGrid w:val="0"/>
                    <w:jc w:val="center"/>
                    <w:rPr>
                      <w:rFonts w:hint="default" w:eastAsia="宋体"/>
                      <w:color w:val="FF0000"/>
                      <w:sz w:val="21"/>
                      <w:szCs w:val="21"/>
                      <w:lang w:val="en-US" w:eastAsia="zh-CN"/>
                    </w:rPr>
                  </w:pPr>
                  <w:r>
                    <w:rPr>
                      <w:rFonts w:hint="eastAsia"/>
                      <w:color w:val="FF0000"/>
                      <w:sz w:val="21"/>
                      <w:szCs w:val="21"/>
                      <w:lang w:val="en-US" w:eastAsia="zh-CN"/>
                    </w:rPr>
                    <w:t>二级活性炭吸附装置+15m高排气筒1#、4#</w:t>
                  </w:r>
                </w:p>
              </w:tc>
              <w:tc>
                <w:tcPr>
                  <w:tcW w:w="1400" w:type="pct"/>
                  <w:gridSpan w:val="2"/>
                  <w:tcBorders>
                    <w:tl2br w:val="nil"/>
                    <w:tr2bl w:val="nil"/>
                  </w:tcBorders>
                  <w:vAlign w:val="center"/>
                </w:tcPr>
                <w:p w14:paraId="617FEE26">
                  <w:pPr>
                    <w:adjustRightInd w:val="0"/>
                    <w:snapToGrid w:val="0"/>
                    <w:jc w:val="center"/>
                    <w:rPr>
                      <w:rFonts w:hint="eastAsia"/>
                      <w:color w:val="FF0000"/>
                      <w:sz w:val="21"/>
                      <w:szCs w:val="21"/>
                      <w:lang w:val="en-US" w:eastAsia="zh-CN"/>
                    </w:rPr>
                  </w:pPr>
                  <w:r>
                    <w:rPr>
                      <w:rFonts w:hint="eastAsia"/>
                      <w:color w:val="FF0000"/>
                      <w:sz w:val="21"/>
                      <w:szCs w:val="21"/>
                      <w:lang w:val="en-US" w:eastAsia="zh-CN"/>
                    </w:rPr>
                    <w:t>收集效率90%，处理效率90%</w:t>
                  </w:r>
                </w:p>
              </w:tc>
              <w:tc>
                <w:tcPr>
                  <w:tcW w:w="599" w:type="pct"/>
                  <w:vMerge w:val="continue"/>
                  <w:tcBorders>
                    <w:tl2br w:val="nil"/>
                    <w:tr2bl w:val="nil"/>
                  </w:tcBorders>
                  <w:vAlign w:val="center"/>
                </w:tcPr>
                <w:p w14:paraId="11A53838">
                  <w:pPr>
                    <w:adjustRightInd w:val="0"/>
                    <w:snapToGrid w:val="0"/>
                    <w:jc w:val="center"/>
                    <w:rPr>
                      <w:rFonts w:hint="eastAsia"/>
                      <w:color w:val="auto"/>
                      <w:lang w:val="en-US" w:eastAsia="zh-CN"/>
                    </w:rPr>
                  </w:pPr>
                </w:p>
              </w:tc>
            </w:tr>
            <w:tr w14:paraId="48861EF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04" w:hRule="atLeast"/>
                <w:jc w:val="center"/>
              </w:trPr>
              <w:tc>
                <w:tcPr>
                  <w:tcW w:w="282" w:type="pct"/>
                  <w:vMerge w:val="continue"/>
                  <w:tcBorders>
                    <w:tl2br w:val="nil"/>
                    <w:tr2bl w:val="nil"/>
                  </w:tcBorders>
                  <w:vAlign w:val="center"/>
                </w:tcPr>
                <w:p w14:paraId="4AA80EE3">
                  <w:pPr>
                    <w:adjustRightInd w:val="0"/>
                    <w:snapToGrid w:val="0"/>
                    <w:jc w:val="center"/>
                    <w:rPr>
                      <w:b/>
                      <w:bCs/>
                      <w:color w:val="auto"/>
                    </w:rPr>
                  </w:pPr>
                </w:p>
              </w:tc>
              <w:tc>
                <w:tcPr>
                  <w:tcW w:w="330" w:type="pct"/>
                  <w:vMerge w:val="continue"/>
                  <w:tcBorders>
                    <w:tl2br w:val="nil"/>
                    <w:tr2bl w:val="nil"/>
                  </w:tcBorders>
                  <w:vAlign w:val="center"/>
                </w:tcPr>
                <w:p w14:paraId="7DF88621">
                  <w:pPr>
                    <w:adjustRightInd w:val="0"/>
                    <w:snapToGrid w:val="0"/>
                    <w:jc w:val="center"/>
                    <w:rPr>
                      <w:color w:val="auto"/>
                    </w:rPr>
                  </w:pPr>
                </w:p>
              </w:tc>
              <w:tc>
                <w:tcPr>
                  <w:tcW w:w="527" w:type="pct"/>
                  <w:tcBorders>
                    <w:tl2br w:val="nil"/>
                    <w:tr2bl w:val="nil"/>
                  </w:tcBorders>
                  <w:vAlign w:val="center"/>
                </w:tcPr>
                <w:p w14:paraId="6F816C29">
                  <w:pPr>
                    <w:adjustRightInd w:val="0"/>
                    <w:snapToGrid w:val="0"/>
                    <w:jc w:val="center"/>
                    <w:rPr>
                      <w:rFonts w:hint="default"/>
                      <w:color w:val="FF0000"/>
                      <w:lang w:val="en-US" w:eastAsia="zh-CN"/>
                    </w:rPr>
                  </w:pPr>
                  <w:r>
                    <w:rPr>
                      <w:rFonts w:hint="eastAsia"/>
                      <w:color w:val="FF0000"/>
                      <w:lang w:val="en-US" w:eastAsia="zh-CN"/>
                    </w:rPr>
                    <w:t>点火具焊接烟尘</w:t>
                  </w:r>
                </w:p>
              </w:tc>
              <w:tc>
                <w:tcPr>
                  <w:tcW w:w="1859" w:type="pct"/>
                  <w:tcBorders>
                    <w:tl2br w:val="nil"/>
                    <w:tr2bl w:val="nil"/>
                  </w:tcBorders>
                  <w:vAlign w:val="center"/>
                </w:tcPr>
                <w:p w14:paraId="56E60BF3">
                  <w:pPr>
                    <w:adjustRightInd w:val="0"/>
                    <w:snapToGrid w:val="0"/>
                    <w:jc w:val="center"/>
                    <w:rPr>
                      <w:rFonts w:hint="default" w:eastAsia="宋体"/>
                      <w:color w:val="FF0000"/>
                      <w:sz w:val="21"/>
                      <w:szCs w:val="21"/>
                      <w:lang w:val="en-US" w:eastAsia="zh-CN"/>
                    </w:rPr>
                  </w:pPr>
                  <w:r>
                    <w:rPr>
                      <w:rFonts w:hint="eastAsia"/>
                      <w:color w:val="FF0000"/>
                      <w:sz w:val="21"/>
                      <w:szCs w:val="21"/>
                      <w:lang w:val="en-US" w:eastAsia="zh-CN"/>
                    </w:rPr>
                    <w:t>布袋除尘+15m排气筒2#</w:t>
                  </w:r>
                </w:p>
              </w:tc>
              <w:tc>
                <w:tcPr>
                  <w:tcW w:w="1400" w:type="pct"/>
                  <w:gridSpan w:val="2"/>
                  <w:tcBorders>
                    <w:tl2br w:val="nil"/>
                    <w:tr2bl w:val="nil"/>
                  </w:tcBorders>
                  <w:vAlign w:val="center"/>
                </w:tcPr>
                <w:p w14:paraId="04A67D2A">
                  <w:pPr>
                    <w:adjustRightInd w:val="0"/>
                    <w:snapToGrid w:val="0"/>
                    <w:jc w:val="center"/>
                    <w:rPr>
                      <w:rFonts w:hint="default"/>
                      <w:color w:val="FF0000"/>
                      <w:sz w:val="21"/>
                      <w:szCs w:val="21"/>
                      <w:lang w:val="en-US" w:eastAsia="zh-CN"/>
                    </w:rPr>
                  </w:pPr>
                  <w:r>
                    <w:rPr>
                      <w:rFonts w:hint="eastAsia"/>
                      <w:color w:val="FF0000"/>
                      <w:sz w:val="21"/>
                      <w:szCs w:val="21"/>
                      <w:lang w:val="en-US" w:eastAsia="zh-CN"/>
                    </w:rPr>
                    <w:t>收集效率90%，处理效率90%</w:t>
                  </w:r>
                </w:p>
              </w:tc>
              <w:tc>
                <w:tcPr>
                  <w:tcW w:w="599" w:type="pct"/>
                  <w:vMerge w:val="continue"/>
                  <w:tcBorders>
                    <w:tl2br w:val="nil"/>
                    <w:tr2bl w:val="nil"/>
                  </w:tcBorders>
                  <w:vAlign w:val="center"/>
                </w:tcPr>
                <w:p w14:paraId="39F53DB6">
                  <w:pPr>
                    <w:adjustRightInd w:val="0"/>
                    <w:snapToGrid w:val="0"/>
                    <w:jc w:val="center"/>
                    <w:rPr>
                      <w:rFonts w:hint="eastAsia"/>
                      <w:color w:val="auto"/>
                      <w:lang w:val="en-US" w:eastAsia="zh-CN"/>
                    </w:rPr>
                  </w:pPr>
                </w:p>
              </w:tc>
            </w:tr>
            <w:tr w14:paraId="3A84F0A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2" w:type="pct"/>
                  <w:vMerge w:val="continue"/>
                  <w:tcBorders>
                    <w:tl2br w:val="nil"/>
                    <w:tr2bl w:val="nil"/>
                  </w:tcBorders>
                  <w:vAlign w:val="center"/>
                </w:tcPr>
                <w:p w14:paraId="2109F702">
                  <w:pPr>
                    <w:adjustRightInd w:val="0"/>
                    <w:snapToGrid w:val="0"/>
                    <w:jc w:val="center"/>
                    <w:rPr>
                      <w:color w:val="auto"/>
                    </w:rPr>
                  </w:pPr>
                </w:p>
              </w:tc>
              <w:tc>
                <w:tcPr>
                  <w:tcW w:w="330" w:type="pct"/>
                  <w:tcBorders>
                    <w:tl2br w:val="nil"/>
                    <w:tr2bl w:val="nil"/>
                  </w:tcBorders>
                  <w:vAlign w:val="center"/>
                </w:tcPr>
                <w:p w14:paraId="3A84F0A1">
                  <w:pPr>
                    <w:adjustRightInd w:val="0"/>
                    <w:snapToGrid w:val="0"/>
                    <w:jc w:val="center"/>
                    <w:rPr>
                      <w:color w:val="auto"/>
                    </w:rPr>
                  </w:pPr>
                  <w:r>
                    <w:rPr>
                      <w:rFonts w:hint="eastAsia"/>
                      <w:color w:val="auto"/>
                    </w:rPr>
                    <w:t>废水</w:t>
                  </w:r>
                </w:p>
              </w:tc>
              <w:tc>
                <w:tcPr>
                  <w:tcW w:w="527" w:type="pct"/>
                  <w:tcBorders>
                    <w:tl2br w:val="nil"/>
                    <w:tr2bl w:val="nil"/>
                  </w:tcBorders>
                  <w:vAlign w:val="center"/>
                </w:tcPr>
                <w:p w14:paraId="3A84F0A2">
                  <w:pPr>
                    <w:adjustRightInd w:val="0"/>
                    <w:snapToGrid w:val="0"/>
                    <w:jc w:val="center"/>
                    <w:rPr>
                      <w:color w:val="auto"/>
                    </w:rPr>
                  </w:pPr>
                  <w:r>
                    <w:rPr>
                      <w:rFonts w:hint="eastAsia"/>
                      <w:color w:val="auto"/>
                    </w:rPr>
                    <w:t>生活污水</w:t>
                  </w:r>
                </w:p>
              </w:tc>
              <w:tc>
                <w:tcPr>
                  <w:tcW w:w="1859" w:type="pct"/>
                  <w:tcBorders>
                    <w:tl2br w:val="nil"/>
                    <w:tr2bl w:val="nil"/>
                  </w:tcBorders>
                  <w:vAlign w:val="center"/>
                </w:tcPr>
                <w:p w14:paraId="3A84F0A3">
                  <w:pPr>
                    <w:adjustRightInd w:val="0"/>
                    <w:snapToGrid w:val="0"/>
                    <w:jc w:val="center"/>
                    <w:rPr>
                      <w:color w:val="auto"/>
                    </w:rPr>
                  </w:pPr>
                  <w:r>
                    <w:rPr>
                      <w:rFonts w:hint="eastAsia"/>
                      <w:color w:val="auto"/>
                    </w:rPr>
                    <w:t>接管至常州市金坛区茅东污水处理厂</w:t>
                  </w:r>
                </w:p>
              </w:tc>
              <w:tc>
                <w:tcPr>
                  <w:tcW w:w="1400" w:type="pct"/>
                  <w:gridSpan w:val="2"/>
                  <w:tcBorders>
                    <w:tl2br w:val="nil"/>
                    <w:tr2bl w:val="nil"/>
                  </w:tcBorders>
                  <w:vAlign w:val="center"/>
                </w:tcPr>
                <w:p w14:paraId="3A84F0A4">
                  <w:pPr>
                    <w:adjustRightInd w:val="0"/>
                    <w:snapToGrid w:val="0"/>
                    <w:jc w:val="center"/>
                    <w:rPr>
                      <w:color w:val="auto"/>
                    </w:rPr>
                  </w:pPr>
                  <w:r>
                    <w:rPr>
                      <w:rFonts w:hint="eastAsia"/>
                      <w:color w:val="auto"/>
                      <w:lang w:val="en-US" w:eastAsia="zh-CN"/>
                    </w:rPr>
                    <w:t>896</w:t>
                  </w:r>
                  <w:r>
                    <w:rPr>
                      <w:rFonts w:hint="eastAsia"/>
                      <w:color w:val="auto"/>
                    </w:rPr>
                    <w:t>t/a</w:t>
                  </w:r>
                </w:p>
              </w:tc>
              <w:tc>
                <w:tcPr>
                  <w:tcW w:w="599" w:type="pct"/>
                  <w:tcBorders>
                    <w:tl2br w:val="nil"/>
                    <w:tr2bl w:val="nil"/>
                  </w:tcBorders>
                  <w:vAlign w:val="center"/>
                </w:tcPr>
                <w:p w14:paraId="3A84F0A5">
                  <w:pPr>
                    <w:adjustRightInd w:val="0"/>
                    <w:snapToGrid w:val="0"/>
                    <w:jc w:val="center"/>
                    <w:rPr>
                      <w:color w:val="auto"/>
                    </w:rPr>
                  </w:pPr>
                  <w:r>
                    <w:rPr>
                      <w:color w:val="auto"/>
                    </w:rPr>
                    <w:t>依托</w:t>
                  </w:r>
                  <w:r>
                    <w:rPr>
                      <w:rFonts w:hint="eastAsia"/>
                      <w:color w:val="auto"/>
                    </w:rPr>
                    <w:t>现有</w:t>
                  </w:r>
                  <w:r>
                    <w:rPr>
                      <w:color w:val="auto"/>
                    </w:rPr>
                    <w:t>已建管网</w:t>
                  </w:r>
                  <w:r>
                    <w:rPr>
                      <w:rFonts w:hint="eastAsia"/>
                      <w:color w:val="auto"/>
                    </w:rPr>
                    <w:t>及排口</w:t>
                  </w:r>
                </w:p>
              </w:tc>
            </w:tr>
            <w:tr w14:paraId="3A84F0A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2" w:type="pct"/>
                  <w:vMerge w:val="continue"/>
                  <w:tcBorders>
                    <w:tl2br w:val="nil"/>
                    <w:tr2bl w:val="nil"/>
                  </w:tcBorders>
                  <w:vAlign w:val="center"/>
                </w:tcPr>
                <w:p w14:paraId="3A84F0A7">
                  <w:pPr>
                    <w:adjustRightInd w:val="0"/>
                    <w:snapToGrid w:val="0"/>
                    <w:jc w:val="center"/>
                    <w:rPr>
                      <w:color w:val="auto"/>
                    </w:rPr>
                  </w:pPr>
                </w:p>
              </w:tc>
              <w:tc>
                <w:tcPr>
                  <w:tcW w:w="857" w:type="pct"/>
                  <w:gridSpan w:val="2"/>
                  <w:tcBorders>
                    <w:tl2br w:val="nil"/>
                    <w:tr2bl w:val="nil"/>
                  </w:tcBorders>
                  <w:vAlign w:val="center"/>
                </w:tcPr>
                <w:p w14:paraId="3A84F0A8">
                  <w:pPr>
                    <w:adjustRightInd w:val="0"/>
                    <w:snapToGrid w:val="0"/>
                    <w:jc w:val="center"/>
                    <w:rPr>
                      <w:color w:val="auto"/>
                    </w:rPr>
                  </w:pPr>
                  <w:r>
                    <w:rPr>
                      <w:color w:val="auto"/>
                    </w:rPr>
                    <w:t>噪声</w:t>
                  </w:r>
                </w:p>
              </w:tc>
              <w:tc>
                <w:tcPr>
                  <w:tcW w:w="1859" w:type="pct"/>
                  <w:tcBorders>
                    <w:tl2br w:val="nil"/>
                    <w:tr2bl w:val="nil"/>
                  </w:tcBorders>
                  <w:vAlign w:val="center"/>
                </w:tcPr>
                <w:p w14:paraId="3A84F0A9">
                  <w:pPr>
                    <w:adjustRightInd w:val="0"/>
                    <w:snapToGrid w:val="0"/>
                    <w:jc w:val="center"/>
                    <w:rPr>
                      <w:color w:val="auto"/>
                    </w:rPr>
                  </w:pPr>
                  <w:r>
                    <w:rPr>
                      <w:color w:val="auto"/>
                    </w:rPr>
                    <w:t>减振、隔声、消音</w:t>
                  </w:r>
                </w:p>
              </w:tc>
              <w:tc>
                <w:tcPr>
                  <w:tcW w:w="1400" w:type="pct"/>
                  <w:gridSpan w:val="2"/>
                  <w:tcBorders>
                    <w:tl2br w:val="nil"/>
                    <w:tr2bl w:val="nil"/>
                  </w:tcBorders>
                  <w:vAlign w:val="center"/>
                </w:tcPr>
                <w:p w14:paraId="3A84F0AA">
                  <w:pPr>
                    <w:adjustRightInd w:val="0"/>
                    <w:snapToGrid w:val="0"/>
                    <w:jc w:val="center"/>
                    <w:rPr>
                      <w:color w:val="auto"/>
                    </w:rPr>
                  </w:pPr>
                  <w:r>
                    <w:rPr>
                      <w:color w:val="auto"/>
                    </w:rPr>
                    <w:t>降噪≥25dB（A）</w:t>
                  </w:r>
                </w:p>
              </w:tc>
              <w:tc>
                <w:tcPr>
                  <w:tcW w:w="599" w:type="pct"/>
                  <w:tcBorders>
                    <w:tl2br w:val="nil"/>
                    <w:tr2bl w:val="nil"/>
                  </w:tcBorders>
                  <w:vAlign w:val="center"/>
                </w:tcPr>
                <w:p w14:paraId="3A84F0AB">
                  <w:pPr>
                    <w:adjustRightInd w:val="0"/>
                    <w:snapToGrid w:val="0"/>
                    <w:jc w:val="center"/>
                    <w:rPr>
                      <w:color w:val="auto"/>
                    </w:rPr>
                  </w:pPr>
                  <w:r>
                    <w:rPr>
                      <w:color w:val="auto"/>
                    </w:rPr>
                    <w:t>新建</w:t>
                  </w:r>
                </w:p>
              </w:tc>
            </w:tr>
            <w:tr w14:paraId="3A84F0B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2" w:type="pct"/>
                  <w:vMerge w:val="continue"/>
                  <w:tcBorders>
                    <w:tl2br w:val="nil"/>
                    <w:tr2bl w:val="nil"/>
                  </w:tcBorders>
                  <w:vAlign w:val="center"/>
                </w:tcPr>
                <w:p w14:paraId="3A84F0AD">
                  <w:pPr>
                    <w:adjustRightInd w:val="0"/>
                    <w:snapToGrid w:val="0"/>
                    <w:jc w:val="center"/>
                    <w:rPr>
                      <w:color w:val="auto"/>
                    </w:rPr>
                  </w:pPr>
                </w:p>
              </w:tc>
              <w:tc>
                <w:tcPr>
                  <w:tcW w:w="330" w:type="pct"/>
                  <w:vMerge w:val="restart"/>
                  <w:tcBorders>
                    <w:tl2br w:val="nil"/>
                    <w:tr2bl w:val="nil"/>
                  </w:tcBorders>
                  <w:vAlign w:val="center"/>
                </w:tcPr>
                <w:p w14:paraId="3A84F0AE">
                  <w:pPr>
                    <w:adjustRightInd w:val="0"/>
                    <w:snapToGrid w:val="0"/>
                    <w:jc w:val="center"/>
                    <w:rPr>
                      <w:color w:val="auto"/>
                    </w:rPr>
                  </w:pPr>
                  <w:r>
                    <w:rPr>
                      <w:rFonts w:hint="eastAsia"/>
                      <w:color w:val="auto"/>
                    </w:rPr>
                    <w:t>固废</w:t>
                  </w:r>
                </w:p>
              </w:tc>
              <w:tc>
                <w:tcPr>
                  <w:tcW w:w="527" w:type="pct"/>
                  <w:tcBorders>
                    <w:tl2br w:val="nil"/>
                    <w:tr2bl w:val="nil"/>
                  </w:tcBorders>
                  <w:vAlign w:val="center"/>
                </w:tcPr>
                <w:p w14:paraId="3A84F0AF">
                  <w:pPr>
                    <w:adjustRightInd w:val="0"/>
                    <w:snapToGrid w:val="0"/>
                    <w:jc w:val="center"/>
                    <w:rPr>
                      <w:color w:val="auto"/>
                    </w:rPr>
                  </w:pPr>
                  <w:r>
                    <w:rPr>
                      <w:rFonts w:hint="eastAsia"/>
                      <w:color w:val="auto"/>
                    </w:rPr>
                    <w:t>一般工业固废暂存</w:t>
                  </w:r>
                </w:p>
              </w:tc>
              <w:tc>
                <w:tcPr>
                  <w:tcW w:w="1859" w:type="pct"/>
                  <w:tcBorders>
                    <w:tl2br w:val="nil"/>
                    <w:tr2bl w:val="nil"/>
                  </w:tcBorders>
                  <w:vAlign w:val="center"/>
                </w:tcPr>
                <w:p w14:paraId="3A84F0B0">
                  <w:pPr>
                    <w:adjustRightInd w:val="0"/>
                    <w:snapToGrid w:val="0"/>
                    <w:jc w:val="center"/>
                    <w:rPr>
                      <w:color w:val="auto"/>
                    </w:rPr>
                  </w:pPr>
                  <w:r>
                    <w:rPr>
                      <w:rFonts w:hint="eastAsia"/>
                      <w:color w:val="auto"/>
                    </w:rPr>
                    <w:t>一般固废暂存，位于304车间内</w:t>
                  </w:r>
                </w:p>
              </w:tc>
              <w:tc>
                <w:tcPr>
                  <w:tcW w:w="1400" w:type="pct"/>
                  <w:gridSpan w:val="2"/>
                  <w:tcBorders>
                    <w:tl2br w:val="nil"/>
                    <w:tr2bl w:val="nil"/>
                  </w:tcBorders>
                  <w:vAlign w:val="center"/>
                </w:tcPr>
                <w:p w14:paraId="3A84F0B1">
                  <w:pPr>
                    <w:adjustRightInd w:val="0"/>
                    <w:snapToGrid w:val="0"/>
                    <w:jc w:val="center"/>
                    <w:rPr>
                      <w:color w:val="auto"/>
                    </w:rPr>
                  </w:pPr>
                  <w:r>
                    <w:rPr>
                      <w:rFonts w:hint="eastAsia"/>
                      <w:color w:val="auto"/>
                    </w:rPr>
                    <w:t>建筑面积20m</w:t>
                  </w:r>
                  <w:r>
                    <w:rPr>
                      <w:rFonts w:hint="eastAsia"/>
                      <w:color w:val="auto"/>
                      <w:vertAlign w:val="superscript"/>
                    </w:rPr>
                    <w:t>2</w:t>
                  </w:r>
                </w:p>
              </w:tc>
              <w:tc>
                <w:tcPr>
                  <w:tcW w:w="599" w:type="pct"/>
                  <w:tcBorders>
                    <w:tl2br w:val="nil"/>
                    <w:tr2bl w:val="nil"/>
                  </w:tcBorders>
                  <w:vAlign w:val="center"/>
                </w:tcPr>
                <w:p w14:paraId="3A84F0B2">
                  <w:pPr>
                    <w:adjustRightInd w:val="0"/>
                    <w:snapToGrid w:val="0"/>
                    <w:jc w:val="center"/>
                    <w:rPr>
                      <w:color w:val="auto"/>
                    </w:rPr>
                  </w:pPr>
                  <w:r>
                    <w:rPr>
                      <w:rFonts w:hint="eastAsia"/>
                      <w:color w:val="auto"/>
                    </w:rPr>
                    <w:t>依托现有厂房，新建</w:t>
                  </w:r>
                </w:p>
              </w:tc>
            </w:tr>
            <w:tr w14:paraId="3A84F0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2" w:type="pct"/>
                  <w:vMerge w:val="continue"/>
                  <w:tcBorders>
                    <w:tl2br w:val="nil"/>
                    <w:tr2bl w:val="nil"/>
                  </w:tcBorders>
                  <w:vAlign w:val="center"/>
                </w:tcPr>
                <w:p w14:paraId="3A84F0B4">
                  <w:pPr>
                    <w:adjustRightInd w:val="0"/>
                    <w:snapToGrid w:val="0"/>
                    <w:jc w:val="center"/>
                    <w:rPr>
                      <w:color w:val="auto"/>
                    </w:rPr>
                  </w:pPr>
                </w:p>
              </w:tc>
              <w:tc>
                <w:tcPr>
                  <w:tcW w:w="330" w:type="pct"/>
                  <w:vMerge w:val="continue"/>
                  <w:tcBorders>
                    <w:tl2br w:val="nil"/>
                    <w:tr2bl w:val="nil"/>
                  </w:tcBorders>
                  <w:vAlign w:val="center"/>
                </w:tcPr>
                <w:p w14:paraId="3A84F0B5">
                  <w:pPr>
                    <w:adjustRightInd w:val="0"/>
                    <w:snapToGrid w:val="0"/>
                    <w:jc w:val="center"/>
                    <w:rPr>
                      <w:color w:val="auto"/>
                    </w:rPr>
                  </w:pPr>
                </w:p>
              </w:tc>
              <w:tc>
                <w:tcPr>
                  <w:tcW w:w="527" w:type="pct"/>
                  <w:tcBorders>
                    <w:tl2br w:val="nil"/>
                    <w:tr2bl w:val="nil"/>
                  </w:tcBorders>
                  <w:vAlign w:val="center"/>
                </w:tcPr>
                <w:p w14:paraId="3A84F0B6">
                  <w:pPr>
                    <w:adjustRightInd w:val="0"/>
                    <w:snapToGrid w:val="0"/>
                    <w:jc w:val="center"/>
                    <w:rPr>
                      <w:color w:val="auto"/>
                    </w:rPr>
                  </w:pPr>
                  <w:r>
                    <w:rPr>
                      <w:rFonts w:hint="eastAsia"/>
                      <w:color w:val="auto"/>
                    </w:rPr>
                    <w:t>危险废物库房</w:t>
                  </w:r>
                </w:p>
              </w:tc>
              <w:tc>
                <w:tcPr>
                  <w:tcW w:w="1859" w:type="pct"/>
                  <w:tcBorders>
                    <w:tl2br w:val="nil"/>
                    <w:tr2bl w:val="nil"/>
                  </w:tcBorders>
                  <w:vAlign w:val="center"/>
                </w:tcPr>
                <w:p w14:paraId="3A84F0B7">
                  <w:pPr>
                    <w:adjustRightInd w:val="0"/>
                    <w:snapToGrid w:val="0"/>
                    <w:jc w:val="center"/>
                    <w:rPr>
                      <w:color w:val="auto"/>
                    </w:rPr>
                  </w:pPr>
                  <w:r>
                    <w:rPr>
                      <w:rFonts w:hint="eastAsia"/>
                      <w:color w:val="auto"/>
                    </w:rPr>
                    <w:t>危废暂存，位于厂区东南侧</w:t>
                  </w:r>
                </w:p>
              </w:tc>
              <w:tc>
                <w:tcPr>
                  <w:tcW w:w="1400" w:type="pct"/>
                  <w:gridSpan w:val="2"/>
                  <w:tcBorders>
                    <w:tl2br w:val="nil"/>
                    <w:tr2bl w:val="nil"/>
                  </w:tcBorders>
                  <w:vAlign w:val="center"/>
                </w:tcPr>
                <w:p w14:paraId="3A84F0B8">
                  <w:pPr>
                    <w:adjustRightInd w:val="0"/>
                    <w:snapToGrid w:val="0"/>
                    <w:jc w:val="center"/>
                    <w:rPr>
                      <w:color w:val="auto"/>
                    </w:rPr>
                  </w:pPr>
                  <w:r>
                    <w:rPr>
                      <w:rFonts w:hint="eastAsia"/>
                      <w:color w:val="auto"/>
                    </w:rPr>
                    <w:t>建筑面积274m</w:t>
                  </w:r>
                  <w:r>
                    <w:rPr>
                      <w:rFonts w:hint="eastAsia"/>
                      <w:color w:val="auto"/>
                      <w:vertAlign w:val="superscript"/>
                    </w:rPr>
                    <w:t>2</w:t>
                  </w:r>
                </w:p>
              </w:tc>
              <w:tc>
                <w:tcPr>
                  <w:tcW w:w="599" w:type="pct"/>
                  <w:tcBorders>
                    <w:tl2br w:val="nil"/>
                    <w:tr2bl w:val="nil"/>
                  </w:tcBorders>
                  <w:vAlign w:val="center"/>
                </w:tcPr>
                <w:p w14:paraId="3A84F0B9">
                  <w:pPr>
                    <w:adjustRightInd w:val="0"/>
                    <w:snapToGrid w:val="0"/>
                    <w:jc w:val="center"/>
                    <w:rPr>
                      <w:color w:val="auto"/>
                    </w:rPr>
                  </w:pPr>
                  <w:r>
                    <w:rPr>
                      <w:rFonts w:hint="eastAsia"/>
                      <w:color w:val="auto"/>
                    </w:rPr>
                    <w:t>依托现有</w:t>
                  </w:r>
                </w:p>
              </w:tc>
            </w:tr>
            <w:tr w14:paraId="3A84F0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2" w:type="pct"/>
                  <w:tcBorders>
                    <w:tl2br w:val="nil"/>
                    <w:tr2bl w:val="nil"/>
                  </w:tcBorders>
                  <w:vAlign w:val="center"/>
                </w:tcPr>
                <w:p w14:paraId="3A84F0BB">
                  <w:pPr>
                    <w:adjustRightInd w:val="0"/>
                    <w:snapToGrid w:val="0"/>
                    <w:jc w:val="center"/>
                    <w:rPr>
                      <w:color w:val="auto"/>
                    </w:rPr>
                  </w:pPr>
                  <w:r>
                    <w:rPr>
                      <w:rFonts w:hint="eastAsia"/>
                      <w:b/>
                      <w:bCs/>
                      <w:color w:val="auto"/>
                    </w:rPr>
                    <w:t>依托工程</w:t>
                  </w:r>
                </w:p>
              </w:tc>
              <w:tc>
                <w:tcPr>
                  <w:tcW w:w="4717" w:type="pct"/>
                  <w:gridSpan w:val="6"/>
                  <w:tcBorders>
                    <w:tl2br w:val="nil"/>
                    <w:tr2bl w:val="nil"/>
                  </w:tcBorders>
                  <w:vAlign w:val="center"/>
                </w:tcPr>
                <w:p w14:paraId="3A84F0BC">
                  <w:pPr>
                    <w:adjustRightInd w:val="0"/>
                    <w:snapToGrid w:val="0"/>
                    <w:jc w:val="left"/>
                    <w:rPr>
                      <w:color w:val="auto"/>
                    </w:rPr>
                  </w:pPr>
                  <w:r>
                    <w:rPr>
                      <w:color w:val="auto"/>
                    </w:rPr>
                    <w:t>本项目依托</w:t>
                  </w:r>
                  <w:r>
                    <w:rPr>
                      <w:rFonts w:hint="eastAsia"/>
                      <w:color w:val="auto"/>
                    </w:rPr>
                    <w:t>现有已建</w:t>
                  </w:r>
                  <w:r>
                    <w:rPr>
                      <w:color w:val="auto"/>
                    </w:rPr>
                    <w:t>生产车间；</w:t>
                  </w:r>
                  <w:r>
                    <w:rPr>
                      <w:rFonts w:hint="eastAsia"/>
                      <w:color w:val="auto"/>
                    </w:rPr>
                    <w:t>现有项目</w:t>
                  </w:r>
                  <w:r>
                    <w:rPr>
                      <w:color w:val="auto"/>
                    </w:rPr>
                    <w:t>已实施雨污分流，依托现有雨污</w:t>
                  </w:r>
                  <w:r>
                    <w:rPr>
                      <w:rFonts w:hint="eastAsia"/>
                      <w:color w:val="auto"/>
                    </w:rPr>
                    <w:t>水</w:t>
                  </w:r>
                  <w:r>
                    <w:rPr>
                      <w:color w:val="auto"/>
                    </w:rPr>
                    <w:t>管网、雨水排放口、污水排放口，不新设排污口；依托</w:t>
                  </w:r>
                  <w:r>
                    <w:rPr>
                      <w:rFonts w:hint="eastAsia"/>
                      <w:color w:val="auto"/>
                    </w:rPr>
                    <w:t>现有</w:t>
                  </w:r>
                  <w:r>
                    <w:rPr>
                      <w:color w:val="auto"/>
                    </w:rPr>
                    <w:t>项目</w:t>
                  </w:r>
                  <w:r>
                    <w:rPr>
                      <w:rFonts w:hint="eastAsia"/>
                      <w:color w:val="auto"/>
                    </w:rPr>
                    <w:t>供水、供电等基础设施；</w:t>
                  </w:r>
                  <w:r>
                    <w:rPr>
                      <w:color w:val="auto"/>
                    </w:rPr>
                    <w:t>依托</w:t>
                  </w:r>
                  <w:r>
                    <w:rPr>
                      <w:rFonts w:hint="eastAsia"/>
                      <w:color w:val="auto"/>
                    </w:rPr>
                    <w:t>现有</w:t>
                  </w:r>
                  <w:r>
                    <w:rPr>
                      <w:color w:val="auto"/>
                    </w:rPr>
                    <w:t>项目危废仓库</w:t>
                  </w:r>
                  <w:r>
                    <w:rPr>
                      <w:rFonts w:hint="eastAsia"/>
                      <w:color w:val="auto"/>
                    </w:rPr>
                    <w:t>。</w:t>
                  </w:r>
                </w:p>
              </w:tc>
            </w:tr>
          </w:tbl>
          <w:p w14:paraId="3A84F0BE">
            <w:pPr>
              <w:adjustRightInd w:val="0"/>
              <w:snapToGrid w:val="0"/>
              <w:spacing w:line="360" w:lineRule="auto"/>
              <w:ind w:firstLine="422" w:firstLineChars="200"/>
              <w:rPr>
                <w:b/>
                <w:bCs/>
                <w:color w:val="auto"/>
              </w:rPr>
            </w:pPr>
            <w:r>
              <w:rPr>
                <w:rFonts w:hint="eastAsia"/>
                <w:b/>
                <w:bCs/>
                <w:color w:val="auto"/>
              </w:rPr>
              <w:t>（1）主体</w:t>
            </w:r>
            <w:r>
              <w:rPr>
                <w:b/>
                <w:bCs/>
                <w:color w:val="auto"/>
              </w:rPr>
              <w:t>工程</w:t>
            </w:r>
            <w:r>
              <w:rPr>
                <w:rFonts w:hint="eastAsia"/>
                <w:b/>
                <w:bCs/>
                <w:color w:val="auto"/>
              </w:rPr>
              <w:t>、公用工程</w:t>
            </w:r>
            <w:r>
              <w:rPr>
                <w:b/>
                <w:bCs/>
                <w:color w:val="auto"/>
              </w:rPr>
              <w:t>依托可行性分析</w:t>
            </w:r>
            <w:r>
              <w:rPr>
                <w:rFonts w:hint="eastAsia"/>
                <w:b/>
                <w:bCs/>
                <w:color w:val="auto"/>
              </w:rPr>
              <w:t>：</w:t>
            </w:r>
          </w:p>
          <w:p w14:paraId="3A84F0BF">
            <w:pPr>
              <w:adjustRightInd w:val="0"/>
              <w:snapToGrid w:val="0"/>
              <w:spacing w:line="360" w:lineRule="auto"/>
              <w:ind w:firstLine="420" w:firstLineChars="200"/>
              <w:rPr>
                <w:color w:val="auto"/>
              </w:rPr>
            </w:pPr>
            <w:r>
              <w:rPr>
                <w:color w:val="auto"/>
              </w:rPr>
              <w:t>本项目依托</w:t>
            </w:r>
            <w:r>
              <w:rPr>
                <w:rFonts w:hint="eastAsia"/>
                <w:color w:val="auto"/>
              </w:rPr>
              <w:t>现有</w:t>
            </w:r>
            <w:r>
              <w:rPr>
                <w:color w:val="auto"/>
              </w:rPr>
              <w:t>生产车间</w:t>
            </w:r>
            <w:r>
              <w:rPr>
                <w:rFonts w:hint="eastAsia"/>
                <w:color w:val="auto"/>
              </w:rPr>
              <w:t>304进行生产，目前304车间为空置状态，304总建筑面积为3936m</w:t>
            </w:r>
            <w:r>
              <w:rPr>
                <w:rFonts w:hint="eastAsia"/>
                <w:color w:val="auto"/>
                <w:vertAlign w:val="superscript"/>
              </w:rPr>
              <w:t>2</w:t>
            </w:r>
            <w:r>
              <w:rPr>
                <w:rFonts w:hint="eastAsia"/>
                <w:color w:val="auto"/>
              </w:rPr>
              <w:t>，本次扩建利用304车间进行生产，使用面积为3936m</w:t>
            </w:r>
            <w:r>
              <w:rPr>
                <w:rFonts w:hint="eastAsia"/>
                <w:color w:val="auto"/>
                <w:vertAlign w:val="superscript"/>
              </w:rPr>
              <w:t>2</w:t>
            </w:r>
            <w:r>
              <w:rPr>
                <w:rFonts w:hint="eastAsia"/>
                <w:color w:val="auto"/>
              </w:rPr>
              <w:t>。</w:t>
            </w:r>
            <w:r>
              <w:rPr>
                <w:rFonts w:hint="eastAsia"/>
                <w:color w:val="auto"/>
                <w:lang w:val="en-US" w:eastAsia="zh-CN"/>
              </w:rPr>
              <w:t>供水依托现有供水管网，</w:t>
            </w:r>
            <w:r>
              <w:rPr>
                <w:color w:val="auto"/>
              </w:rPr>
              <w:t>供电依托</w:t>
            </w:r>
            <w:r>
              <w:rPr>
                <w:rFonts w:hint="eastAsia"/>
                <w:color w:val="auto"/>
              </w:rPr>
              <w:t>现有</w:t>
            </w:r>
            <w:r>
              <w:rPr>
                <w:color w:val="auto"/>
              </w:rPr>
              <w:t>供电管网，</w:t>
            </w:r>
            <w:r>
              <w:rPr>
                <w:rFonts w:hint="eastAsia"/>
                <w:color w:val="auto"/>
              </w:rPr>
              <w:t>供气依托市政供气管网，</w:t>
            </w:r>
            <w:r>
              <w:rPr>
                <w:rFonts w:hint="eastAsia"/>
                <w:color w:val="auto"/>
                <w:lang w:val="en-US" w:eastAsia="zh-CN"/>
              </w:rPr>
              <w:t>供水管网、</w:t>
            </w:r>
            <w:r>
              <w:rPr>
                <w:rFonts w:hint="eastAsia"/>
                <w:color w:val="auto"/>
              </w:rPr>
              <w:t>供电管网、供气管网均铺设到位</w:t>
            </w:r>
            <w:r>
              <w:rPr>
                <w:color w:val="auto"/>
              </w:rPr>
              <w:t>，满足本项目使用需求。</w:t>
            </w:r>
          </w:p>
          <w:p w14:paraId="3A84F0C0">
            <w:pPr>
              <w:adjustRightInd w:val="0"/>
              <w:snapToGrid w:val="0"/>
              <w:spacing w:line="360" w:lineRule="auto"/>
              <w:ind w:firstLine="422" w:firstLineChars="200"/>
              <w:rPr>
                <w:b/>
                <w:bCs/>
                <w:color w:val="auto"/>
              </w:rPr>
            </w:pPr>
            <w:r>
              <w:rPr>
                <w:rFonts w:hint="eastAsia"/>
                <w:b/>
                <w:bCs/>
                <w:color w:val="auto"/>
              </w:rPr>
              <w:t>（2）环保工程依托可行性分析</w:t>
            </w:r>
          </w:p>
          <w:p w14:paraId="3A84F0C1">
            <w:pPr>
              <w:adjustRightInd w:val="0"/>
              <w:snapToGrid w:val="0"/>
              <w:spacing w:line="360" w:lineRule="auto"/>
              <w:ind w:firstLine="420" w:firstLineChars="200"/>
              <w:rPr>
                <w:color w:val="auto"/>
              </w:rPr>
            </w:pPr>
            <w:r>
              <w:rPr>
                <w:rFonts w:hint="eastAsia"/>
                <w:color w:val="auto"/>
              </w:rPr>
              <w:t>建设单位</w:t>
            </w:r>
            <w:r>
              <w:rPr>
                <w:color w:val="auto"/>
              </w:rPr>
              <w:t>现有项目危废仓库已按照《危险废物贮存污染控制标准》（GB18597-2023）及省生态环境厅关于印发《江苏省固体废物全过程环境监管工作意见》的通知（苏环办[2024]16号）的要求建设。</w:t>
            </w:r>
            <w:r>
              <w:rPr>
                <w:color w:val="FF0000"/>
              </w:rPr>
              <w:t>现有项目危废仓库为</w:t>
            </w:r>
            <w:r>
              <w:rPr>
                <w:rFonts w:hint="eastAsia"/>
                <w:color w:val="FF0000"/>
                <w:lang w:val="en-US" w:eastAsia="zh-CN"/>
              </w:rPr>
              <w:t>274</w:t>
            </w:r>
            <w:r>
              <w:rPr>
                <w:color w:val="FF0000"/>
              </w:rPr>
              <w:t>m</w:t>
            </w:r>
            <w:r>
              <w:rPr>
                <w:color w:val="FF0000"/>
                <w:vertAlign w:val="superscript"/>
              </w:rPr>
              <w:t>2</w:t>
            </w:r>
            <w:r>
              <w:rPr>
                <w:color w:val="FF0000"/>
              </w:rPr>
              <w:t>，</w:t>
            </w:r>
            <w:r>
              <w:rPr>
                <w:rFonts w:hint="eastAsia"/>
                <w:color w:val="FF0000"/>
              </w:rPr>
              <w:t>考虑分类堆放的危废之间设置间距30cm，另外固废堆场内需设置一定的人行通道，因此危废储存区有效面积占总面积的80%，该危废储存区实际危废堆放有效面积约219.2m</w:t>
            </w:r>
            <w:r>
              <w:rPr>
                <w:rFonts w:hint="eastAsia"/>
                <w:color w:val="FF0000"/>
                <w:vertAlign w:val="superscript"/>
              </w:rPr>
              <w:t>2</w:t>
            </w:r>
            <w:r>
              <w:rPr>
                <w:rFonts w:hint="eastAsia"/>
                <w:color w:val="FF0000"/>
              </w:rPr>
              <w:t>，每平方储存危废量约1t，因此，危废堆场有效面积内一次性可以储存固废约219.2吨</w:t>
            </w:r>
            <w:r>
              <w:rPr>
                <w:color w:val="FF0000"/>
              </w:rPr>
              <w:t>。建设单位现有项目危废产生量为</w:t>
            </w:r>
            <w:r>
              <w:rPr>
                <w:rFonts w:hint="eastAsia"/>
                <w:color w:val="FF0000"/>
                <w:lang w:val="en-US" w:eastAsia="zh-CN"/>
              </w:rPr>
              <w:t>620t</w:t>
            </w:r>
            <w:r>
              <w:rPr>
                <w:color w:val="FF0000"/>
              </w:rPr>
              <w:t>/a，</w:t>
            </w:r>
            <w:r>
              <w:rPr>
                <w:rFonts w:hint="eastAsia"/>
                <w:color w:val="FF0000"/>
                <w:lang w:val="en-US" w:eastAsia="zh-CN"/>
              </w:rPr>
              <w:t>3</w:t>
            </w:r>
            <w:r>
              <w:rPr>
                <w:color w:val="FF0000"/>
              </w:rPr>
              <w:t>个月转移一次，最大暂存量为</w:t>
            </w:r>
            <w:r>
              <w:rPr>
                <w:rFonts w:hint="eastAsia"/>
                <w:color w:val="FF0000"/>
              </w:rPr>
              <w:t>1</w:t>
            </w:r>
            <w:r>
              <w:rPr>
                <w:rFonts w:hint="eastAsia"/>
                <w:color w:val="FF0000"/>
                <w:lang w:val="en-US" w:eastAsia="zh-CN"/>
              </w:rPr>
              <w:t>55</w:t>
            </w:r>
            <w:r>
              <w:rPr>
                <w:color w:val="FF0000"/>
              </w:rPr>
              <w:t>t</w:t>
            </w:r>
            <w:r>
              <w:rPr>
                <w:rFonts w:hint="eastAsia"/>
                <w:color w:val="FF0000"/>
              </w:rPr>
              <w:t>；</w:t>
            </w:r>
            <w:r>
              <w:rPr>
                <w:color w:val="FF0000"/>
              </w:rPr>
              <w:t>本项目危废产生量</w:t>
            </w:r>
            <w:r>
              <w:rPr>
                <w:rFonts w:hint="eastAsia"/>
                <w:color w:val="FF0000"/>
                <w:lang w:val="en-US" w:eastAsia="zh-CN"/>
              </w:rPr>
              <w:t>83.1</w:t>
            </w:r>
            <w:r>
              <w:rPr>
                <w:color w:val="FF0000"/>
              </w:rPr>
              <w:t>t/a，</w:t>
            </w:r>
            <w:r>
              <w:rPr>
                <w:rFonts w:hint="eastAsia"/>
                <w:color w:val="FF0000"/>
                <w:lang w:val="en-US" w:eastAsia="zh-CN"/>
              </w:rPr>
              <w:t>3</w:t>
            </w:r>
            <w:r>
              <w:rPr>
                <w:rFonts w:hint="eastAsia"/>
                <w:color w:val="FF0000"/>
              </w:rPr>
              <w:t>个月</w:t>
            </w:r>
            <w:r>
              <w:rPr>
                <w:color w:val="FF0000"/>
              </w:rPr>
              <w:t>转移一次，最大暂存量为</w:t>
            </w:r>
            <w:r>
              <w:rPr>
                <w:rFonts w:hint="eastAsia"/>
                <w:color w:val="FF0000"/>
                <w:lang w:val="en-US" w:eastAsia="zh-CN"/>
              </w:rPr>
              <w:t>20.775</w:t>
            </w:r>
            <w:r>
              <w:rPr>
                <w:color w:val="FF0000"/>
              </w:rPr>
              <w:t>t，因此建设单位</w:t>
            </w:r>
            <w:r>
              <w:rPr>
                <w:rFonts w:hint="eastAsia"/>
                <w:color w:val="FF0000"/>
              </w:rPr>
              <w:t>全厂</w:t>
            </w:r>
            <w:r>
              <w:rPr>
                <w:color w:val="FF0000"/>
              </w:rPr>
              <w:t>危废最大暂存量为</w:t>
            </w:r>
            <w:r>
              <w:rPr>
                <w:rFonts w:hint="eastAsia"/>
                <w:color w:val="FF0000"/>
                <w:lang w:val="en-US" w:eastAsia="zh-CN"/>
              </w:rPr>
              <w:t>155.775</w:t>
            </w:r>
            <w:r>
              <w:rPr>
                <w:color w:val="FF0000"/>
              </w:rPr>
              <w:t>t，占危废仓库储存能力的</w:t>
            </w:r>
            <w:r>
              <w:rPr>
                <w:rFonts w:hint="eastAsia"/>
                <w:color w:val="FF0000"/>
                <w:lang w:val="en-US" w:eastAsia="zh-CN"/>
              </w:rPr>
              <w:t>71.1</w:t>
            </w:r>
            <w:r>
              <w:rPr>
                <w:color w:val="FF0000"/>
              </w:rPr>
              <w:t>%，因此现有项目危废仓库储存能力能够满足本项目所用。现有项目与本项目危废利用包装桶、包装袋等分类进行包装、存放，危废暂存不会发生二次反应，因此本项目依托现有危废仓库可行。</w:t>
            </w:r>
          </w:p>
          <w:p w14:paraId="3A84F0C2">
            <w:pPr>
              <w:autoSpaceDE w:val="0"/>
              <w:autoSpaceDN w:val="0"/>
              <w:adjustRightInd w:val="0"/>
              <w:snapToGrid w:val="0"/>
              <w:spacing w:line="360" w:lineRule="auto"/>
              <w:jc w:val="left"/>
              <w:rPr>
                <w:rFonts w:cs="宋体"/>
                <w:b/>
                <w:bCs/>
                <w:color w:val="auto"/>
              </w:rPr>
            </w:pPr>
            <w:r>
              <w:rPr>
                <w:rFonts w:hint="eastAsia" w:cs="宋体"/>
                <w:b/>
                <w:bCs/>
                <w:color w:val="auto"/>
              </w:rPr>
              <w:t>2.1.4 主要生产设备</w:t>
            </w:r>
          </w:p>
          <w:p w14:paraId="3A84F0C3">
            <w:pPr>
              <w:adjustRightInd w:val="0"/>
              <w:snapToGrid w:val="0"/>
              <w:spacing w:line="360" w:lineRule="auto"/>
              <w:ind w:firstLine="420" w:firstLineChars="200"/>
              <w:rPr>
                <w:rFonts w:cs="宋体"/>
                <w:color w:val="auto"/>
              </w:rPr>
            </w:pPr>
            <w:r>
              <w:rPr>
                <w:rFonts w:hint="eastAsia" w:cs="宋体"/>
                <w:color w:val="auto"/>
              </w:rPr>
              <w:t>项目主要设备情况见下表。</w:t>
            </w:r>
          </w:p>
          <w:p w14:paraId="3A84F0C4">
            <w:pPr>
              <w:pStyle w:val="16"/>
              <w:keepNext/>
              <w:adjustRightInd w:val="0"/>
              <w:snapToGrid w:val="0"/>
              <w:jc w:val="center"/>
              <w:rPr>
                <w:rFonts w:ascii="Times New Roman" w:hAnsi="Times New Roman" w:eastAsia="宋体"/>
                <w:b/>
                <w:color w:val="auto"/>
                <w:sz w:val="21"/>
                <w:szCs w:val="21"/>
              </w:rPr>
            </w:pPr>
            <w:bookmarkStart w:id="11" w:name="_Hlk38892495"/>
            <w:r>
              <w:rPr>
                <w:rFonts w:hint="eastAsia" w:ascii="Times New Roman" w:hAnsi="Times New Roman" w:eastAsia="宋体" w:cs="宋体"/>
                <w:b/>
                <w:color w:val="auto"/>
                <w:sz w:val="21"/>
                <w:szCs w:val="21"/>
              </w:rPr>
              <w:t>表2-3   主要设备清单</w:t>
            </w:r>
          </w:p>
          <w:bookmarkEnd w:id="11"/>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14"/>
              <w:gridCol w:w="2128"/>
              <w:gridCol w:w="2552"/>
              <w:gridCol w:w="909"/>
              <w:gridCol w:w="909"/>
              <w:gridCol w:w="934"/>
            </w:tblGrid>
            <w:tr w14:paraId="3A84F0C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vMerge w:val="restart"/>
                  <w:tcBorders>
                    <w:tl2br w:val="nil"/>
                    <w:tr2bl w:val="nil"/>
                  </w:tcBorders>
                  <w:vAlign w:val="center"/>
                </w:tcPr>
                <w:p w14:paraId="3A84F0C5">
                  <w:pPr>
                    <w:adjustRightInd w:val="0"/>
                    <w:snapToGrid w:val="0"/>
                    <w:jc w:val="center"/>
                    <w:rPr>
                      <w:b/>
                      <w:bCs/>
                      <w:color w:val="auto"/>
                      <w:kern w:val="0"/>
                    </w:rPr>
                  </w:pPr>
                  <w:r>
                    <w:rPr>
                      <w:b/>
                      <w:bCs/>
                      <w:color w:val="auto"/>
                      <w:kern w:val="0"/>
                    </w:rPr>
                    <w:t>工序</w:t>
                  </w:r>
                </w:p>
              </w:tc>
              <w:tc>
                <w:tcPr>
                  <w:tcW w:w="1245" w:type="pct"/>
                  <w:vMerge w:val="restart"/>
                  <w:tcBorders>
                    <w:tl2br w:val="nil"/>
                    <w:tr2bl w:val="nil"/>
                  </w:tcBorders>
                  <w:vAlign w:val="center"/>
                </w:tcPr>
                <w:p w14:paraId="3A84F0C6">
                  <w:pPr>
                    <w:adjustRightInd w:val="0"/>
                    <w:snapToGrid w:val="0"/>
                    <w:jc w:val="center"/>
                    <w:rPr>
                      <w:b/>
                      <w:bCs/>
                      <w:color w:val="auto"/>
                      <w:kern w:val="0"/>
                    </w:rPr>
                  </w:pPr>
                  <w:r>
                    <w:rPr>
                      <w:b/>
                      <w:bCs/>
                      <w:color w:val="auto"/>
                      <w:kern w:val="0"/>
                    </w:rPr>
                    <w:t>设备名称</w:t>
                  </w:r>
                </w:p>
              </w:tc>
              <w:tc>
                <w:tcPr>
                  <w:tcW w:w="1493" w:type="pct"/>
                  <w:vMerge w:val="restart"/>
                  <w:tcBorders>
                    <w:tl2br w:val="nil"/>
                    <w:tr2bl w:val="nil"/>
                  </w:tcBorders>
                  <w:vAlign w:val="center"/>
                </w:tcPr>
                <w:p w14:paraId="3A84F0C7">
                  <w:pPr>
                    <w:adjustRightInd w:val="0"/>
                    <w:snapToGrid w:val="0"/>
                    <w:jc w:val="center"/>
                    <w:rPr>
                      <w:b/>
                      <w:bCs/>
                      <w:color w:val="auto"/>
                      <w:kern w:val="0"/>
                    </w:rPr>
                  </w:pPr>
                  <w:r>
                    <w:rPr>
                      <w:b/>
                      <w:bCs/>
                      <w:color w:val="auto"/>
                      <w:kern w:val="0"/>
                    </w:rPr>
                    <w:t>规格型号</w:t>
                  </w:r>
                </w:p>
              </w:tc>
              <w:tc>
                <w:tcPr>
                  <w:tcW w:w="1609" w:type="pct"/>
                  <w:gridSpan w:val="3"/>
                  <w:tcBorders>
                    <w:tl2br w:val="nil"/>
                    <w:tr2bl w:val="nil"/>
                  </w:tcBorders>
                  <w:vAlign w:val="center"/>
                </w:tcPr>
                <w:p w14:paraId="3A84F0C8">
                  <w:pPr>
                    <w:adjustRightInd w:val="0"/>
                    <w:snapToGrid w:val="0"/>
                    <w:jc w:val="center"/>
                    <w:rPr>
                      <w:b/>
                      <w:bCs/>
                      <w:color w:val="auto"/>
                      <w:kern w:val="0"/>
                    </w:rPr>
                  </w:pPr>
                  <w:r>
                    <w:rPr>
                      <w:b/>
                      <w:bCs/>
                      <w:color w:val="auto"/>
                      <w:kern w:val="0"/>
                    </w:rPr>
                    <w:t>数量（台/套）</w:t>
                  </w:r>
                </w:p>
              </w:tc>
            </w:tr>
            <w:tr w14:paraId="3A84F0D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vMerge w:val="continue"/>
                  <w:tcBorders>
                    <w:tl2br w:val="nil"/>
                    <w:tr2bl w:val="nil"/>
                  </w:tcBorders>
                  <w:vAlign w:val="center"/>
                </w:tcPr>
                <w:p w14:paraId="3A84F0CA">
                  <w:pPr>
                    <w:adjustRightInd w:val="0"/>
                    <w:snapToGrid w:val="0"/>
                    <w:jc w:val="center"/>
                    <w:rPr>
                      <w:b/>
                      <w:bCs/>
                      <w:color w:val="auto"/>
                      <w:kern w:val="0"/>
                    </w:rPr>
                  </w:pPr>
                </w:p>
              </w:tc>
              <w:tc>
                <w:tcPr>
                  <w:tcW w:w="1245" w:type="pct"/>
                  <w:vMerge w:val="continue"/>
                  <w:tcBorders>
                    <w:tl2br w:val="nil"/>
                    <w:tr2bl w:val="nil"/>
                  </w:tcBorders>
                  <w:vAlign w:val="center"/>
                </w:tcPr>
                <w:p w14:paraId="3A84F0CB">
                  <w:pPr>
                    <w:adjustRightInd w:val="0"/>
                    <w:snapToGrid w:val="0"/>
                    <w:jc w:val="center"/>
                    <w:rPr>
                      <w:b/>
                      <w:bCs/>
                      <w:color w:val="auto"/>
                      <w:kern w:val="0"/>
                    </w:rPr>
                  </w:pPr>
                </w:p>
              </w:tc>
              <w:tc>
                <w:tcPr>
                  <w:tcW w:w="1493" w:type="pct"/>
                  <w:vMerge w:val="continue"/>
                  <w:tcBorders>
                    <w:tl2br w:val="nil"/>
                    <w:tr2bl w:val="nil"/>
                  </w:tcBorders>
                  <w:vAlign w:val="center"/>
                </w:tcPr>
                <w:p w14:paraId="3A84F0CC">
                  <w:pPr>
                    <w:adjustRightInd w:val="0"/>
                    <w:snapToGrid w:val="0"/>
                    <w:jc w:val="center"/>
                    <w:rPr>
                      <w:b/>
                      <w:bCs/>
                      <w:color w:val="auto"/>
                      <w:kern w:val="0"/>
                    </w:rPr>
                  </w:pPr>
                </w:p>
              </w:tc>
              <w:tc>
                <w:tcPr>
                  <w:tcW w:w="532" w:type="pct"/>
                  <w:tcBorders>
                    <w:tl2br w:val="nil"/>
                    <w:tr2bl w:val="nil"/>
                  </w:tcBorders>
                  <w:vAlign w:val="center"/>
                </w:tcPr>
                <w:p w14:paraId="3A84F0CD">
                  <w:pPr>
                    <w:adjustRightInd w:val="0"/>
                    <w:snapToGrid w:val="0"/>
                    <w:jc w:val="center"/>
                    <w:rPr>
                      <w:b/>
                      <w:bCs/>
                      <w:color w:val="auto"/>
                      <w:kern w:val="0"/>
                    </w:rPr>
                  </w:pPr>
                  <w:r>
                    <w:rPr>
                      <w:b/>
                      <w:bCs/>
                      <w:color w:val="auto"/>
                      <w:kern w:val="0"/>
                    </w:rPr>
                    <w:t>扩建前</w:t>
                  </w:r>
                </w:p>
              </w:tc>
              <w:tc>
                <w:tcPr>
                  <w:tcW w:w="532" w:type="pct"/>
                  <w:tcBorders>
                    <w:tl2br w:val="nil"/>
                    <w:tr2bl w:val="nil"/>
                  </w:tcBorders>
                  <w:vAlign w:val="center"/>
                </w:tcPr>
                <w:p w14:paraId="3A84F0CE">
                  <w:pPr>
                    <w:adjustRightInd w:val="0"/>
                    <w:snapToGrid w:val="0"/>
                    <w:jc w:val="center"/>
                    <w:rPr>
                      <w:b/>
                      <w:bCs/>
                      <w:color w:val="auto"/>
                      <w:kern w:val="0"/>
                    </w:rPr>
                  </w:pPr>
                  <w:r>
                    <w:rPr>
                      <w:b/>
                      <w:bCs/>
                      <w:color w:val="auto"/>
                      <w:kern w:val="0"/>
                    </w:rPr>
                    <w:t>扩建后</w:t>
                  </w:r>
                </w:p>
              </w:tc>
              <w:tc>
                <w:tcPr>
                  <w:tcW w:w="544" w:type="pct"/>
                  <w:tcBorders>
                    <w:tl2br w:val="nil"/>
                    <w:tr2bl w:val="nil"/>
                  </w:tcBorders>
                  <w:vAlign w:val="center"/>
                </w:tcPr>
                <w:p w14:paraId="3A84F0CF">
                  <w:pPr>
                    <w:adjustRightInd w:val="0"/>
                    <w:snapToGrid w:val="0"/>
                    <w:jc w:val="center"/>
                    <w:rPr>
                      <w:b/>
                      <w:bCs/>
                      <w:color w:val="auto"/>
                      <w:kern w:val="0"/>
                    </w:rPr>
                  </w:pPr>
                  <w:r>
                    <w:rPr>
                      <w:b/>
                      <w:bCs/>
                      <w:color w:val="auto"/>
                      <w:kern w:val="0"/>
                    </w:rPr>
                    <w:t>增减量</w:t>
                  </w:r>
                </w:p>
              </w:tc>
            </w:tr>
            <w:tr w14:paraId="3A84F0D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6"/>
                  <w:tcBorders>
                    <w:tl2br w:val="nil"/>
                    <w:tr2bl w:val="nil"/>
                  </w:tcBorders>
                  <w:vAlign w:val="center"/>
                </w:tcPr>
                <w:p w14:paraId="3A84F0D1">
                  <w:pPr>
                    <w:adjustRightInd w:val="0"/>
                    <w:snapToGrid w:val="0"/>
                    <w:jc w:val="center"/>
                    <w:rPr>
                      <w:b/>
                      <w:bCs/>
                      <w:color w:val="auto"/>
                      <w:kern w:val="0"/>
                    </w:rPr>
                  </w:pPr>
                  <w:r>
                    <w:rPr>
                      <w:b/>
                      <w:bCs/>
                      <w:color w:val="auto"/>
                      <w:kern w:val="0"/>
                    </w:rPr>
                    <w:t>产气药生产线</w:t>
                  </w:r>
                </w:p>
              </w:tc>
            </w:tr>
            <w:tr w14:paraId="3A84F0D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0D3">
                  <w:pPr>
                    <w:adjustRightInd w:val="0"/>
                    <w:snapToGrid w:val="0"/>
                    <w:jc w:val="center"/>
                    <w:rPr>
                      <w:rFonts w:hint="eastAsia" w:eastAsia="宋体"/>
                      <w:color w:val="auto"/>
                      <w:kern w:val="0"/>
                      <w:lang w:val="en-US" w:eastAsia="zh-CN"/>
                    </w:rPr>
                  </w:pPr>
                  <w:r>
                    <w:rPr>
                      <w:rFonts w:hint="eastAsia"/>
                      <w:color w:val="auto"/>
                      <w:kern w:val="0"/>
                      <w:lang w:val="en-US" w:eastAsia="zh-CN"/>
                    </w:rPr>
                    <w:t>过滤</w:t>
                  </w:r>
                </w:p>
              </w:tc>
              <w:tc>
                <w:tcPr>
                  <w:tcW w:w="1245" w:type="pct"/>
                  <w:tcBorders>
                    <w:tl2br w:val="nil"/>
                    <w:tr2bl w:val="nil"/>
                  </w:tcBorders>
                  <w:vAlign w:val="center"/>
                </w:tcPr>
                <w:p w14:paraId="3A84F0D4">
                  <w:pPr>
                    <w:adjustRightInd w:val="0"/>
                    <w:snapToGrid w:val="0"/>
                    <w:jc w:val="center"/>
                    <w:rPr>
                      <w:color w:val="auto"/>
                      <w:kern w:val="0"/>
                    </w:rPr>
                  </w:pPr>
                  <w:r>
                    <w:rPr>
                      <w:color w:val="auto"/>
                      <w:kern w:val="0"/>
                    </w:rPr>
                    <w:t>过滤器</w:t>
                  </w:r>
                </w:p>
              </w:tc>
              <w:tc>
                <w:tcPr>
                  <w:tcW w:w="1493" w:type="pct"/>
                  <w:tcBorders>
                    <w:tl2br w:val="nil"/>
                    <w:tr2bl w:val="nil"/>
                  </w:tcBorders>
                  <w:vAlign w:val="center"/>
                </w:tcPr>
                <w:p w14:paraId="3A84F0D5">
                  <w:pPr>
                    <w:adjustRightInd w:val="0"/>
                    <w:snapToGrid w:val="0"/>
                    <w:jc w:val="center"/>
                    <w:rPr>
                      <w:color w:val="auto"/>
                      <w:kern w:val="0"/>
                    </w:rPr>
                  </w:pPr>
                  <w:r>
                    <w:rPr>
                      <w:color w:val="auto"/>
                      <w:kern w:val="0"/>
                    </w:rPr>
                    <w:t>/</w:t>
                  </w:r>
                </w:p>
              </w:tc>
              <w:tc>
                <w:tcPr>
                  <w:tcW w:w="532" w:type="pct"/>
                  <w:tcBorders>
                    <w:tl2br w:val="nil"/>
                    <w:tr2bl w:val="nil"/>
                  </w:tcBorders>
                  <w:vAlign w:val="center"/>
                </w:tcPr>
                <w:p w14:paraId="3A84F0D6">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0D7">
                  <w:pPr>
                    <w:adjustRightInd w:val="0"/>
                    <w:snapToGrid w:val="0"/>
                    <w:jc w:val="center"/>
                    <w:rPr>
                      <w:color w:val="auto"/>
                      <w:kern w:val="0"/>
                    </w:rPr>
                  </w:pPr>
                  <w:r>
                    <w:rPr>
                      <w:color w:val="auto"/>
                      <w:kern w:val="0"/>
                    </w:rPr>
                    <w:t>4</w:t>
                  </w:r>
                </w:p>
              </w:tc>
              <w:tc>
                <w:tcPr>
                  <w:tcW w:w="544" w:type="pct"/>
                  <w:tcBorders>
                    <w:tl2br w:val="nil"/>
                    <w:tr2bl w:val="nil"/>
                  </w:tcBorders>
                  <w:vAlign w:val="center"/>
                </w:tcPr>
                <w:p w14:paraId="3A84F0D8">
                  <w:pPr>
                    <w:adjustRightInd w:val="0"/>
                    <w:snapToGrid w:val="0"/>
                    <w:jc w:val="center"/>
                    <w:rPr>
                      <w:color w:val="auto"/>
                      <w:kern w:val="0"/>
                    </w:rPr>
                  </w:pPr>
                  <w:r>
                    <w:rPr>
                      <w:color w:val="auto"/>
                      <w:kern w:val="0"/>
                    </w:rPr>
                    <w:t>0</w:t>
                  </w:r>
                </w:p>
              </w:tc>
            </w:tr>
            <w:tr w14:paraId="3A84F0E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0DA">
                  <w:pPr>
                    <w:adjustRightInd w:val="0"/>
                    <w:snapToGrid w:val="0"/>
                    <w:jc w:val="center"/>
                    <w:rPr>
                      <w:rFonts w:hint="eastAsia" w:eastAsia="宋体"/>
                      <w:color w:val="auto"/>
                      <w:kern w:val="0"/>
                      <w:lang w:val="en-US" w:eastAsia="zh-CN"/>
                    </w:rPr>
                  </w:pPr>
                  <w:r>
                    <w:rPr>
                      <w:rFonts w:hint="eastAsia"/>
                      <w:color w:val="auto"/>
                      <w:kern w:val="0"/>
                      <w:lang w:val="en-US" w:eastAsia="zh-CN"/>
                    </w:rPr>
                    <w:t>干燥</w:t>
                  </w:r>
                </w:p>
              </w:tc>
              <w:tc>
                <w:tcPr>
                  <w:tcW w:w="1245" w:type="pct"/>
                  <w:tcBorders>
                    <w:tl2br w:val="nil"/>
                    <w:tr2bl w:val="nil"/>
                  </w:tcBorders>
                  <w:vAlign w:val="center"/>
                </w:tcPr>
                <w:p w14:paraId="3A84F0DB">
                  <w:pPr>
                    <w:adjustRightInd w:val="0"/>
                    <w:snapToGrid w:val="0"/>
                    <w:jc w:val="center"/>
                    <w:rPr>
                      <w:color w:val="auto"/>
                      <w:kern w:val="0"/>
                    </w:rPr>
                  </w:pPr>
                  <w:r>
                    <w:rPr>
                      <w:color w:val="auto"/>
                      <w:kern w:val="0"/>
                    </w:rPr>
                    <w:t>干燥罐</w:t>
                  </w:r>
                </w:p>
              </w:tc>
              <w:tc>
                <w:tcPr>
                  <w:tcW w:w="1493" w:type="pct"/>
                  <w:tcBorders>
                    <w:tl2br w:val="nil"/>
                    <w:tr2bl w:val="nil"/>
                  </w:tcBorders>
                  <w:vAlign w:val="center"/>
                </w:tcPr>
                <w:p w14:paraId="3A84F0DC">
                  <w:pPr>
                    <w:adjustRightInd w:val="0"/>
                    <w:snapToGrid w:val="0"/>
                    <w:jc w:val="center"/>
                    <w:rPr>
                      <w:color w:val="auto"/>
                      <w:kern w:val="0"/>
                    </w:rPr>
                  </w:pPr>
                  <w:r>
                    <w:rPr>
                      <w:color w:val="auto"/>
                      <w:kern w:val="0"/>
                    </w:rPr>
                    <w:t>/</w:t>
                  </w:r>
                </w:p>
              </w:tc>
              <w:tc>
                <w:tcPr>
                  <w:tcW w:w="532" w:type="pct"/>
                  <w:tcBorders>
                    <w:tl2br w:val="nil"/>
                    <w:tr2bl w:val="nil"/>
                  </w:tcBorders>
                  <w:vAlign w:val="center"/>
                </w:tcPr>
                <w:p w14:paraId="3A84F0DD">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0DE">
                  <w:pPr>
                    <w:adjustRightInd w:val="0"/>
                    <w:snapToGrid w:val="0"/>
                    <w:jc w:val="center"/>
                    <w:rPr>
                      <w:color w:val="auto"/>
                      <w:kern w:val="0"/>
                    </w:rPr>
                  </w:pPr>
                  <w:r>
                    <w:rPr>
                      <w:color w:val="auto"/>
                      <w:kern w:val="0"/>
                    </w:rPr>
                    <w:t>4</w:t>
                  </w:r>
                </w:p>
              </w:tc>
              <w:tc>
                <w:tcPr>
                  <w:tcW w:w="544" w:type="pct"/>
                  <w:tcBorders>
                    <w:tl2br w:val="nil"/>
                    <w:tr2bl w:val="nil"/>
                  </w:tcBorders>
                  <w:vAlign w:val="center"/>
                </w:tcPr>
                <w:p w14:paraId="3A84F0DF">
                  <w:pPr>
                    <w:adjustRightInd w:val="0"/>
                    <w:snapToGrid w:val="0"/>
                    <w:jc w:val="center"/>
                    <w:rPr>
                      <w:color w:val="auto"/>
                      <w:kern w:val="0"/>
                    </w:rPr>
                  </w:pPr>
                  <w:r>
                    <w:rPr>
                      <w:color w:val="auto"/>
                      <w:kern w:val="0"/>
                    </w:rPr>
                    <w:t>0</w:t>
                  </w:r>
                </w:p>
              </w:tc>
            </w:tr>
            <w:tr w14:paraId="3A84F0E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0E1">
                  <w:pPr>
                    <w:adjustRightInd w:val="0"/>
                    <w:snapToGrid w:val="0"/>
                    <w:jc w:val="center"/>
                    <w:rPr>
                      <w:rFonts w:hint="eastAsia" w:eastAsia="宋体"/>
                      <w:color w:val="auto"/>
                      <w:kern w:val="0"/>
                      <w:lang w:val="en-US" w:eastAsia="zh-CN"/>
                    </w:rPr>
                  </w:pPr>
                  <w:r>
                    <w:rPr>
                      <w:rFonts w:hint="eastAsia"/>
                      <w:color w:val="auto"/>
                      <w:kern w:val="0"/>
                      <w:lang w:val="en-US" w:eastAsia="zh-CN"/>
                    </w:rPr>
                    <w:t>除尘</w:t>
                  </w:r>
                </w:p>
              </w:tc>
              <w:tc>
                <w:tcPr>
                  <w:tcW w:w="1245" w:type="pct"/>
                  <w:tcBorders>
                    <w:tl2br w:val="nil"/>
                    <w:tr2bl w:val="nil"/>
                  </w:tcBorders>
                  <w:vAlign w:val="center"/>
                </w:tcPr>
                <w:p w14:paraId="3A84F0E2">
                  <w:pPr>
                    <w:adjustRightInd w:val="0"/>
                    <w:snapToGrid w:val="0"/>
                    <w:jc w:val="center"/>
                    <w:rPr>
                      <w:color w:val="auto"/>
                      <w:kern w:val="0"/>
                    </w:rPr>
                  </w:pPr>
                  <w:r>
                    <w:rPr>
                      <w:color w:val="auto"/>
                      <w:kern w:val="0"/>
                    </w:rPr>
                    <w:t>袋式除尘器</w:t>
                  </w:r>
                </w:p>
              </w:tc>
              <w:tc>
                <w:tcPr>
                  <w:tcW w:w="1493" w:type="pct"/>
                  <w:tcBorders>
                    <w:tl2br w:val="nil"/>
                    <w:tr2bl w:val="nil"/>
                  </w:tcBorders>
                  <w:vAlign w:val="center"/>
                </w:tcPr>
                <w:p w14:paraId="3A84F0E3">
                  <w:pPr>
                    <w:adjustRightInd w:val="0"/>
                    <w:snapToGrid w:val="0"/>
                    <w:jc w:val="center"/>
                    <w:rPr>
                      <w:color w:val="auto"/>
                      <w:kern w:val="0"/>
                    </w:rPr>
                  </w:pPr>
                  <w:r>
                    <w:rPr>
                      <w:color w:val="auto"/>
                      <w:kern w:val="0"/>
                    </w:rPr>
                    <w:t>/</w:t>
                  </w:r>
                </w:p>
              </w:tc>
              <w:tc>
                <w:tcPr>
                  <w:tcW w:w="532" w:type="pct"/>
                  <w:tcBorders>
                    <w:tl2br w:val="nil"/>
                    <w:tr2bl w:val="nil"/>
                  </w:tcBorders>
                  <w:vAlign w:val="center"/>
                </w:tcPr>
                <w:p w14:paraId="3A84F0E4">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0E5">
                  <w:pPr>
                    <w:adjustRightInd w:val="0"/>
                    <w:snapToGrid w:val="0"/>
                    <w:jc w:val="center"/>
                    <w:rPr>
                      <w:color w:val="auto"/>
                      <w:kern w:val="0"/>
                    </w:rPr>
                  </w:pPr>
                  <w:r>
                    <w:rPr>
                      <w:color w:val="auto"/>
                      <w:kern w:val="0"/>
                    </w:rPr>
                    <w:t>4</w:t>
                  </w:r>
                </w:p>
              </w:tc>
              <w:tc>
                <w:tcPr>
                  <w:tcW w:w="544" w:type="pct"/>
                  <w:tcBorders>
                    <w:tl2br w:val="nil"/>
                    <w:tr2bl w:val="nil"/>
                  </w:tcBorders>
                  <w:vAlign w:val="center"/>
                </w:tcPr>
                <w:p w14:paraId="3A84F0E6">
                  <w:pPr>
                    <w:adjustRightInd w:val="0"/>
                    <w:snapToGrid w:val="0"/>
                    <w:jc w:val="center"/>
                    <w:rPr>
                      <w:color w:val="auto"/>
                      <w:kern w:val="0"/>
                    </w:rPr>
                  </w:pPr>
                  <w:r>
                    <w:rPr>
                      <w:color w:val="auto"/>
                      <w:kern w:val="0"/>
                    </w:rPr>
                    <w:t>0</w:t>
                  </w:r>
                </w:p>
              </w:tc>
            </w:tr>
            <w:tr w14:paraId="3A84F0E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0E8">
                  <w:pPr>
                    <w:adjustRightInd w:val="0"/>
                    <w:snapToGrid w:val="0"/>
                    <w:jc w:val="center"/>
                    <w:rPr>
                      <w:rFonts w:hint="default" w:eastAsia="宋体"/>
                      <w:color w:val="auto"/>
                      <w:kern w:val="0"/>
                      <w:lang w:val="en-US" w:eastAsia="zh-CN"/>
                    </w:rPr>
                  </w:pPr>
                  <w:r>
                    <w:rPr>
                      <w:rFonts w:hint="eastAsia"/>
                      <w:color w:val="auto"/>
                      <w:kern w:val="0"/>
                      <w:lang w:val="en-US" w:eastAsia="zh-CN"/>
                    </w:rPr>
                    <w:t>悬浮物料</w:t>
                  </w:r>
                </w:p>
              </w:tc>
              <w:tc>
                <w:tcPr>
                  <w:tcW w:w="1245" w:type="pct"/>
                  <w:tcBorders>
                    <w:tl2br w:val="nil"/>
                    <w:tr2bl w:val="nil"/>
                  </w:tcBorders>
                  <w:vAlign w:val="center"/>
                </w:tcPr>
                <w:p w14:paraId="3A84F0E9">
                  <w:pPr>
                    <w:adjustRightInd w:val="0"/>
                    <w:snapToGrid w:val="0"/>
                    <w:jc w:val="center"/>
                    <w:rPr>
                      <w:color w:val="auto"/>
                      <w:kern w:val="0"/>
                    </w:rPr>
                  </w:pPr>
                  <w:r>
                    <w:rPr>
                      <w:color w:val="auto"/>
                      <w:kern w:val="0"/>
                    </w:rPr>
                    <w:t>流化床</w:t>
                  </w:r>
                </w:p>
              </w:tc>
              <w:tc>
                <w:tcPr>
                  <w:tcW w:w="1493" w:type="pct"/>
                  <w:tcBorders>
                    <w:tl2br w:val="nil"/>
                    <w:tr2bl w:val="nil"/>
                  </w:tcBorders>
                  <w:shd w:val="clear" w:color="auto" w:fill="auto"/>
                  <w:vAlign w:val="center"/>
                </w:tcPr>
                <w:p w14:paraId="3A84F0EA">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0EB">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0EC">
                  <w:pPr>
                    <w:adjustRightInd w:val="0"/>
                    <w:snapToGrid w:val="0"/>
                    <w:jc w:val="center"/>
                    <w:rPr>
                      <w:color w:val="auto"/>
                      <w:kern w:val="0"/>
                    </w:rPr>
                  </w:pPr>
                  <w:r>
                    <w:rPr>
                      <w:color w:val="auto"/>
                      <w:kern w:val="0"/>
                    </w:rPr>
                    <w:t>4</w:t>
                  </w:r>
                </w:p>
              </w:tc>
              <w:tc>
                <w:tcPr>
                  <w:tcW w:w="544" w:type="pct"/>
                  <w:tcBorders>
                    <w:tl2br w:val="nil"/>
                    <w:tr2bl w:val="nil"/>
                  </w:tcBorders>
                  <w:vAlign w:val="center"/>
                </w:tcPr>
                <w:p w14:paraId="3A84F0ED">
                  <w:pPr>
                    <w:adjustRightInd w:val="0"/>
                    <w:snapToGrid w:val="0"/>
                    <w:jc w:val="center"/>
                    <w:rPr>
                      <w:color w:val="auto"/>
                      <w:kern w:val="0"/>
                    </w:rPr>
                  </w:pPr>
                  <w:r>
                    <w:rPr>
                      <w:color w:val="auto"/>
                      <w:kern w:val="0"/>
                    </w:rPr>
                    <w:t>0</w:t>
                  </w:r>
                </w:p>
              </w:tc>
            </w:tr>
            <w:tr w14:paraId="3A84F0F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0EF">
                  <w:pPr>
                    <w:adjustRightInd w:val="0"/>
                    <w:snapToGrid w:val="0"/>
                    <w:jc w:val="center"/>
                    <w:rPr>
                      <w:rFonts w:hint="eastAsia" w:eastAsia="宋体"/>
                      <w:color w:val="auto"/>
                      <w:kern w:val="0"/>
                      <w:lang w:val="en-US" w:eastAsia="zh-CN"/>
                    </w:rPr>
                  </w:pPr>
                  <w:r>
                    <w:rPr>
                      <w:rFonts w:hint="eastAsia"/>
                      <w:color w:val="auto"/>
                      <w:kern w:val="0"/>
                      <w:lang w:val="en-US" w:eastAsia="zh-CN"/>
                    </w:rPr>
                    <w:t>加热</w:t>
                  </w:r>
                </w:p>
              </w:tc>
              <w:tc>
                <w:tcPr>
                  <w:tcW w:w="1245" w:type="pct"/>
                  <w:tcBorders>
                    <w:tl2br w:val="nil"/>
                    <w:tr2bl w:val="nil"/>
                  </w:tcBorders>
                  <w:vAlign w:val="center"/>
                </w:tcPr>
                <w:p w14:paraId="3A84F0F0">
                  <w:pPr>
                    <w:adjustRightInd w:val="0"/>
                    <w:snapToGrid w:val="0"/>
                    <w:jc w:val="center"/>
                    <w:rPr>
                      <w:color w:val="auto"/>
                      <w:kern w:val="0"/>
                    </w:rPr>
                  </w:pPr>
                  <w:r>
                    <w:rPr>
                      <w:color w:val="auto"/>
                      <w:kern w:val="0"/>
                    </w:rPr>
                    <w:t>工艺热风加热器</w:t>
                  </w:r>
                </w:p>
              </w:tc>
              <w:tc>
                <w:tcPr>
                  <w:tcW w:w="1493" w:type="pct"/>
                  <w:tcBorders>
                    <w:tl2br w:val="nil"/>
                    <w:tr2bl w:val="nil"/>
                  </w:tcBorders>
                  <w:shd w:val="clear" w:color="auto" w:fill="auto"/>
                  <w:vAlign w:val="center"/>
                </w:tcPr>
                <w:p w14:paraId="3A84F0F1">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0F2">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0F3">
                  <w:pPr>
                    <w:adjustRightInd w:val="0"/>
                    <w:snapToGrid w:val="0"/>
                    <w:jc w:val="center"/>
                    <w:rPr>
                      <w:color w:val="auto"/>
                      <w:kern w:val="0"/>
                    </w:rPr>
                  </w:pPr>
                  <w:r>
                    <w:rPr>
                      <w:color w:val="auto"/>
                      <w:kern w:val="0"/>
                    </w:rPr>
                    <w:t>4</w:t>
                  </w:r>
                </w:p>
              </w:tc>
              <w:tc>
                <w:tcPr>
                  <w:tcW w:w="544" w:type="pct"/>
                  <w:tcBorders>
                    <w:tl2br w:val="nil"/>
                    <w:tr2bl w:val="nil"/>
                  </w:tcBorders>
                  <w:vAlign w:val="center"/>
                </w:tcPr>
                <w:p w14:paraId="3A84F0F4">
                  <w:pPr>
                    <w:adjustRightInd w:val="0"/>
                    <w:snapToGrid w:val="0"/>
                    <w:jc w:val="center"/>
                    <w:rPr>
                      <w:color w:val="auto"/>
                      <w:kern w:val="0"/>
                    </w:rPr>
                  </w:pPr>
                  <w:r>
                    <w:rPr>
                      <w:color w:val="auto"/>
                      <w:kern w:val="0"/>
                    </w:rPr>
                    <w:t>0</w:t>
                  </w:r>
                </w:p>
              </w:tc>
            </w:tr>
            <w:tr w14:paraId="3A84F0F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0F6">
                  <w:pPr>
                    <w:adjustRightInd w:val="0"/>
                    <w:snapToGrid w:val="0"/>
                    <w:jc w:val="center"/>
                    <w:rPr>
                      <w:rFonts w:hint="eastAsia" w:eastAsia="宋体"/>
                      <w:color w:val="auto"/>
                      <w:kern w:val="0"/>
                      <w:lang w:val="en-US" w:eastAsia="zh-CN"/>
                    </w:rPr>
                  </w:pPr>
                  <w:r>
                    <w:rPr>
                      <w:rFonts w:hint="eastAsia"/>
                      <w:color w:val="auto"/>
                      <w:kern w:val="0"/>
                      <w:lang w:val="en-US" w:eastAsia="zh-CN"/>
                    </w:rPr>
                    <w:t>公辅</w:t>
                  </w:r>
                </w:p>
              </w:tc>
              <w:tc>
                <w:tcPr>
                  <w:tcW w:w="1245" w:type="pct"/>
                  <w:tcBorders>
                    <w:tl2br w:val="nil"/>
                    <w:tr2bl w:val="nil"/>
                  </w:tcBorders>
                  <w:vAlign w:val="center"/>
                </w:tcPr>
                <w:p w14:paraId="3A84F0F7">
                  <w:pPr>
                    <w:adjustRightInd w:val="0"/>
                    <w:snapToGrid w:val="0"/>
                    <w:jc w:val="center"/>
                    <w:rPr>
                      <w:color w:val="auto"/>
                      <w:kern w:val="0"/>
                    </w:rPr>
                  </w:pPr>
                  <w:r>
                    <w:rPr>
                      <w:color w:val="auto"/>
                      <w:kern w:val="0"/>
                    </w:rPr>
                    <w:t>菲尔普斯风机</w:t>
                  </w:r>
                </w:p>
              </w:tc>
              <w:tc>
                <w:tcPr>
                  <w:tcW w:w="1493" w:type="pct"/>
                  <w:tcBorders>
                    <w:tl2br w:val="nil"/>
                    <w:tr2bl w:val="nil"/>
                  </w:tcBorders>
                  <w:shd w:val="clear" w:color="auto" w:fill="auto"/>
                  <w:vAlign w:val="center"/>
                </w:tcPr>
                <w:p w14:paraId="3A84F0F8">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0F9">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0FA">
                  <w:pPr>
                    <w:adjustRightInd w:val="0"/>
                    <w:snapToGrid w:val="0"/>
                    <w:jc w:val="center"/>
                    <w:rPr>
                      <w:color w:val="auto"/>
                      <w:kern w:val="0"/>
                    </w:rPr>
                  </w:pPr>
                  <w:r>
                    <w:rPr>
                      <w:color w:val="auto"/>
                      <w:kern w:val="0"/>
                    </w:rPr>
                    <w:t>4</w:t>
                  </w:r>
                </w:p>
              </w:tc>
              <w:tc>
                <w:tcPr>
                  <w:tcW w:w="544" w:type="pct"/>
                  <w:tcBorders>
                    <w:tl2br w:val="nil"/>
                    <w:tr2bl w:val="nil"/>
                  </w:tcBorders>
                  <w:vAlign w:val="center"/>
                </w:tcPr>
                <w:p w14:paraId="3A84F0FB">
                  <w:pPr>
                    <w:adjustRightInd w:val="0"/>
                    <w:snapToGrid w:val="0"/>
                    <w:jc w:val="center"/>
                    <w:rPr>
                      <w:color w:val="auto"/>
                      <w:kern w:val="0"/>
                    </w:rPr>
                  </w:pPr>
                  <w:r>
                    <w:rPr>
                      <w:color w:val="auto"/>
                      <w:kern w:val="0"/>
                    </w:rPr>
                    <w:t>0</w:t>
                  </w:r>
                </w:p>
              </w:tc>
            </w:tr>
            <w:tr w14:paraId="3A84F10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0FD">
                  <w:pPr>
                    <w:adjustRightInd w:val="0"/>
                    <w:snapToGrid w:val="0"/>
                    <w:jc w:val="center"/>
                    <w:rPr>
                      <w:rFonts w:hint="eastAsia" w:eastAsia="宋体"/>
                      <w:color w:val="auto"/>
                      <w:kern w:val="0"/>
                      <w:lang w:val="en-US" w:eastAsia="zh-CN"/>
                    </w:rPr>
                  </w:pPr>
                  <w:r>
                    <w:rPr>
                      <w:rFonts w:hint="eastAsia"/>
                      <w:color w:val="auto"/>
                      <w:kern w:val="0"/>
                      <w:lang w:val="en-US" w:eastAsia="zh-CN"/>
                    </w:rPr>
                    <w:t>公辅</w:t>
                  </w:r>
                </w:p>
              </w:tc>
              <w:tc>
                <w:tcPr>
                  <w:tcW w:w="1245" w:type="pct"/>
                  <w:tcBorders>
                    <w:tl2br w:val="nil"/>
                    <w:tr2bl w:val="nil"/>
                  </w:tcBorders>
                  <w:vAlign w:val="center"/>
                </w:tcPr>
                <w:p w14:paraId="3A84F0FE">
                  <w:pPr>
                    <w:adjustRightInd w:val="0"/>
                    <w:snapToGrid w:val="0"/>
                    <w:jc w:val="center"/>
                    <w:rPr>
                      <w:color w:val="auto"/>
                      <w:kern w:val="0"/>
                    </w:rPr>
                  </w:pPr>
                  <w:r>
                    <w:rPr>
                      <w:color w:val="auto"/>
                      <w:kern w:val="0"/>
                    </w:rPr>
                    <w:t>流化床风机</w:t>
                  </w:r>
                </w:p>
              </w:tc>
              <w:tc>
                <w:tcPr>
                  <w:tcW w:w="1493" w:type="pct"/>
                  <w:tcBorders>
                    <w:tl2br w:val="nil"/>
                    <w:tr2bl w:val="nil"/>
                  </w:tcBorders>
                  <w:shd w:val="clear" w:color="auto" w:fill="auto"/>
                  <w:vAlign w:val="center"/>
                </w:tcPr>
                <w:p w14:paraId="3A84F0FF">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00">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01">
                  <w:pPr>
                    <w:adjustRightInd w:val="0"/>
                    <w:snapToGrid w:val="0"/>
                    <w:jc w:val="center"/>
                    <w:rPr>
                      <w:color w:val="auto"/>
                      <w:kern w:val="0"/>
                    </w:rPr>
                  </w:pPr>
                  <w:r>
                    <w:rPr>
                      <w:color w:val="auto"/>
                      <w:kern w:val="0"/>
                    </w:rPr>
                    <w:t>4</w:t>
                  </w:r>
                </w:p>
              </w:tc>
              <w:tc>
                <w:tcPr>
                  <w:tcW w:w="544" w:type="pct"/>
                  <w:tcBorders>
                    <w:tl2br w:val="nil"/>
                    <w:tr2bl w:val="nil"/>
                  </w:tcBorders>
                  <w:vAlign w:val="center"/>
                </w:tcPr>
                <w:p w14:paraId="3A84F102">
                  <w:pPr>
                    <w:adjustRightInd w:val="0"/>
                    <w:snapToGrid w:val="0"/>
                    <w:jc w:val="center"/>
                    <w:rPr>
                      <w:color w:val="auto"/>
                      <w:kern w:val="0"/>
                    </w:rPr>
                  </w:pPr>
                  <w:r>
                    <w:rPr>
                      <w:color w:val="auto"/>
                      <w:kern w:val="0"/>
                    </w:rPr>
                    <w:t>0</w:t>
                  </w:r>
                </w:p>
              </w:tc>
            </w:tr>
            <w:tr w14:paraId="3A84F1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04">
                  <w:pPr>
                    <w:adjustRightInd w:val="0"/>
                    <w:snapToGrid w:val="0"/>
                    <w:jc w:val="center"/>
                    <w:rPr>
                      <w:rFonts w:hint="eastAsia" w:eastAsia="宋体"/>
                      <w:color w:val="auto"/>
                      <w:kern w:val="0"/>
                      <w:lang w:val="en-US" w:eastAsia="zh-CN"/>
                    </w:rPr>
                  </w:pPr>
                  <w:r>
                    <w:rPr>
                      <w:rFonts w:hint="eastAsia"/>
                      <w:color w:val="auto"/>
                      <w:kern w:val="0"/>
                      <w:lang w:val="en-US" w:eastAsia="zh-CN"/>
                    </w:rPr>
                    <w:t>接料</w:t>
                  </w:r>
                </w:p>
              </w:tc>
              <w:tc>
                <w:tcPr>
                  <w:tcW w:w="1245" w:type="pct"/>
                  <w:tcBorders>
                    <w:tl2br w:val="nil"/>
                    <w:tr2bl w:val="nil"/>
                  </w:tcBorders>
                  <w:shd w:val="clear" w:color="auto" w:fill="auto"/>
                  <w:vAlign w:val="center"/>
                </w:tcPr>
                <w:p w14:paraId="3A84F105">
                  <w:pPr>
                    <w:adjustRightInd w:val="0"/>
                    <w:snapToGrid w:val="0"/>
                    <w:jc w:val="center"/>
                    <w:rPr>
                      <w:color w:val="auto"/>
                      <w:kern w:val="0"/>
                    </w:rPr>
                  </w:pPr>
                  <w:r>
                    <w:rPr>
                      <w:color w:val="auto"/>
                      <w:kern w:val="0"/>
                    </w:rPr>
                    <w:t>产气药接料斗</w:t>
                  </w:r>
                </w:p>
              </w:tc>
              <w:tc>
                <w:tcPr>
                  <w:tcW w:w="1493" w:type="pct"/>
                  <w:tcBorders>
                    <w:tl2br w:val="nil"/>
                    <w:tr2bl w:val="nil"/>
                  </w:tcBorders>
                  <w:shd w:val="clear" w:color="auto" w:fill="auto"/>
                  <w:vAlign w:val="center"/>
                </w:tcPr>
                <w:p w14:paraId="3A84F106">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07">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08">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09">
                  <w:pPr>
                    <w:adjustRightInd w:val="0"/>
                    <w:snapToGrid w:val="0"/>
                    <w:jc w:val="center"/>
                    <w:rPr>
                      <w:color w:val="auto"/>
                      <w:kern w:val="0"/>
                    </w:rPr>
                  </w:pPr>
                  <w:r>
                    <w:rPr>
                      <w:color w:val="auto"/>
                      <w:kern w:val="0"/>
                    </w:rPr>
                    <w:t>0</w:t>
                  </w:r>
                </w:p>
              </w:tc>
            </w:tr>
            <w:tr w14:paraId="3A84F11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0B">
                  <w:pPr>
                    <w:adjustRightInd w:val="0"/>
                    <w:snapToGrid w:val="0"/>
                    <w:jc w:val="center"/>
                    <w:rPr>
                      <w:rFonts w:hint="eastAsia" w:eastAsia="宋体"/>
                      <w:color w:val="auto"/>
                      <w:kern w:val="0"/>
                      <w:lang w:val="en-US" w:eastAsia="zh-CN"/>
                    </w:rPr>
                  </w:pPr>
                  <w:r>
                    <w:rPr>
                      <w:rFonts w:hint="eastAsia"/>
                      <w:color w:val="auto"/>
                      <w:kern w:val="0"/>
                      <w:lang w:val="en-US" w:eastAsia="zh-CN"/>
                    </w:rPr>
                    <w:t>存料</w:t>
                  </w:r>
                </w:p>
              </w:tc>
              <w:tc>
                <w:tcPr>
                  <w:tcW w:w="1245" w:type="pct"/>
                  <w:tcBorders>
                    <w:tl2br w:val="nil"/>
                    <w:tr2bl w:val="nil"/>
                  </w:tcBorders>
                  <w:shd w:val="clear" w:color="auto" w:fill="auto"/>
                  <w:vAlign w:val="center"/>
                </w:tcPr>
                <w:p w14:paraId="3A84F10C">
                  <w:pPr>
                    <w:adjustRightInd w:val="0"/>
                    <w:snapToGrid w:val="0"/>
                    <w:jc w:val="center"/>
                    <w:rPr>
                      <w:color w:val="auto"/>
                      <w:kern w:val="0"/>
                    </w:rPr>
                  </w:pPr>
                  <w:r>
                    <w:rPr>
                      <w:color w:val="auto"/>
                      <w:kern w:val="0"/>
                    </w:rPr>
                    <w:t>产气药暂存料斗</w:t>
                  </w:r>
                </w:p>
              </w:tc>
              <w:tc>
                <w:tcPr>
                  <w:tcW w:w="1493" w:type="pct"/>
                  <w:tcBorders>
                    <w:tl2br w:val="nil"/>
                    <w:tr2bl w:val="nil"/>
                  </w:tcBorders>
                  <w:shd w:val="clear" w:color="auto" w:fill="auto"/>
                  <w:vAlign w:val="center"/>
                </w:tcPr>
                <w:p w14:paraId="3A84F10D">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0E">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0F">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10">
                  <w:pPr>
                    <w:adjustRightInd w:val="0"/>
                    <w:snapToGrid w:val="0"/>
                    <w:jc w:val="center"/>
                    <w:rPr>
                      <w:color w:val="auto"/>
                      <w:kern w:val="0"/>
                    </w:rPr>
                  </w:pPr>
                  <w:r>
                    <w:rPr>
                      <w:color w:val="auto"/>
                      <w:kern w:val="0"/>
                    </w:rPr>
                    <w:t>0</w:t>
                  </w:r>
                </w:p>
              </w:tc>
            </w:tr>
            <w:tr w14:paraId="3A84F11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12">
                  <w:pPr>
                    <w:adjustRightInd w:val="0"/>
                    <w:snapToGrid w:val="0"/>
                    <w:jc w:val="center"/>
                    <w:rPr>
                      <w:rFonts w:hint="eastAsia" w:eastAsia="宋体"/>
                      <w:color w:val="auto"/>
                      <w:kern w:val="0"/>
                      <w:lang w:val="en-US" w:eastAsia="zh-CN"/>
                    </w:rPr>
                  </w:pPr>
                  <w:r>
                    <w:rPr>
                      <w:rFonts w:hint="eastAsia"/>
                      <w:color w:val="auto"/>
                      <w:kern w:val="0"/>
                      <w:lang w:val="en-US" w:eastAsia="zh-CN"/>
                    </w:rPr>
                    <w:t>称重</w:t>
                  </w:r>
                </w:p>
              </w:tc>
              <w:tc>
                <w:tcPr>
                  <w:tcW w:w="1245" w:type="pct"/>
                  <w:tcBorders>
                    <w:tl2br w:val="nil"/>
                    <w:tr2bl w:val="nil"/>
                  </w:tcBorders>
                  <w:shd w:val="clear" w:color="auto" w:fill="auto"/>
                  <w:vAlign w:val="center"/>
                </w:tcPr>
                <w:p w14:paraId="3A84F113">
                  <w:pPr>
                    <w:adjustRightInd w:val="0"/>
                    <w:snapToGrid w:val="0"/>
                    <w:jc w:val="center"/>
                    <w:rPr>
                      <w:color w:val="auto"/>
                      <w:kern w:val="0"/>
                    </w:rPr>
                  </w:pPr>
                  <w:r>
                    <w:rPr>
                      <w:color w:val="auto"/>
                      <w:kern w:val="0"/>
                    </w:rPr>
                    <w:t>原材料称重料斗A-1</w:t>
                  </w:r>
                </w:p>
              </w:tc>
              <w:tc>
                <w:tcPr>
                  <w:tcW w:w="1493" w:type="pct"/>
                  <w:tcBorders>
                    <w:tl2br w:val="nil"/>
                    <w:tr2bl w:val="nil"/>
                  </w:tcBorders>
                  <w:shd w:val="clear" w:color="auto" w:fill="auto"/>
                  <w:vAlign w:val="center"/>
                </w:tcPr>
                <w:p w14:paraId="3A84F114">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15">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16">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17">
                  <w:pPr>
                    <w:adjustRightInd w:val="0"/>
                    <w:snapToGrid w:val="0"/>
                    <w:jc w:val="center"/>
                    <w:rPr>
                      <w:color w:val="auto"/>
                      <w:kern w:val="0"/>
                    </w:rPr>
                  </w:pPr>
                  <w:r>
                    <w:rPr>
                      <w:color w:val="auto"/>
                      <w:kern w:val="0"/>
                    </w:rPr>
                    <w:t>0</w:t>
                  </w:r>
                </w:p>
              </w:tc>
            </w:tr>
            <w:tr w14:paraId="3A84F11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19">
                  <w:pPr>
                    <w:adjustRightInd w:val="0"/>
                    <w:snapToGrid w:val="0"/>
                    <w:jc w:val="center"/>
                    <w:rPr>
                      <w:b/>
                      <w:bCs/>
                      <w:color w:val="auto"/>
                      <w:kern w:val="0"/>
                    </w:rPr>
                  </w:pPr>
                  <w:r>
                    <w:rPr>
                      <w:rFonts w:hint="eastAsia"/>
                      <w:color w:val="auto"/>
                      <w:kern w:val="0"/>
                      <w:lang w:val="en-US" w:eastAsia="zh-CN"/>
                    </w:rPr>
                    <w:t>称重</w:t>
                  </w:r>
                </w:p>
              </w:tc>
              <w:tc>
                <w:tcPr>
                  <w:tcW w:w="1245" w:type="pct"/>
                  <w:tcBorders>
                    <w:tl2br w:val="nil"/>
                    <w:tr2bl w:val="nil"/>
                  </w:tcBorders>
                  <w:shd w:val="clear" w:color="auto" w:fill="auto"/>
                  <w:vAlign w:val="center"/>
                </w:tcPr>
                <w:p w14:paraId="3A84F11A">
                  <w:pPr>
                    <w:adjustRightInd w:val="0"/>
                    <w:snapToGrid w:val="0"/>
                    <w:jc w:val="center"/>
                    <w:rPr>
                      <w:color w:val="auto"/>
                      <w:kern w:val="0"/>
                    </w:rPr>
                  </w:pPr>
                  <w:r>
                    <w:rPr>
                      <w:color w:val="auto"/>
                      <w:kern w:val="0"/>
                    </w:rPr>
                    <w:t>原材料称重料斗A-2</w:t>
                  </w:r>
                </w:p>
              </w:tc>
              <w:tc>
                <w:tcPr>
                  <w:tcW w:w="1493" w:type="pct"/>
                  <w:tcBorders>
                    <w:tl2br w:val="nil"/>
                    <w:tr2bl w:val="nil"/>
                  </w:tcBorders>
                  <w:vAlign w:val="center"/>
                </w:tcPr>
                <w:p w14:paraId="3A84F11B">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1C">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1D">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1E">
                  <w:pPr>
                    <w:adjustRightInd w:val="0"/>
                    <w:snapToGrid w:val="0"/>
                    <w:jc w:val="center"/>
                    <w:rPr>
                      <w:color w:val="auto"/>
                      <w:kern w:val="0"/>
                    </w:rPr>
                  </w:pPr>
                  <w:r>
                    <w:rPr>
                      <w:color w:val="auto"/>
                      <w:kern w:val="0"/>
                    </w:rPr>
                    <w:t>0</w:t>
                  </w:r>
                </w:p>
              </w:tc>
            </w:tr>
            <w:tr w14:paraId="3A84F12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20">
                  <w:pPr>
                    <w:adjustRightInd w:val="0"/>
                    <w:snapToGrid w:val="0"/>
                    <w:jc w:val="center"/>
                    <w:rPr>
                      <w:color w:val="auto"/>
                      <w:kern w:val="0"/>
                    </w:rPr>
                  </w:pPr>
                  <w:r>
                    <w:rPr>
                      <w:rFonts w:hint="eastAsia"/>
                      <w:color w:val="auto"/>
                      <w:kern w:val="0"/>
                      <w:lang w:val="en-US" w:eastAsia="zh-CN"/>
                    </w:rPr>
                    <w:t>称重</w:t>
                  </w:r>
                </w:p>
              </w:tc>
              <w:tc>
                <w:tcPr>
                  <w:tcW w:w="1245" w:type="pct"/>
                  <w:tcBorders>
                    <w:tl2br w:val="nil"/>
                    <w:tr2bl w:val="nil"/>
                  </w:tcBorders>
                  <w:shd w:val="clear" w:color="auto" w:fill="auto"/>
                  <w:vAlign w:val="center"/>
                </w:tcPr>
                <w:p w14:paraId="3A84F121">
                  <w:pPr>
                    <w:adjustRightInd w:val="0"/>
                    <w:snapToGrid w:val="0"/>
                    <w:jc w:val="center"/>
                    <w:rPr>
                      <w:color w:val="auto"/>
                      <w:kern w:val="0"/>
                    </w:rPr>
                  </w:pPr>
                  <w:r>
                    <w:rPr>
                      <w:color w:val="auto"/>
                      <w:kern w:val="0"/>
                    </w:rPr>
                    <w:t>原材料称重料斗B-1</w:t>
                  </w:r>
                </w:p>
              </w:tc>
              <w:tc>
                <w:tcPr>
                  <w:tcW w:w="1493" w:type="pct"/>
                  <w:tcBorders>
                    <w:tl2br w:val="nil"/>
                    <w:tr2bl w:val="nil"/>
                  </w:tcBorders>
                  <w:vAlign w:val="center"/>
                </w:tcPr>
                <w:p w14:paraId="3A84F122">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23">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24">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25">
                  <w:pPr>
                    <w:adjustRightInd w:val="0"/>
                    <w:snapToGrid w:val="0"/>
                    <w:jc w:val="center"/>
                    <w:rPr>
                      <w:color w:val="auto"/>
                      <w:kern w:val="0"/>
                    </w:rPr>
                  </w:pPr>
                  <w:r>
                    <w:rPr>
                      <w:color w:val="auto"/>
                      <w:kern w:val="0"/>
                    </w:rPr>
                    <w:t>0</w:t>
                  </w:r>
                </w:p>
              </w:tc>
            </w:tr>
            <w:tr w14:paraId="3A84F12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27">
                  <w:pPr>
                    <w:adjustRightInd w:val="0"/>
                    <w:snapToGrid w:val="0"/>
                    <w:jc w:val="center"/>
                    <w:rPr>
                      <w:color w:val="auto"/>
                      <w:kern w:val="0"/>
                    </w:rPr>
                  </w:pPr>
                  <w:r>
                    <w:rPr>
                      <w:rFonts w:hint="eastAsia"/>
                      <w:color w:val="auto"/>
                      <w:kern w:val="0"/>
                      <w:lang w:val="en-US" w:eastAsia="zh-CN"/>
                    </w:rPr>
                    <w:t>称重</w:t>
                  </w:r>
                </w:p>
              </w:tc>
              <w:tc>
                <w:tcPr>
                  <w:tcW w:w="1245" w:type="pct"/>
                  <w:tcBorders>
                    <w:tl2br w:val="nil"/>
                    <w:tr2bl w:val="nil"/>
                  </w:tcBorders>
                  <w:shd w:val="clear" w:color="auto" w:fill="auto"/>
                  <w:vAlign w:val="center"/>
                </w:tcPr>
                <w:p w14:paraId="3A84F128">
                  <w:pPr>
                    <w:adjustRightInd w:val="0"/>
                    <w:snapToGrid w:val="0"/>
                    <w:jc w:val="center"/>
                    <w:rPr>
                      <w:color w:val="auto"/>
                      <w:kern w:val="0"/>
                    </w:rPr>
                  </w:pPr>
                  <w:r>
                    <w:rPr>
                      <w:color w:val="auto"/>
                      <w:kern w:val="0"/>
                    </w:rPr>
                    <w:t>原材料称重料斗B-2</w:t>
                  </w:r>
                </w:p>
              </w:tc>
              <w:tc>
                <w:tcPr>
                  <w:tcW w:w="1493" w:type="pct"/>
                  <w:tcBorders>
                    <w:tl2br w:val="nil"/>
                    <w:tr2bl w:val="nil"/>
                  </w:tcBorders>
                  <w:vAlign w:val="center"/>
                </w:tcPr>
                <w:p w14:paraId="3A84F129">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2A">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2B">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2C">
                  <w:pPr>
                    <w:adjustRightInd w:val="0"/>
                    <w:snapToGrid w:val="0"/>
                    <w:jc w:val="center"/>
                    <w:rPr>
                      <w:color w:val="auto"/>
                      <w:kern w:val="0"/>
                    </w:rPr>
                  </w:pPr>
                  <w:r>
                    <w:rPr>
                      <w:color w:val="auto"/>
                      <w:kern w:val="0"/>
                    </w:rPr>
                    <w:t>0</w:t>
                  </w:r>
                </w:p>
              </w:tc>
            </w:tr>
            <w:tr w14:paraId="3A84F1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2E">
                  <w:pPr>
                    <w:adjustRightInd w:val="0"/>
                    <w:snapToGrid w:val="0"/>
                    <w:jc w:val="center"/>
                    <w:rPr>
                      <w:rFonts w:hint="eastAsia" w:eastAsia="宋体"/>
                      <w:color w:val="auto"/>
                      <w:kern w:val="0"/>
                      <w:lang w:val="en-US" w:eastAsia="zh-CN"/>
                    </w:rPr>
                  </w:pPr>
                  <w:r>
                    <w:rPr>
                      <w:rFonts w:hint="eastAsia"/>
                      <w:color w:val="auto"/>
                      <w:kern w:val="0"/>
                      <w:lang w:val="en-US" w:eastAsia="zh-CN"/>
                    </w:rPr>
                    <w:t>过滤</w:t>
                  </w:r>
                </w:p>
              </w:tc>
              <w:tc>
                <w:tcPr>
                  <w:tcW w:w="1245" w:type="pct"/>
                  <w:tcBorders>
                    <w:tl2br w:val="nil"/>
                    <w:tr2bl w:val="nil"/>
                  </w:tcBorders>
                  <w:shd w:val="clear" w:color="auto" w:fill="auto"/>
                  <w:vAlign w:val="center"/>
                </w:tcPr>
                <w:p w14:paraId="3A84F12F">
                  <w:pPr>
                    <w:adjustRightInd w:val="0"/>
                    <w:snapToGrid w:val="0"/>
                    <w:jc w:val="center"/>
                    <w:rPr>
                      <w:color w:val="auto"/>
                      <w:kern w:val="0"/>
                    </w:rPr>
                  </w:pPr>
                  <w:r>
                    <w:rPr>
                      <w:color w:val="auto"/>
                      <w:kern w:val="0"/>
                    </w:rPr>
                    <w:t>原材料称重料斗过滤器A-1</w:t>
                  </w:r>
                </w:p>
              </w:tc>
              <w:tc>
                <w:tcPr>
                  <w:tcW w:w="1493" w:type="pct"/>
                  <w:tcBorders>
                    <w:tl2br w:val="nil"/>
                    <w:tr2bl w:val="nil"/>
                  </w:tcBorders>
                  <w:vAlign w:val="center"/>
                </w:tcPr>
                <w:p w14:paraId="3A84F130">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31">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32">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33">
                  <w:pPr>
                    <w:adjustRightInd w:val="0"/>
                    <w:snapToGrid w:val="0"/>
                    <w:jc w:val="center"/>
                    <w:rPr>
                      <w:color w:val="auto"/>
                      <w:kern w:val="0"/>
                    </w:rPr>
                  </w:pPr>
                  <w:r>
                    <w:rPr>
                      <w:color w:val="auto"/>
                      <w:kern w:val="0"/>
                    </w:rPr>
                    <w:t>0</w:t>
                  </w:r>
                </w:p>
              </w:tc>
            </w:tr>
            <w:tr w14:paraId="3A84F1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35">
                  <w:pPr>
                    <w:adjustRightInd w:val="0"/>
                    <w:snapToGrid w:val="0"/>
                    <w:jc w:val="center"/>
                    <w:rPr>
                      <w:rFonts w:hint="eastAsia" w:eastAsia="宋体"/>
                      <w:color w:val="auto"/>
                      <w:kern w:val="0"/>
                      <w:lang w:val="en-US" w:eastAsia="zh-CN"/>
                    </w:rPr>
                  </w:pPr>
                  <w:r>
                    <w:rPr>
                      <w:rFonts w:hint="eastAsia"/>
                      <w:color w:val="auto"/>
                      <w:kern w:val="0"/>
                      <w:lang w:val="en-US" w:eastAsia="zh-CN"/>
                    </w:rPr>
                    <w:t>过滤</w:t>
                  </w:r>
                </w:p>
              </w:tc>
              <w:tc>
                <w:tcPr>
                  <w:tcW w:w="1245" w:type="pct"/>
                  <w:tcBorders>
                    <w:tl2br w:val="nil"/>
                    <w:tr2bl w:val="nil"/>
                  </w:tcBorders>
                  <w:shd w:val="clear" w:color="auto" w:fill="auto"/>
                  <w:vAlign w:val="center"/>
                </w:tcPr>
                <w:p w14:paraId="3A84F136">
                  <w:pPr>
                    <w:adjustRightInd w:val="0"/>
                    <w:snapToGrid w:val="0"/>
                    <w:jc w:val="center"/>
                    <w:rPr>
                      <w:color w:val="auto"/>
                      <w:kern w:val="0"/>
                    </w:rPr>
                  </w:pPr>
                  <w:r>
                    <w:rPr>
                      <w:color w:val="auto"/>
                      <w:kern w:val="0"/>
                    </w:rPr>
                    <w:t>原材料称重料斗过滤器A-2</w:t>
                  </w:r>
                </w:p>
              </w:tc>
              <w:tc>
                <w:tcPr>
                  <w:tcW w:w="1493" w:type="pct"/>
                  <w:tcBorders>
                    <w:tl2br w:val="nil"/>
                    <w:tr2bl w:val="nil"/>
                  </w:tcBorders>
                  <w:vAlign w:val="center"/>
                </w:tcPr>
                <w:p w14:paraId="3A84F137">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38">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39">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3A">
                  <w:pPr>
                    <w:adjustRightInd w:val="0"/>
                    <w:snapToGrid w:val="0"/>
                    <w:jc w:val="center"/>
                    <w:rPr>
                      <w:color w:val="auto"/>
                      <w:kern w:val="0"/>
                    </w:rPr>
                  </w:pPr>
                  <w:r>
                    <w:rPr>
                      <w:color w:val="auto"/>
                      <w:kern w:val="0"/>
                    </w:rPr>
                    <w:t>0</w:t>
                  </w:r>
                </w:p>
              </w:tc>
            </w:tr>
            <w:tr w14:paraId="3A84F14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3C">
                  <w:pPr>
                    <w:adjustRightInd w:val="0"/>
                    <w:snapToGrid w:val="0"/>
                    <w:jc w:val="center"/>
                    <w:rPr>
                      <w:rFonts w:hint="eastAsia" w:eastAsia="宋体"/>
                      <w:color w:val="auto"/>
                      <w:kern w:val="0"/>
                      <w:lang w:val="en-US" w:eastAsia="zh-CN"/>
                    </w:rPr>
                  </w:pPr>
                  <w:r>
                    <w:rPr>
                      <w:rFonts w:hint="eastAsia"/>
                      <w:color w:val="auto"/>
                      <w:kern w:val="0"/>
                      <w:lang w:val="en-US" w:eastAsia="zh-CN"/>
                    </w:rPr>
                    <w:t>过滤</w:t>
                  </w:r>
                </w:p>
              </w:tc>
              <w:tc>
                <w:tcPr>
                  <w:tcW w:w="1245" w:type="pct"/>
                  <w:tcBorders>
                    <w:tl2br w:val="nil"/>
                    <w:tr2bl w:val="nil"/>
                  </w:tcBorders>
                  <w:shd w:val="clear" w:color="auto" w:fill="auto"/>
                  <w:vAlign w:val="center"/>
                </w:tcPr>
                <w:p w14:paraId="3A84F13D">
                  <w:pPr>
                    <w:adjustRightInd w:val="0"/>
                    <w:snapToGrid w:val="0"/>
                    <w:jc w:val="center"/>
                    <w:rPr>
                      <w:color w:val="auto"/>
                      <w:kern w:val="0"/>
                    </w:rPr>
                  </w:pPr>
                  <w:r>
                    <w:rPr>
                      <w:color w:val="auto"/>
                      <w:kern w:val="0"/>
                    </w:rPr>
                    <w:t>原材料称重料斗过滤器B-1</w:t>
                  </w:r>
                </w:p>
              </w:tc>
              <w:tc>
                <w:tcPr>
                  <w:tcW w:w="1493" w:type="pct"/>
                  <w:tcBorders>
                    <w:tl2br w:val="nil"/>
                    <w:tr2bl w:val="nil"/>
                  </w:tcBorders>
                  <w:vAlign w:val="center"/>
                </w:tcPr>
                <w:p w14:paraId="3A84F13E">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3F">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40">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41">
                  <w:pPr>
                    <w:adjustRightInd w:val="0"/>
                    <w:snapToGrid w:val="0"/>
                    <w:jc w:val="center"/>
                    <w:rPr>
                      <w:color w:val="auto"/>
                      <w:kern w:val="0"/>
                    </w:rPr>
                  </w:pPr>
                  <w:r>
                    <w:rPr>
                      <w:color w:val="auto"/>
                      <w:kern w:val="0"/>
                    </w:rPr>
                    <w:t>0</w:t>
                  </w:r>
                </w:p>
              </w:tc>
            </w:tr>
            <w:tr w14:paraId="3A84F14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43">
                  <w:pPr>
                    <w:adjustRightInd w:val="0"/>
                    <w:snapToGrid w:val="0"/>
                    <w:jc w:val="center"/>
                    <w:rPr>
                      <w:rFonts w:hint="eastAsia" w:eastAsia="宋体"/>
                      <w:color w:val="auto"/>
                      <w:kern w:val="0"/>
                      <w:lang w:val="en-US" w:eastAsia="zh-CN"/>
                    </w:rPr>
                  </w:pPr>
                  <w:r>
                    <w:rPr>
                      <w:rFonts w:hint="eastAsia"/>
                      <w:color w:val="auto"/>
                      <w:kern w:val="0"/>
                      <w:lang w:val="en-US" w:eastAsia="zh-CN"/>
                    </w:rPr>
                    <w:t>过滤</w:t>
                  </w:r>
                </w:p>
              </w:tc>
              <w:tc>
                <w:tcPr>
                  <w:tcW w:w="1245" w:type="pct"/>
                  <w:tcBorders>
                    <w:tl2br w:val="nil"/>
                    <w:tr2bl w:val="nil"/>
                  </w:tcBorders>
                  <w:shd w:val="clear" w:color="auto" w:fill="auto"/>
                  <w:vAlign w:val="center"/>
                </w:tcPr>
                <w:p w14:paraId="3A84F144">
                  <w:pPr>
                    <w:adjustRightInd w:val="0"/>
                    <w:snapToGrid w:val="0"/>
                    <w:jc w:val="center"/>
                    <w:rPr>
                      <w:color w:val="auto"/>
                      <w:kern w:val="0"/>
                    </w:rPr>
                  </w:pPr>
                  <w:r>
                    <w:rPr>
                      <w:color w:val="auto"/>
                      <w:kern w:val="0"/>
                    </w:rPr>
                    <w:t>原材料称重料斗过滤器B-2</w:t>
                  </w:r>
                </w:p>
              </w:tc>
              <w:tc>
                <w:tcPr>
                  <w:tcW w:w="1493" w:type="pct"/>
                  <w:tcBorders>
                    <w:tl2br w:val="nil"/>
                    <w:tr2bl w:val="nil"/>
                  </w:tcBorders>
                  <w:vAlign w:val="center"/>
                </w:tcPr>
                <w:p w14:paraId="3A84F145">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46">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47">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48">
                  <w:pPr>
                    <w:adjustRightInd w:val="0"/>
                    <w:snapToGrid w:val="0"/>
                    <w:jc w:val="center"/>
                    <w:rPr>
                      <w:color w:val="auto"/>
                      <w:kern w:val="0"/>
                    </w:rPr>
                  </w:pPr>
                  <w:r>
                    <w:rPr>
                      <w:color w:val="auto"/>
                      <w:kern w:val="0"/>
                    </w:rPr>
                    <w:t>0</w:t>
                  </w:r>
                </w:p>
              </w:tc>
            </w:tr>
            <w:tr w14:paraId="3A84F1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4A">
                  <w:pPr>
                    <w:adjustRightInd w:val="0"/>
                    <w:snapToGrid w:val="0"/>
                    <w:jc w:val="center"/>
                    <w:rPr>
                      <w:rFonts w:hint="eastAsia" w:eastAsia="宋体"/>
                      <w:color w:val="auto"/>
                      <w:kern w:val="0"/>
                      <w:lang w:val="en-US" w:eastAsia="zh-CN"/>
                    </w:rPr>
                  </w:pPr>
                  <w:r>
                    <w:rPr>
                      <w:rFonts w:hint="eastAsia"/>
                      <w:color w:val="auto"/>
                      <w:kern w:val="0"/>
                      <w:lang w:val="en-US" w:eastAsia="zh-CN"/>
                    </w:rPr>
                    <w:t>吸料</w:t>
                  </w:r>
                </w:p>
              </w:tc>
              <w:tc>
                <w:tcPr>
                  <w:tcW w:w="1245" w:type="pct"/>
                  <w:tcBorders>
                    <w:tl2br w:val="nil"/>
                    <w:tr2bl w:val="nil"/>
                  </w:tcBorders>
                  <w:shd w:val="clear" w:color="auto" w:fill="auto"/>
                  <w:vAlign w:val="center"/>
                </w:tcPr>
                <w:p w14:paraId="3A84F14B">
                  <w:pPr>
                    <w:adjustRightInd w:val="0"/>
                    <w:snapToGrid w:val="0"/>
                    <w:jc w:val="center"/>
                    <w:rPr>
                      <w:color w:val="auto"/>
                      <w:kern w:val="0"/>
                    </w:rPr>
                  </w:pPr>
                  <w:r>
                    <w:rPr>
                      <w:color w:val="auto"/>
                      <w:kern w:val="0"/>
                    </w:rPr>
                    <w:t>吸料风机A-1</w:t>
                  </w:r>
                </w:p>
              </w:tc>
              <w:tc>
                <w:tcPr>
                  <w:tcW w:w="1493" w:type="pct"/>
                  <w:tcBorders>
                    <w:tl2br w:val="nil"/>
                    <w:tr2bl w:val="nil"/>
                  </w:tcBorders>
                  <w:vAlign w:val="center"/>
                </w:tcPr>
                <w:p w14:paraId="3A84F14C">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4D">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4E">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4F">
                  <w:pPr>
                    <w:adjustRightInd w:val="0"/>
                    <w:snapToGrid w:val="0"/>
                    <w:jc w:val="center"/>
                    <w:rPr>
                      <w:color w:val="auto"/>
                      <w:kern w:val="0"/>
                    </w:rPr>
                  </w:pPr>
                  <w:r>
                    <w:rPr>
                      <w:color w:val="auto"/>
                      <w:kern w:val="0"/>
                    </w:rPr>
                    <w:t>0</w:t>
                  </w:r>
                </w:p>
              </w:tc>
            </w:tr>
            <w:tr w14:paraId="3A84F15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51">
                  <w:pPr>
                    <w:adjustRightInd w:val="0"/>
                    <w:snapToGrid w:val="0"/>
                    <w:jc w:val="center"/>
                    <w:rPr>
                      <w:color w:val="auto"/>
                      <w:kern w:val="0"/>
                    </w:rPr>
                  </w:pPr>
                  <w:r>
                    <w:rPr>
                      <w:rFonts w:hint="eastAsia"/>
                      <w:color w:val="auto"/>
                      <w:kern w:val="0"/>
                      <w:lang w:val="en-US" w:eastAsia="zh-CN"/>
                    </w:rPr>
                    <w:t>吸料</w:t>
                  </w:r>
                </w:p>
              </w:tc>
              <w:tc>
                <w:tcPr>
                  <w:tcW w:w="1245" w:type="pct"/>
                  <w:tcBorders>
                    <w:tl2br w:val="nil"/>
                    <w:tr2bl w:val="nil"/>
                  </w:tcBorders>
                  <w:shd w:val="clear" w:color="auto" w:fill="auto"/>
                  <w:vAlign w:val="center"/>
                </w:tcPr>
                <w:p w14:paraId="3A84F152">
                  <w:pPr>
                    <w:adjustRightInd w:val="0"/>
                    <w:snapToGrid w:val="0"/>
                    <w:jc w:val="center"/>
                    <w:rPr>
                      <w:color w:val="auto"/>
                      <w:kern w:val="0"/>
                    </w:rPr>
                  </w:pPr>
                  <w:r>
                    <w:rPr>
                      <w:color w:val="auto"/>
                      <w:kern w:val="0"/>
                    </w:rPr>
                    <w:t>吸料风机A-2</w:t>
                  </w:r>
                </w:p>
              </w:tc>
              <w:tc>
                <w:tcPr>
                  <w:tcW w:w="1493" w:type="pct"/>
                  <w:tcBorders>
                    <w:tl2br w:val="nil"/>
                    <w:tr2bl w:val="nil"/>
                  </w:tcBorders>
                  <w:vAlign w:val="center"/>
                </w:tcPr>
                <w:p w14:paraId="3A84F153">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54">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55">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56">
                  <w:pPr>
                    <w:adjustRightInd w:val="0"/>
                    <w:snapToGrid w:val="0"/>
                    <w:jc w:val="center"/>
                    <w:rPr>
                      <w:color w:val="auto"/>
                      <w:kern w:val="0"/>
                    </w:rPr>
                  </w:pPr>
                  <w:r>
                    <w:rPr>
                      <w:color w:val="auto"/>
                      <w:kern w:val="0"/>
                    </w:rPr>
                    <w:t>0</w:t>
                  </w:r>
                </w:p>
              </w:tc>
            </w:tr>
            <w:tr w14:paraId="3A84F1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58">
                  <w:pPr>
                    <w:adjustRightInd w:val="0"/>
                    <w:snapToGrid w:val="0"/>
                    <w:jc w:val="center"/>
                    <w:rPr>
                      <w:color w:val="auto"/>
                      <w:kern w:val="0"/>
                    </w:rPr>
                  </w:pPr>
                  <w:r>
                    <w:rPr>
                      <w:rFonts w:hint="eastAsia"/>
                      <w:color w:val="auto"/>
                      <w:kern w:val="0"/>
                      <w:lang w:val="en-US" w:eastAsia="zh-CN"/>
                    </w:rPr>
                    <w:t>吸料</w:t>
                  </w:r>
                </w:p>
              </w:tc>
              <w:tc>
                <w:tcPr>
                  <w:tcW w:w="1245" w:type="pct"/>
                  <w:tcBorders>
                    <w:tl2br w:val="nil"/>
                    <w:tr2bl w:val="nil"/>
                  </w:tcBorders>
                  <w:shd w:val="clear" w:color="auto" w:fill="auto"/>
                  <w:vAlign w:val="center"/>
                </w:tcPr>
                <w:p w14:paraId="3A84F159">
                  <w:pPr>
                    <w:adjustRightInd w:val="0"/>
                    <w:snapToGrid w:val="0"/>
                    <w:jc w:val="center"/>
                    <w:rPr>
                      <w:color w:val="auto"/>
                      <w:kern w:val="0"/>
                    </w:rPr>
                  </w:pPr>
                  <w:r>
                    <w:rPr>
                      <w:color w:val="auto"/>
                      <w:kern w:val="0"/>
                    </w:rPr>
                    <w:t>吸料风机B-1</w:t>
                  </w:r>
                </w:p>
              </w:tc>
              <w:tc>
                <w:tcPr>
                  <w:tcW w:w="1493" w:type="pct"/>
                  <w:tcBorders>
                    <w:tl2br w:val="nil"/>
                    <w:tr2bl w:val="nil"/>
                  </w:tcBorders>
                  <w:vAlign w:val="center"/>
                </w:tcPr>
                <w:p w14:paraId="3A84F15A">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5B">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5C">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5D">
                  <w:pPr>
                    <w:adjustRightInd w:val="0"/>
                    <w:snapToGrid w:val="0"/>
                    <w:jc w:val="center"/>
                    <w:rPr>
                      <w:color w:val="auto"/>
                      <w:kern w:val="0"/>
                    </w:rPr>
                  </w:pPr>
                  <w:r>
                    <w:rPr>
                      <w:color w:val="auto"/>
                      <w:kern w:val="0"/>
                    </w:rPr>
                    <w:t>0</w:t>
                  </w:r>
                </w:p>
              </w:tc>
            </w:tr>
            <w:tr w14:paraId="3A84F1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5F">
                  <w:pPr>
                    <w:adjustRightInd w:val="0"/>
                    <w:snapToGrid w:val="0"/>
                    <w:jc w:val="center"/>
                    <w:rPr>
                      <w:color w:val="auto"/>
                      <w:kern w:val="0"/>
                    </w:rPr>
                  </w:pPr>
                  <w:r>
                    <w:rPr>
                      <w:rFonts w:hint="eastAsia"/>
                      <w:color w:val="auto"/>
                      <w:kern w:val="0"/>
                      <w:lang w:val="en-US" w:eastAsia="zh-CN"/>
                    </w:rPr>
                    <w:t>吸料</w:t>
                  </w:r>
                </w:p>
              </w:tc>
              <w:tc>
                <w:tcPr>
                  <w:tcW w:w="1245" w:type="pct"/>
                  <w:tcBorders>
                    <w:tl2br w:val="nil"/>
                    <w:tr2bl w:val="nil"/>
                  </w:tcBorders>
                  <w:shd w:val="clear" w:color="auto" w:fill="auto"/>
                  <w:vAlign w:val="center"/>
                </w:tcPr>
                <w:p w14:paraId="3A84F160">
                  <w:pPr>
                    <w:adjustRightInd w:val="0"/>
                    <w:snapToGrid w:val="0"/>
                    <w:jc w:val="center"/>
                    <w:rPr>
                      <w:color w:val="auto"/>
                      <w:kern w:val="0"/>
                    </w:rPr>
                  </w:pPr>
                  <w:r>
                    <w:rPr>
                      <w:color w:val="auto"/>
                      <w:kern w:val="0"/>
                    </w:rPr>
                    <w:t>吸料风机B-2</w:t>
                  </w:r>
                </w:p>
              </w:tc>
              <w:tc>
                <w:tcPr>
                  <w:tcW w:w="1493" w:type="pct"/>
                  <w:tcBorders>
                    <w:tl2br w:val="nil"/>
                    <w:tr2bl w:val="nil"/>
                  </w:tcBorders>
                  <w:vAlign w:val="center"/>
                </w:tcPr>
                <w:p w14:paraId="3A84F161">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62">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63">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64">
                  <w:pPr>
                    <w:adjustRightInd w:val="0"/>
                    <w:snapToGrid w:val="0"/>
                    <w:jc w:val="center"/>
                    <w:rPr>
                      <w:color w:val="auto"/>
                      <w:kern w:val="0"/>
                    </w:rPr>
                  </w:pPr>
                  <w:r>
                    <w:rPr>
                      <w:color w:val="auto"/>
                      <w:kern w:val="0"/>
                    </w:rPr>
                    <w:t>0</w:t>
                  </w:r>
                </w:p>
              </w:tc>
            </w:tr>
            <w:tr w14:paraId="3A84F16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66">
                  <w:pPr>
                    <w:adjustRightInd w:val="0"/>
                    <w:snapToGrid w:val="0"/>
                    <w:jc w:val="center"/>
                    <w:rPr>
                      <w:rFonts w:hint="eastAsia" w:eastAsia="宋体"/>
                      <w:color w:val="auto"/>
                      <w:kern w:val="0"/>
                      <w:lang w:val="en-US" w:eastAsia="zh-CN"/>
                    </w:rPr>
                  </w:pPr>
                  <w:r>
                    <w:rPr>
                      <w:rFonts w:hint="eastAsia"/>
                      <w:color w:val="auto"/>
                      <w:kern w:val="0"/>
                      <w:lang w:val="en-US" w:eastAsia="zh-CN"/>
                    </w:rPr>
                    <w:t>搅拌</w:t>
                  </w:r>
                </w:p>
              </w:tc>
              <w:tc>
                <w:tcPr>
                  <w:tcW w:w="1245" w:type="pct"/>
                  <w:tcBorders>
                    <w:tl2br w:val="nil"/>
                    <w:tr2bl w:val="nil"/>
                  </w:tcBorders>
                  <w:shd w:val="clear" w:color="auto" w:fill="auto"/>
                  <w:vAlign w:val="center"/>
                </w:tcPr>
                <w:p w14:paraId="3A84F167">
                  <w:pPr>
                    <w:adjustRightInd w:val="0"/>
                    <w:snapToGrid w:val="0"/>
                    <w:jc w:val="center"/>
                    <w:rPr>
                      <w:color w:val="auto"/>
                      <w:kern w:val="0"/>
                    </w:rPr>
                  </w:pPr>
                  <w:r>
                    <w:rPr>
                      <w:color w:val="auto"/>
                      <w:kern w:val="0"/>
                    </w:rPr>
                    <w:t>搅拌罐A</w:t>
                  </w:r>
                </w:p>
              </w:tc>
              <w:tc>
                <w:tcPr>
                  <w:tcW w:w="1493" w:type="pct"/>
                  <w:tcBorders>
                    <w:tl2br w:val="nil"/>
                    <w:tr2bl w:val="nil"/>
                  </w:tcBorders>
                  <w:vAlign w:val="center"/>
                </w:tcPr>
                <w:p w14:paraId="3A84F168">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69">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6A">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6B">
                  <w:pPr>
                    <w:adjustRightInd w:val="0"/>
                    <w:snapToGrid w:val="0"/>
                    <w:jc w:val="center"/>
                    <w:rPr>
                      <w:color w:val="auto"/>
                      <w:kern w:val="0"/>
                    </w:rPr>
                  </w:pPr>
                  <w:r>
                    <w:rPr>
                      <w:color w:val="auto"/>
                      <w:kern w:val="0"/>
                    </w:rPr>
                    <w:t>0</w:t>
                  </w:r>
                </w:p>
              </w:tc>
            </w:tr>
            <w:tr w14:paraId="3A84F17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6D">
                  <w:pPr>
                    <w:adjustRightInd w:val="0"/>
                    <w:snapToGrid w:val="0"/>
                    <w:jc w:val="center"/>
                    <w:rPr>
                      <w:rFonts w:hint="eastAsia" w:eastAsia="宋体"/>
                      <w:color w:val="auto"/>
                      <w:kern w:val="0"/>
                      <w:lang w:val="en-US" w:eastAsia="zh-CN"/>
                    </w:rPr>
                  </w:pPr>
                  <w:r>
                    <w:rPr>
                      <w:rFonts w:hint="eastAsia"/>
                      <w:color w:val="auto"/>
                      <w:kern w:val="0"/>
                      <w:lang w:val="en-US" w:eastAsia="zh-CN"/>
                    </w:rPr>
                    <w:t>搅拌</w:t>
                  </w:r>
                </w:p>
              </w:tc>
              <w:tc>
                <w:tcPr>
                  <w:tcW w:w="1245" w:type="pct"/>
                  <w:tcBorders>
                    <w:tl2br w:val="nil"/>
                    <w:tr2bl w:val="nil"/>
                  </w:tcBorders>
                  <w:shd w:val="clear" w:color="auto" w:fill="auto"/>
                  <w:vAlign w:val="center"/>
                </w:tcPr>
                <w:p w14:paraId="3A84F16E">
                  <w:pPr>
                    <w:adjustRightInd w:val="0"/>
                    <w:snapToGrid w:val="0"/>
                    <w:jc w:val="center"/>
                    <w:rPr>
                      <w:color w:val="auto"/>
                      <w:kern w:val="0"/>
                    </w:rPr>
                  </w:pPr>
                  <w:r>
                    <w:rPr>
                      <w:color w:val="auto"/>
                      <w:kern w:val="0"/>
                    </w:rPr>
                    <w:t>搅拌罐B</w:t>
                  </w:r>
                </w:p>
              </w:tc>
              <w:tc>
                <w:tcPr>
                  <w:tcW w:w="1493" w:type="pct"/>
                  <w:tcBorders>
                    <w:tl2br w:val="nil"/>
                    <w:tr2bl w:val="nil"/>
                  </w:tcBorders>
                  <w:vAlign w:val="center"/>
                </w:tcPr>
                <w:p w14:paraId="3A84F16F">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70">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71">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72">
                  <w:pPr>
                    <w:adjustRightInd w:val="0"/>
                    <w:snapToGrid w:val="0"/>
                    <w:jc w:val="center"/>
                    <w:rPr>
                      <w:color w:val="auto"/>
                      <w:kern w:val="0"/>
                    </w:rPr>
                  </w:pPr>
                  <w:r>
                    <w:rPr>
                      <w:color w:val="auto"/>
                      <w:kern w:val="0"/>
                    </w:rPr>
                    <w:t>0</w:t>
                  </w:r>
                </w:p>
              </w:tc>
            </w:tr>
            <w:tr w14:paraId="3A84F17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74">
                  <w:pPr>
                    <w:adjustRightInd w:val="0"/>
                    <w:snapToGrid w:val="0"/>
                    <w:jc w:val="center"/>
                    <w:rPr>
                      <w:rFonts w:hint="eastAsia" w:eastAsia="宋体"/>
                      <w:color w:val="auto"/>
                      <w:kern w:val="0"/>
                      <w:lang w:val="en-US" w:eastAsia="zh-CN"/>
                    </w:rPr>
                  </w:pPr>
                  <w:r>
                    <w:rPr>
                      <w:rFonts w:hint="eastAsia"/>
                      <w:color w:val="auto"/>
                      <w:kern w:val="0"/>
                      <w:lang w:val="en-US" w:eastAsia="zh-CN"/>
                    </w:rPr>
                    <w:t>循环泵</w:t>
                  </w:r>
                </w:p>
              </w:tc>
              <w:tc>
                <w:tcPr>
                  <w:tcW w:w="1245" w:type="pct"/>
                  <w:tcBorders>
                    <w:tl2br w:val="nil"/>
                    <w:tr2bl w:val="nil"/>
                  </w:tcBorders>
                  <w:shd w:val="clear" w:color="auto" w:fill="auto"/>
                  <w:vAlign w:val="center"/>
                </w:tcPr>
                <w:p w14:paraId="3A84F175">
                  <w:pPr>
                    <w:adjustRightInd w:val="0"/>
                    <w:snapToGrid w:val="0"/>
                    <w:jc w:val="center"/>
                    <w:rPr>
                      <w:color w:val="auto"/>
                      <w:kern w:val="0"/>
                    </w:rPr>
                  </w:pPr>
                  <w:r>
                    <w:rPr>
                      <w:color w:val="auto"/>
                      <w:kern w:val="0"/>
                    </w:rPr>
                    <w:t>搅拌罐循环泵A</w:t>
                  </w:r>
                </w:p>
              </w:tc>
              <w:tc>
                <w:tcPr>
                  <w:tcW w:w="1493" w:type="pct"/>
                  <w:tcBorders>
                    <w:tl2br w:val="nil"/>
                    <w:tr2bl w:val="nil"/>
                  </w:tcBorders>
                  <w:vAlign w:val="center"/>
                </w:tcPr>
                <w:p w14:paraId="3A84F176">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77">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78">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79">
                  <w:pPr>
                    <w:adjustRightInd w:val="0"/>
                    <w:snapToGrid w:val="0"/>
                    <w:jc w:val="center"/>
                    <w:rPr>
                      <w:color w:val="auto"/>
                      <w:kern w:val="0"/>
                    </w:rPr>
                  </w:pPr>
                  <w:r>
                    <w:rPr>
                      <w:color w:val="auto"/>
                      <w:kern w:val="0"/>
                    </w:rPr>
                    <w:t>0</w:t>
                  </w:r>
                </w:p>
              </w:tc>
            </w:tr>
            <w:tr w14:paraId="3A84F18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7B">
                  <w:pPr>
                    <w:adjustRightInd w:val="0"/>
                    <w:snapToGrid w:val="0"/>
                    <w:jc w:val="center"/>
                    <w:rPr>
                      <w:rFonts w:hint="eastAsia" w:eastAsia="宋体"/>
                      <w:color w:val="auto"/>
                      <w:kern w:val="0"/>
                      <w:lang w:val="en-US" w:eastAsia="zh-CN"/>
                    </w:rPr>
                  </w:pPr>
                  <w:r>
                    <w:rPr>
                      <w:rFonts w:hint="eastAsia"/>
                      <w:color w:val="auto"/>
                      <w:kern w:val="0"/>
                      <w:lang w:val="en-US" w:eastAsia="zh-CN"/>
                    </w:rPr>
                    <w:t>循环泵</w:t>
                  </w:r>
                </w:p>
              </w:tc>
              <w:tc>
                <w:tcPr>
                  <w:tcW w:w="1245" w:type="pct"/>
                  <w:tcBorders>
                    <w:tl2br w:val="nil"/>
                    <w:tr2bl w:val="nil"/>
                  </w:tcBorders>
                  <w:shd w:val="clear" w:color="auto" w:fill="auto"/>
                  <w:vAlign w:val="center"/>
                </w:tcPr>
                <w:p w14:paraId="3A84F17C">
                  <w:pPr>
                    <w:adjustRightInd w:val="0"/>
                    <w:snapToGrid w:val="0"/>
                    <w:jc w:val="center"/>
                    <w:rPr>
                      <w:color w:val="auto"/>
                      <w:kern w:val="0"/>
                    </w:rPr>
                  </w:pPr>
                  <w:r>
                    <w:rPr>
                      <w:color w:val="auto"/>
                      <w:kern w:val="0"/>
                    </w:rPr>
                    <w:t>搅拌罐循环泵B</w:t>
                  </w:r>
                </w:p>
              </w:tc>
              <w:tc>
                <w:tcPr>
                  <w:tcW w:w="1493" w:type="pct"/>
                  <w:tcBorders>
                    <w:tl2br w:val="nil"/>
                    <w:tr2bl w:val="nil"/>
                  </w:tcBorders>
                  <w:vAlign w:val="center"/>
                </w:tcPr>
                <w:p w14:paraId="3A84F17D">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7E">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7F">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80">
                  <w:pPr>
                    <w:adjustRightInd w:val="0"/>
                    <w:snapToGrid w:val="0"/>
                    <w:jc w:val="center"/>
                    <w:rPr>
                      <w:color w:val="auto"/>
                      <w:kern w:val="0"/>
                    </w:rPr>
                  </w:pPr>
                  <w:r>
                    <w:rPr>
                      <w:color w:val="auto"/>
                      <w:kern w:val="0"/>
                    </w:rPr>
                    <w:t>0</w:t>
                  </w:r>
                </w:p>
              </w:tc>
            </w:tr>
            <w:tr w14:paraId="3A84F1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82">
                  <w:pPr>
                    <w:adjustRightInd w:val="0"/>
                    <w:snapToGrid w:val="0"/>
                    <w:jc w:val="center"/>
                    <w:rPr>
                      <w:rFonts w:hint="eastAsia" w:eastAsia="宋体"/>
                      <w:color w:val="auto"/>
                      <w:kern w:val="0"/>
                      <w:lang w:val="en-US" w:eastAsia="zh-CN"/>
                    </w:rPr>
                  </w:pPr>
                  <w:r>
                    <w:rPr>
                      <w:rFonts w:hint="eastAsia"/>
                      <w:color w:val="auto"/>
                      <w:kern w:val="0"/>
                      <w:lang w:val="en-US" w:eastAsia="zh-CN"/>
                    </w:rPr>
                    <w:t>传输</w:t>
                  </w:r>
                </w:p>
              </w:tc>
              <w:tc>
                <w:tcPr>
                  <w:tcW w:w="1245" w:type="pct"/>
                  <w:tcBorders>
                    <w:tl2br w:val="nil"/>
                    <w:tr2bl w:val="nil"/>
                  </w:tcBorders>
                  <w:shd w:val="clear" w:color="auto" w:fill="auto"/>
                  <w:vAlign w:val="center"/>
                </w:tcPr>
                <w:p w14:paraId="3A84F183">
                  <w:pPr>
                    <w:adjustRightInd w:val="0"/>
                    <w:snapToGrid w:val="0"/>
                    <w:jc w:val="center"/>
                    <w:rPr>
                      <w:color w:val="auto"/>
                      <w:kern w:val="0"/>
                    </w:rPr>
                  </w:pPr>
                  <w:r>
                    <w:rPr>
                      <w:color w:val="auto"/>
                      <w:kern w:val="0"/>
                    </w:rPr>
                    <w:t>供给泵A</w:t>
                  </w:r>
                </w:p>
              </w:tc>
              <w:tc>
                <w:tcPr>
                  <w:tcW w:w="1493" w:type="pct"/>
                  <w:tcBorders>
                    <w:tl2br w:val="nil"/>
                    <w:tr2bl w:val="nil"/>
                  </w:tcBorders>
                  <w:vAlign w:val="center"/>
                </w:tcPr>
                <w:p w14:paraId="3A84F184">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85">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86">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87">
                  <w:pPr>
                    <w:adjustRightInd w:val="0"/>
                    <w:snapToGrid w:val="0"/>
                    <w:jc w:val="center"/>
                    <w:rPr>
                      <w:color w:val="auto"/>
                      <w:kern w:val="0"/>
                    </w:rPr>
                  </w:pPr>
                  <w:r>
                    <w:rPr>
                      <w:color w:val="auto"/>
                      <w:kern w:val="0"/>
                    </w:rPr>
                    <w:t>0</w:t>
                  </w:r>
                </w:p>
              </w:tc>
            </w:tr>
            <w:tr w14:paraId="3A84F18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89">
                  <w:pPr>
                    <w:adjustRightInd w:val="0"/>
                    <w:snapToGrid w:val="0"/>
                    <w:jc w:val="center"/>
                    <w:rPr>
                      <w:rFonts w:hint="eastAsia" w:eastAsia="宋体"/>
                      <w:color w:val="auto"/>
                      <w:kern w:val="0"/>
                      <w:lang w:val="en-US" w:eastAsia="zh-CN"/>
                    </w:rPr>
                  </w:pPr>
                  <w:r>
                    <w:rPr>
                      <w:rFonts w:hint="eastAsia"/>
                      <w:color w:val="auto"/>
                      <w:kern w:val="0"/>
                      <w:lang w:val="en-US" w:eastAsia="zh-CN"/>
                    </w:rPr>
                    <w:t>传输</w:t>
                  </w:r>
                </w:p>
              </w:tc>
              <w:tc>
                <w:tcPr>
                  <w:tcW w:w="1245" w:type="pct"/>
                  <w:tcBorders>
                    <w:tl2br w:val="nil"/>
                    <w:tr2bl w:val="nil"/>
                  </w:tcBorders>
                  <w:shd w:val="clear" w:color="auto" w:fill="auto"/>
                  <w:vAlign w:val="center"/>
                </w:tcPr>
                <w:p w14:paraId="3A84F18A">
                  <w:pPr>
                    <w:adjustRightInd w:val="0"/>
                    <w:snapToGrid w:val="0"/>
                    <w:jc w:val="center"/>
                    <w:rPr>
                      <w:color w:val="auto"/>
                      <w:kern w:val="0"/>
                    </w:rPr>
                  </w:pPr>
                  <w:r>
                    <w:rPr>
                      <w:color w:val="auto"/>
                      <w:kern w:val="0"/>
                    </w:rPr>
                    <w:t>供给泵B</w:t>
                  </w:r>
                </w:p>
              </w:tc>
              <w:tc>
                <w:tcPr>
                  <w:tcW w:w="1493" w:type="pct"/>
                  <w:tcBorders>
                    <w:tl2br w:val="nil"/>
                    <w:tr2bl w:val="nil"/>
                  </w:tcBorders>
                  <w:vAlign w:val="center"/>
                </w:tcPr>
                <w:p w14:paraId="3A84F18B">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8C">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8D">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8E">
                  <w:pPr>
                    <w:adjustRightInd w:val="0"/>
                    <w:snapToGrid w:val="0"/>
                    <w:jc w:val="center"/>
                    <w:rPr>
                      <w:color w:val="auto"/>
                      <w:kern w:val="0"/>
                    </w:rPr>
                  </w:pPr>
                  <w:r>
                    <w:rPr>
                      <w:color w:val="auto"/>
                      <w:kern w:val="0"/>
                    </w:rPr>
                    <w:t>0</w:t>
                  </w:r>
                </w:p>
              </w:tc>
            </w:tr>
            <w:tr w14:paraId="3A84F1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90">
                  <w:pPr>
                    <w:adjustRightInd w:val="0"/>
                    <w:snapToGrid w:val="0"/>
                    <w:jc w:val="center"/>
                    <w:rPr>
                      <w:rFonts w:hint="eastAsia" w:eastAsia="宋体"/>
                      <w:color w:val="auto"/>
                      <w:kern w:val="0"/>
                      <w:lang w:val="en-US" w:eastAsia="zh-CN"/>
                    </w:rPr>
                  </w:pPr>
                  <w:r>
                    <w:rPr>
                      <w:rFonts w:hint="eastAsia"/>
                      <w:color w:val="auto"/>
                      <w:kern w:val="0"/>
                      <w:lang w:val="en-US" w:eastAsia="zh-CN"/>
                    </w:rPr>
                    <w:t>夹套换热</w:t>
                  </w:r>
                </w:p>
              </w:tc>
              <w:tc>
                <w:tcPr>
                  <w:tcW w:w="1245" w:type="pct"/>
                  <w:tcBorders>
                    <w:tl2br w:val="nil"/>
                    <w:tr2bl w:val="nil"/>
                  </w:tcBorders>
                  <w:shd w:val="clear" w:color="auto" w:fill="auto"/>
                  <w:vAlign w:val="center"/>
                </w:tcPr>
                <w:p w14:paraId="3A84F191">
                  <w:pPr>
                    <w:adjustRightInd w:val="0"/>
                    <w:snapToGrid w:val="0"/>
                    <w:jc w:val="center"/>
                    <w:rPr>
                      <w:color w:val="auto"/>
                      <w:kern w:val="0"/>
                    </w:rPr>
                  </w:pPr>
                  <w:r>
                    <w:rPr>
                      <w:color w:val="auto"/>
                      <w:kern w:val="0"/>
                    </w:rPr>
                    <w:t>搅拌罐夹套换热器A</w:t>
                  </w:r>
                </w:p>
              </w:tc>
              <w:tc>
                <w:tcPr>
                  <w:tcW w:w="1493" w:type="pct"/>
                  <w:tcBorders>
                    <w:tl2br w:val="nil"/>
                    <w:tr2bl w:val="nil"/>
                  </w:tcBorders>
                  <w:vAlign w:val="center"/>
                </w:tcPr>
                <w:p w14:paraId="3A84F192">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93">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94">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95">
                  <w:pPr>
                    <w:adjustRightInd w:val="0"/>
                    <w:snapToGrid w:val="0"/>
                    <w:jc w:val="center"/>
                    <w:rPr>
                      <w:color w:val="auto"/>
                      <w:kern w:val="0"/>
                    </w:rPr>
                  </w:pPr>
                  <w:r>
                    <w:rPr>
                      <w:color w:val="auto"/>
                      <w:kern w:val="0"/>
                    </w:rPr>
                    <w:t>0</w:t>
                  </w:r>
                </w:p>
              </w:tc>
            </w:tr>
            <w:tr w14:paraId="3A84F19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97">
                  <w:pPr>
                    <w:adjustRightInd w:val="0"/>
                    <w:snapToGrid w:val="0"/>
                    <w:jc w:val="center"/>
                    <w:rPr>
                      <w:color w:val="auto"/>
                      <w:kern w:val="0"/>
                    </w:rPr>
                  </w:pPr>
                  <w:r>
                    <w:rPr>
                      <w:rFonts w:hint="eastAsia"/>
                      <w:color w:val="auto"/>
                      <w:kern w:val="0"/>
                      <w:lang w:val="en-US" w:eastAsia="zh-CN"/>
                    </w:rPr>
                    <w:t>夹套换热</w:t>
                  </w:r>
                </w:p>
              </w:tc>
              <w:tc>
                <w:tcPr>
                  <w:tcW w:w="1245" w:type="pct"/>
                  <w:tcBorders>
                    <w:tl2br w:val="nil"/>
                    <w:tr2bl w:val="nil"/>
                  </w:tcBorders>
                  <w:shd w:val="clear" w:color="auto" w:fill="auto"/>
                  <w:vAlign w:val="center"/>
                </w:tcPr>
                <w:p w14:paraId="3A84F198">
                  <w:pPr>
                    <w:adjustRightInd w:val="0"/>
                    <w:snapToGrid w:val="0"/>
                    <w:jc w:val="center"/>
                    <w:rPr>
                      <w:color w:val="auto"/>
                      <w:kern w:val="0"/>
                    </w:rPr>
                  </w:pPr>
                  <w:r>
                    <w:rPr>
                      <w:color w:val="auto"/>
                      <w:kern w:val="0"/>
                    </w:rPr>
                    <w:t>搅拌罐夹套换热器B</w:t>
                  </w:r>
                </w:p>
              </w:tc>
              <w:tc>
                <w:tcPr>
                  <w:tcW w:w="1493" w:type="pct"/>
                  <w:tcBorders>
                    <w:tl2br w:val="nil"/>
                    <w:tr2bl w:val="nil"/>
                  </w:tcBorders>
                  <w:vAlign w:val="center"/>
                </w:tcPr>
                <w:p w14:paraId="3A84F199">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9A">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9B">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9C">
                  <w:pPr>
                    <w:adjustRightInd w:val="0"/>
                    <w:snapToGrid w:val="0"/>
                    <w:jc w:val="center"/>
                    <w:rPr>
                      <w:color w:val="auto"/>
                      <w:kern w:val="0"/>
                    </w:rPr>
                  </w:pPr>
                  <w:r>
                    <w:rPr>
                      <w:color w:val="auto"/>
                      <w:kern w:val="0"/>
                    </w:rPr>
                    <w:t>0</w:t>
                  </w:r>
                </w:p>
              </w:tc>
            </w:tr>
            <w:tr w14:paraId="3A84F1A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9E">
                  <w:pPr>
                    <w:adjustRightInd w:val="0"/>
                    <w:snapToGrid w:val="0"/>
                    <w:jc w:val="center"/>
                    <w:rPr>
                      <w:rFonts w:hint="default" w:eastAsia="宋体"/>
                      <w:color w:val="auto"/>
                      <w:kern w:val="0"/>
                      <w:lang w:val="en-US" w:eastAsia="zh-CN"/>
                    </w:rPr>
                  </w:pPr>
                  <w:r>
                    <w:rPr>
                      <w:rFonts w:hint="eastAsia"/>
                      <w:color w:val="auto"/>
                      <w:kern w:val="0"/>
                      <w:lang w:val="en-US" w:eastAsia="zh-CN"/>
                    </w:rPr>
                    <w:t>循环泵</w:t>
                  </w:r>
                </w:p>
              </w:tc>
              <w:tc>
                <w:tcPr>
                  <w:tcW w:w="1245" w:type="pct"/>
                  <w:tcBorders>
                    <w:tl2br w:val="nil"/>
                    <w:tr2bl w:val="nil"/>
                  </w:tcBorders>
                  <w:shd w:val="clear" w:color="auto" w:fill="auto"/>
                  <w:vAlign w:val="center"/>
                </w:tcPr>
                <w:p w14:paraId="3A84F19F">
                  <w:pPr>
                    <w:adjustRightInd w:val="0"/>
                    <w:snapToGrid w:val="0"/>
                    <w:jc w:val="center"/>
                    <w:rPr>
                      <w:color w:val="auto"/>
                      <w:kern w:val="0"/>
                    </w:rPr>
                  </w:pPr>
                  <w:r>
                    <w:rPr>
                      <w:color w:val="auto"/>
                      <w:kern w:val="0"/>
                    </w:rPr>
                    <w:t>搅拌罐夹套循环泵A</w:t>
                  </w:r>
                </w:p>
              </w:tc>
              <w:tc>
                <w:tcPr>
                  <w:tcW w:w="1493" w:type="pct"/>
                  <w:tcBorders>
                    <w:tl2br w:val="nil"/>
                    <w:tr2bl w:val="nil"/>
                  </w:tcBorders>
                  <w:vAlign w:val="center"/>
                </w:tcPr>
                <w:p w14:paraId="3A84F1A0">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A1">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A2">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A3">
                  <w:pPr>
                    <w:adjustRightInd w:val="0"/>
                    <w:snapToGrid w:val="0"/>
                    <w:jc w:val="center"/>
                    <w:rPr>
                      <w:color w:val="auto"/>
                      <w:kern w:val="0"/>
                    </w:rPr>
                  </w:pPr>
                  <w:r>
                    <w:rPr>
                      <w:color w:val="auto"/>
                      <w:kern w:val="0"/>
                    </w:rPr>
                    <w:t>0</w:t>
                  </w:r>
                </w:p>
              </w:tc>
            </w:tr>
            <w:tr w14:paraId="3A84F1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A5">
                  <w:pPr>
                    <w:adjustRightInd w:val="0"/>
                    <w:snapToGrid w:val="0"/>
                    <w:jc w:val="center"/>
                    <w:rPr>
                      <w:rFonts w:hint="eastAsia" w:eastAsia="宋体"/>
                      <w:color w:val="auto"/>
                      <w:kern w:val="0"/>
                      <w:lang w:val="en-US" w:eastAsia="zh-CN"/>
                    </w:rPr>
                  </w:pPr>
                  <w:r>
                    <w:rPr>
                      <w:rFonts w:hint="eastAsia"/>
                      <w:color w:val="auto"/>
                      <w:kern w:val="0"/>
                      <w:lang w:val="en-US" w:eastAsia="zh-CN"/>
                    </w:rPr>
                    <w:t>循环泵</w:t>
                  </w:r>
                </w:p>
              </w:tc>
              <w:tc>
                <w:tcPr>
                  <w:tcW w:w="1245" w:type="pct"/>
                  <w:tcBorders>
                    <w:tl2br w:val="nil"/>
                    <w:tr2bl w:val="nil"/>
                  </w:tcBorders>
                  <w:shd w:val="clear" w:color="auto" w:fill="auto"/>
                  <w:vAlign w:val="center"/>
                </w:tcPr>
                <w:p w14:paraId="3A84F1A6">
                  <w:pPr>
                    <w:adjustRightInd w:val="0"/>
                    <w:snapToGrid w:val="0"/>
                    <w:jc w:val="center"/>
                    <w:rPr>
                      <w:color w:val="auto"/>
                      <w:kern w:val="0"/>
                    </w:rPr>
                  </w:pPr>
                  <w:r>
                    <w:rPr>
                      <w:color w:val="auto"/>
                      <w:kern w:val="0"/>
                    </w:rPr>
                    <w:t>搅拌罐夹套循环泵B</w:t>
                  </w:r>
                </w:p>
              </w:tc>
              <w:tc>
                <w:tcPr>
                  <w:tcW w:w="1493" w:type="pct"/>
                  <w:tcBorders>
                    <w:tl2br w:val="nil"/>
                    <w:tr2bl w:val="nil"/>
                  </w:tcBorders>
                  <w:vAlign w:val="center"/>
                </w:tcPr>
                <w:p w14:paraId="3A84F1A7">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A8">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A9">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AA">
                  <w:pPr>
                    <w:adjustRightInd w:val="0"/>
                    <w:snapToGrid w:val="0"/>
                    <w:jc w:val="center"/>
                    <w:rPr>
                      <w:color w:val="auto"/>
                      <w:kern w:val="0"/>
                    </w:rPr>
                  </w:pPr>
                  <w:r>
                    <w:rPr>
                      <w:color w:val="auto"/>
                      <w:kern w:val="0"/>
                    </w:rPr>
                    <w:t>0</w:t>
                  </w:r>
                </w:p>
              </w:tc>
            </w:tr>
            <w:tr w14:paraId="3A84F1B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AC">
                  <w:pPr>
                    <w:adjustRightInd w:val="0"/>
                    <w:snapToGrid w:val="0"/>
                    <w:jc w:val="center"/>
                    <w:rPr>
                      <w:rFonts w:hint="eastAsia" w:eastAsia="宋体"/>
                      <w:color w:val="auto"/>
                      <w:kern w:val="0"/>
                      <w:lang w:val="en-US" w:eastAsia="zh-CN"/>
                    </w:rPr>
                  </w:pPr>
                  <w:r>
                    <w:rPr>
                      <w:rFonts w:hint="eastAsia"/>
                      <w:color w:val="auto"/>
                      <w:kern w:val="0"/>
                      <w:lang w:val="en-US" w:eastAsia="zh-CN"/>
                    </w:rPr>
                    <w:t>公辅</w:t>
                  </w:r>
                </w:p>
              </w:tc>
              <w:tc>
                <w:tcPr>
                  <w:tcW w:w="1245" w:type="pct"/>
                  <w:tcBorders>
                    <w:tl2br w:val="nil"/>
                    <w:tr2bl w:val="nil"/>
                  </w:tcBorders>
                  <w:shd w:val="clear" w:color="auto" w:fill="auto"/>
                  <w:vAlign w:val="center"/>
                </w:tcPr>
                <w:p w14:paraId="3A84F1AD">
                  <w:pPr>
                    <w:adjustRightInd w:val="0"/>
                    <w:snapToGrid w:val="0"/>
                    <w:jc w:val="center"/>
                    <w:rPr>
                      <w:color w:val="auto"/>
                      <w:kern w:val="0"/>
                    </w:rPr>
                  </w:pPr>
                  <w:r>
                    <w:rPr>
                      <w:color w:val="auto"/>
                      <w:kern w:val="0"/>
                    </w:rPr>
                    <w:t>冷却水箱</w:t>
                  </w:r>
                </w:p>
              </w:tc>
              <w:tc>
                <w:tcPr>
                  <w:tcW w:w="1493" w:type="pct"/>
                  <w:tcBorders>
                    <w:tl2br w:val="nil"/>
                    <w:tr2bl w:val="nil"/>
                  </w:tcBorders>
                  <w:vAlign w:val="center"/>
                </w:tcPr>
                <w:p w14:paraId="3A84F1AE">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AF">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B0">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B1">
                  <w:pPr>
                    <w:adjustRightInd w:val="0"/>
                    <w:snapToGrid w:val="0"/>
                    <w:jc w:val="center"/>
                    <w:rPr>
                      <w:color w:val="auto"/>
                      <w:kern w:val="0"/>
                    </w:rPr>
                  </w:pPr>
                  <w:r>
                    <w:rPr>
                      <w:color w:val="auto"/>
                      <w:kern w:val="0"/>
                    </w:rPr>
                    <w:t>0</w:t>
                  </w:r>
                </w:p>
              </w:tc>
            </w:tr>
            <w:tr w14:paraId="3A84F1B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B3">
                  <w:pPr>
                    <w:adjustRightInd w:val="0"/>
                    <w:snapToGrid w:val="0"/>
                    <w:jc w:val="center"/>
                    <w:rPr>
                      <w:rFonts w:hint="default" w:eastAsia="宋体"/>
                      <w:color w:val="auto"/>
                      <w:kern w:val="0"/>
                      <w:lang w:val="en-US" w:eastAsia="zh-CN"/>
                    </w:rPr>
                  </w:pPr>
                  <w:r>
                    <w:rPr>
                      <w:rFonts w:hint="eastAsia"/>
                      <w:color w:val="auto"/>
                      <w:kern w:val="0"/>
                      <w:lang w:val="en-US" w:eastAsia="zh-CN"/>
                    </w:rPr>
                    <w:t>公辅</w:t>
                  </w:r>
                </w:p>
              </w:tc>
              <w:tc>
                <w:tcPr>
                  <w:tcW w:w="1245" w:type="pct"/>
                  <w:tcBorders>
                    <w:tl2br w:val="nil"/>
                    <w:tr2bl w:val="nil"/>
                  </w:tcBorders>
                  <w:shd w:val="clear" w:color="auto" w:fill="auto"/>
                  <w:vAlign w:val="center"/>
                </w:tcPr>
                <w:p w14:paraId="3A84F1B4">
                  <w:pPr>
                    <w:adjustRightInd w:val="0"/>
                    <w:snapToGrid w:val="0"/>
                    <w:jc w:val="center"/>
                    <w:rPr>
                      <w:color w:val="auto"/>
                      <w:kern w:val="0"/>
                    </w:rPr>
                  </w:pPr>
                  <w:r>
                    <w:rPr>
                      <w:color w:val="auto"/>
                      <w:kern w:val="0"/>
                    </w:rPr>
                    <w:t>密封水箱</w:t>
                  </w:r>
                </w:p>
              </w:tc>
              <w:tc>
                <w:tcPr>
                  <w:tcW w:w="1493" w:type="pct"/>
                  <w:tcBorders>
                    <w:tl2br w:val="nil"/>
                    <w:tr2bl w:val="nil"/>
                  </w:tcBorders>
                  <w:vAlign w:val="center"/>
                </w:tcPr>
                <w:p w14:paraId="3A84F1B5">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B6">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B7">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B8">
                  <w:pPr>
                    <w:adjustRightInd w:val="0"/>
                    <w:snapToGrid w:val="0"/>
                    <w:jc w:val="center"/>
                    <w:rPr>
                      <w:color w:val="auto"/>
                      <w:kern w:val="0"/>
                    </w:rPr>
                  </w:pPr>
                  <w:r>
                    <w:rPr>
                      <w:color w:val="auto"/>
                      <w:kern w:val="0"/>
                    </w:rPr>
                    <w:t>0</w:t>
                  </w:r>
                </w:p>
              </w:tc>
            </w:tr>
            <w:tr w14:paraId="3A84F1C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BA">
                  <w:pPr>
                    <w:adjustRightInd w:val="0"/>
                    <w:snapToGrid w:val="0"/>
                    <w:jc w:val="center"/>
                    <w:rPr>
                      <w:color w:val="auto"/>
                      <w:kern w:val="0"/>
                    </w:rPr>
                  </w:pPr>
                  <w:r>
                    <w:rPr>
                      <w:rFonts w:hint="eastAsia"/>
                      <w:color w:val="auto"/>
                      <w:kern w:val="0"/>
                      <w:lang w:val="en-US" w:eastAsia="zh-CN"/>
                    </w:rPr>
                    <w:t>公辅</w:t>
                  </w:r>
                </w:p>
              </w:tc>
              <w:tc>
                <w:tcPr>
                  <w:tcW w:w="1245" w:type="pct"/>
                  <w:tcBorders>
                    <w:tl2br w:val="nil"/>
                    <w:tr2bl w:val="nil"/>
                  </w:tcBorders>
                  <w:shd w:val="clear" w:color="auto" w:fill="auto"/>
                  <w:vAlign w:val="center"/>
                </w:tcPr>
                <w:p w14:paraId="3A84F1BB">
                  <w:pPr>
                    <w:adjustRightInd w:val="0"/>
                    <w:snapToGrid w:val="0"/>
                    <w:jc w:val="center"/>
                    <w:rPr>
                      <w:color w:val="auto"/>
                      <w:kern w:val="0"/>
                    </w:rPr>
                  </w:pPr>
                  <w:r>
                    <w:rPr>
                      <w:color w:val="auto"/>
                      <w:kern w:val="0"/>
                    </w:rPr>
                    <w:t>冷却水泵</w:t>
                  </w:r>
                </w:p>
              </w:tc>
              <w:tc>
                <w:tcPr>
                  <w:tcW w:w="1493" w:type="pct"/>
                  <w:tcBorders>
                    <w:tl2br w:val="nil"/>
                    <w:tr2bl w:val="nil"/>
                  </w:tcBorders>
                  <w:vAlign w:val="center"/>
                </w:tcPr>
                <w:p w14:paraId="3A84F1BC">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BD">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BE">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BF">
                  <w:pPr>
                    <w:adjustRightInd w:val="0"/>
                    <w:snapToGrid w:val="0"/>
                    <w:jc w:val="center"/>
                    <w:rPr>
                      <w:color w:val="auto"/>
                      <w:kern w:val="0"/>
                    </w:rPr>
                  </w:pPr>
                  <w:r>
                    <w:rPr>
                      <w:color w:val="auto"/>
                      <w:kern w:val="0"/>
                    </w:rPr>
                    <w:t>0</w:t>
                  </w:r>
                </w:p>
              </w:tc>
            </w:tr>
            <w:tr w14:paraId="3A84F1C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C1">
                  <w:pPr>
                    <w:adjustRightInd w:val="0"/>
                    <w:snapToGrid w:val="0"/>
                    <w:jc w:val="center"/>
                    <w:rPr>
                      <w:color w:val="auto"/>
                      <w:kern w:val="0"/>
                    </w:rPr>
                  </w:pPr>
                  <w:r>
                    <w:rPr>
                      <w:rFonts w:hint="eastAsia"/>
                      <w:color w:val="auto"/>
                      <w:kern w:val="0"/>
                      <w:lang w:val="en-US" w:eastAsia="zh-CN"/>
                    </w:rPr>
                    <w:t>公辅</w:t>
                  </w:r>
                </w:p>
              </w:tc>
              <w:tc>
                <w:tcPr>
                  <w:tcW w:w="1245" w:type="pct"/>
                  <w:tcBorders>
                    <w:tl2br w:val="nil"/>
                    <w:tr2bl w:val="nil"/>
                  </w:tcBorders>
                  <w:shd w:val="clear" w:color="auto" w:fill="auto"/>
                  <w:vAlign w:val="center"/>
                </w:tcPr>
                <w:p w14:paraId="3A84F1C2">
                  <w:pPr>
                    <w:adjustRightInd w:val="0"/>
                    <w:snapToGrid w:val="0"/>
                    <w:jc w:val="center"/>
                    <w:rPr>
                      <w:color w:val="auto"/>
                      <w:kern w:val="0"/>
                    </w:rPr>
                  </w:pPr>
                  <w:r>
                    <w:rPr>
                      <w:color w:val="auto"/>
                      <w:kern w:val="0"/>
                    </w:rPr>
                    <w:t>密封水泵</w:t>
                  </w:r>
                </w:p>
              </w:tc>
              <w:tc>
                <w:tcPr>
                  <w:tcW w:w="1493" w:type="pct"/>
                  <w:tcBorders>
                    <w:tl2br w:val="nil"/>
                    <w:tr2bl w:val="nil"/>
                  </w:tcBorders>
                  <w:vAlign w:val="center"/>
                </w:tcPr>
                <w:p w14:paraId="3A84F1C3">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C4">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C5">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C6">
                  <w:pPr>
                    <w:adjustRightInd w:val="0"/>
                    <w:snapToGrid w:val="0"/>
                    <w:jc w:val="center"/>
                    <w:rPr>
                      <w:color w:val="auto"/>
                      <w:kern w:val="0"/>
                    </w:rPr>
                  </w:pPr>
                  <w:r>
                    <w:rPr>
                      <w:color w:val="auto"/>
                      <w:kern w:val="0"/>
                    </w:rPr>
                    <w:t>0</w:t>
                  </w:r>
                </w:p>
              </w:tc>
            </w:tr>
            <w:tr w14:paraId="3A84F1C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C8">
                  <w:pPr>
                    <w:adjustRightInd w:val="0"/>
                    <w:snapToGrid w:val="0"/>
                    <w:jc w:val="center"/>
                    <w:rPr>
                      <w:color w:val="auto"/>
                      <w:kern w:val="0"/>
                    </w:rPr>
                  </w:pPr>
                  <w:r>
                    <w:rPr>
                      <w:rFonts w:hint="eastAsia"/>
                      <w:color w:val="auto"/>
                      <w:kern w:val="0"/>
                      <w:lang w:val="en-US" w:eastAsia="zh-CN"/>
                    </w:rPr>
                    <w:t>公辅</w:t>
                  </w:r>
                </w:p>
              </w:tc>
              <w:tc>
                <w:tcPr>
                  <w:tcW w:w="1245" w:type="pct"/>
                  <w:tcBorders>
                    <w:tl2br w:val="nil"/>
                    <w:tr2bl w:val="nil"/>
                  </w:tcBorders>
                  <w:shd w:val="clear" w:color="auto" w:fill="auto"/>
                  <w:vAlign w:val="center"/>
                </w:tcPr>
                <w:p w14:paraId="3A84F1C9">
                  <w:pPr>
                    <w:adjustRightInd w:val="0"/>
                    <w:snapToGrid w:val="0"/>
                    <w:jc w:val="center"/>
                    <w:rPr>
                      <w:color w:val="auto"/>
                      <w:kern w:val="0"/>
                    </w:rPr>
                  </w:pPr>
                  <w:r>
                    <w:rPr>
                      <w:color w:val="auto"/>
                      <w:kern w:val="0"/>
                    </w:rPr>
                    <w:t>密封水罐换热器</w:t>
                  </w:r>
                </w:p>
              </w:tc>
              <w:tc>
                <w:tcPr>
                  <w:tcW w:w="1493" w:type="pct"/>
                  <w:tcBorders>
                    <w:tl2br w:val="nil"/>
                    <w:tr2bl w:val="nil"/>
                  </w:tcBorders>
                  <w:vAlign w:val="center"/>
                </w:tcPr>
                <w:p w14:paraId="3A84F1CA">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CB">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CC">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CD">
                  <w:pPr>
                    <w:adjustRightInd w:val="0"/>
                    <w:snapToGrid w:val="0"/>
                    <w:jc w:val="center"/>
                    <w:rPr>
                      <w:color w:val="auto"/>
                      <w:kern w:val="0"/>
                    </w:rPr>
                  </w:pPr>
                  <w:r>
                    <w:rPr>
                      <w:color w:val="auto"/>
                      <w:kern w:val="0"/>
                    </w:rPr>
                    <w:t>0</w:t>
                  </w:r>
                </w:p>
              </w:tc>
            </w:tr>
            <w:tr w14:paraId="3A84F1D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CF">
                  <w:pPr>
                    <w:adjustRightInd w:val="0"/>
                    <w:snapToGrid w:val="0"/>
                    <w:jc w:val="center"/>
                    <w:rPr>
                      <w:color w:val="auto"/>
                      <w:kern w:val="0"/>
                    </w:rPr>
                  </w:pPr>
                  <w:r>
                    <w:rPr>
                      <w:rFonts w:hint="eastAsia"/>
                      <w:color w:val="auto"/>
                      <w:kern w:val="0"/>
                      <w:lang w:val="en-US" w:eastAsia="zh-CN"/>
                    </w:rPr>
                    <w:t>公辅</w:t>
                  </w:r>
                </w:p>
              </w:tc>
              <w:tc>
                <w:tcPr>
                  <w:tcW w:w="1245" w:type="pct"/>
                  <w:tcBorders>
                    <w:tl2br w:val="nil"/>
                    <w:tr2bl w:val="nil"/>
                  </w:tcBorders>
                  <w:shd w:val="clear" w:color="auto" w:fill="auto"/>
                  <w:vAlign w:val="center"/>
                </w:tcPr>
                <w:p w14:paraId="3A84F1D0">
                  <w:pPr>
                    <w:adjustRightInd w:val="0"/>
                    <w:snapToGrid w:val="0"/>
                    <w:jc w:val="center"/>
                    <w:rPr>
                      <w:color w:val="auto"/>
                      <w:kern w:val="0"/>
                    </w:rPr>
                  </w:pPr>
                  <w:r>
                    <w:rPr>
                      <w:color w:val="auto"/>
                      <w:kern w:val="0"/>
                    </w:rPr>
                    <w:t>冷冻机</w:t>
                  </w:r>
                </w:p>
              </w:tc>
              <w:tc>
                <w:tcPr>
                  <w:tcW w:w="1493" w:type="pct"/>
                  <w:tcBorders>
                    <w:tl2br w:val="nil"/>
                    <w:tr2bl w:val="nil"/>
                  </w:tcBorders>
                  <w:vAlign w:val="center"/>
                </w:tcPr>
                <w:p w14:paraId="3A84F1D1">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D2">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D3">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D4">
                  <w:pPr>
                    <w:adjustRightInd w:val="0"/>
                    <w:snapToGrid w:val="0"/>
                    <w:jc w:val="center"/>
                    <w:rPr>
                      <w:color w:val="auto"/>
                      <w:kern w:val="0"/>
                    </w:rPr>
                  </w:pPr>
                  <w:r>
                    <w:rPr>
                      <w:color w:val="auto"/>
                      <w:kern w:val="0"/>
                    </w:rPr>
                    <w:t>0</w:t>
                  </w:r>
                </w:p>
              </w:tc>
            </w:tr>
            <w:tr w14:paraId="3A84F1D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D6">
                  <w:pPr>
                    <w:adjustRightInd w:val="0"/>
                    <w:snapToGrid w:val="0"/>
                    <w:jc w:val="center"/>
                    <w:rPr>
                      <w:color w:val="auto"/>
                      <w:kern w:val="0"/>
                    </w:rPr>
                  </w:pPr>
                  <w:r>
                    <w:rPr>
                      <w:rFonts w:hint="eastAsia"/>
                      <w:color w:val="auto"/>
                      <w:kern w:val="0"/>
                      <w:lang w:val="en-US" w:eastAsia="zh-CN"/>
                    </w:rPr>
                    <w:t>公辅</w:t>
                  </w:r>
                </w:p>
              </w:tc>
              <w:tc>
                <w:tcPr>
                  <w:tcW w:w="1245" w:type="pct"/>
                  <w:tcBorders>
                    <w:tl2br w:val="nil"/>
                    <w:tr2bl w:val="nil"/>
                  </w:tcBorders>
                  <w:shd w:val="clear" w:color="auto" w:fill="auto"/>
                  <w:vAlign w:val="center"/>
                </w:tcPr>
                <w:p w14:paraId="3A84F1D7">
                  <w:pPr>
                    <w:adjustRightInd w:val="0"/>
                    <w:snapToGrid w:val="0"/>
                    <w:jc w:val="center"/>
                    <w:rPr>
                      <w:color w:val="auto"/>
                      <w:kern w:val="0"/>
                    </w:rPr>
                  </w:pPr>
                  <w:r>
                    <w:rPr>
                      <w:color w:val="auto"/>
                      <w:kern w:val="0"/>
                    </w:rPr>
                    <w:t>冷冻水泵</w:t>
                  </w:r>
                </w:p>
              </w:tc>
              <w:tc>
                <w:tcPr>
                  <w:tcW w:w="1493" w:type="pct"/>
                  <w:tcBorders>
                    <w:tl2br w:val="nil"/>
                    <w:tr2bl w:val="nil"/>
                  </w:tcBorders>
                  <w:vAlign w:val="center"/>
                </w:tcPr>
                <w:p w14:paraId="3A84F1D8">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D9">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DA">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DB">
                  <w:pPr>
                    <w:adjustRightInd w:val="0"/>
                    <w:snapToGrid w:val="0"/>
                    <w:jc w:val="center"/>
                    <w:rPr>
                      <w:color w:val="auto"/>
                      <w:kern w:val="0"/>
                    </w:rPr>
                  </w:pPr>
                  <w:r>
                    <w:rPr>
                      <w:color w:val="auto"/>
                      <w:kern w:val="0"/>
                    </w:rPr>
                    <w:t>0</w:t>
                  </w:r>
                </w:p>
              </w:tc>
            </w:tr>
            <w:tr w14:paraId="3A84F1E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DD">
                  <w:pPr>
                    <w:adjustRightInd w:val="0"/>
                    <w:snapToGrid w:val="0"/>
                    <w:jc w:val="center"/>
                    <w:rPr>
                      <w:rFonts w:hint="eastAsia" w:eastAsia="宋体"/>
                      <w:color w:val="auto"/>
                      <w:kern w:val="0"/>
                      <w:lang w:val="en-US" w:eastAsia="zh-CN"/>
                    </w:rPr>
                  </w:pPr>
                  <w:r>
                    <w:rPr>
                      <w:rFonts w:hint="eastAsia"/>
                      <w:color w:val="auto"/>
                      <w:kern w:val="0"/>
                      <w:lang w:val="en-US" w:eastAsia="zh-CN"/>
                    </w:rPr>
                    <w:t>加料</w:t>
                  </w:r>
                </w:p>
              </w:tc>
              <w:tc>
                <w:tcPr>
                  <w:tcW w:w="1245" w:type="pct"/>
                  <w:tcBorders>
                    <w:tl2br w:val="nil"/>
                    <w:tr2bl w:val="nil"/>
                  </w:tcBorders>
                  <w:shd w:val="clear" w:color="auto" w:fill="auto"/>
                  <w:vAlign w:val="center"/>
                </w:tcPr>
                <w:p w14:paraId="3A84F1DE">
                  <w:pPr>
                    <w:adjustRightInd w:val="0"/>
                    <w:snapToGrid w:val="0"/>
                    <w:jc w:val="center"/>
                    <w:rPr>
                      <w:color w:val="auto"/>
                      <w:kern w:val="0"/>
                    </w:rPr>
                  </w:pPr>
                  <w:r>
                    <w:rPr>
                      <w:color w:val="auto"/>
                      <w:kern w:val="0"/>
                    </w:rPr>
                    <w:t>喷枪</w:t>
                  </w:r>
                </w:p>
              </w:tc>
              <w:tc>
                <w:tcPr>
                  <w:tcW w:w="1493" w:type="pct"/>
                  <w:tcBorders>
                    <w:tl2br w:val="nil"/>
                    <w:tr2bl w:val="nil"/>
                  </w:tcBorders>
                  <w:vAlign w:val="center"/>
                </w:tcPr>
                <w:p w14:paraId="3A84F1DF">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E0">
                  <w:pPr>
                    <w:adjustRightInd w:val="0"/>
                    <w:snapToGrid w:val="0"/>
                    <w:jc w:val="center"/>
                    <w:rPr>
                      <w:color w:val="auto"/>
                      <w:kern w:val="0"/>
                    </w:rPr>
                  </w:pPr>
                  <w:r>
                    <w:rPr>
                      <w:color w:val="auto"/>
                      <w:kern w:val="0"/>
                    </w:rPr>
                    <w:t>26</w:t>
                  </w:r>
                </w:p>
              </w:tc>
              <w:tc>
                <w:tcPr>
                  <w:tcW w:w="532" w:type="pct"/>
                  <w:tcBorders>
                    <w:tl2br w:val="nil"/>
                    <w:tr2bl w:val="nil"/>
                  </w:tcBorders>
                  <w:shd w:val="clear" w:color="auto" w:fill="auto"/>
                  <w:vAlign w:val="center"/>
                </w:tcPr>
                <w:p w14:paraId="3A84F1E1">
                  <w:pPr>
                    <w:adjustRightInd w:val="0"/>
                    <w:snapToGrid w:val="0"/>
                    <w:jc w:val="center"/>
                    <w:rPr>
                      <w:color w:val="auto"/>
                      <w:kern w:val="0"/>
                    </w:rPr>
                  </w:pPr>
                  <w:r>
                    <w:rPr>
                      <w:color w:val="auto"/>
                      <w:kern w:val="0"/>
                    </w:rPr>
                    <w:t>26</w:t>
                  </w:r>
                </w:p>
              </w:tc>
              <w:tc>
                <w:tcPr>
                  <w:tcW w:w="544" w:type="pct"/>
                  <w:tcBorders>
                    <w:tl2br w:val="nil"/>
                    <w:tr2bl w:val="nil"/>
                  </w:tcBorders>
                  <w:shd w:val="clear" w:color="auto" w:fill="auto"/>
                  <w:vAlign w:val="center"/>
                </w:tcPr>
                <w:p w14:paraId="3A84F1E2">
                  <w:pPr>
                    <w:adjustRightInd w:val="0"/>
                    <w:snapToGrid w:val="0"/>
                    <w:jc w:val="center"/>
                    <w:rPr>
                      <w:color w:val="auto"/>
                      <w:kern w:val="0"/>
                    </w:rPr>
                  </w:pPr>
                  <w:r>
                    <w:rPr>
                      <w:color w:val="auto"/>
                      <w:kern w:val="0"/>
                    </w:rPr>
                    <w:t>0</w:t>
                  </w:r>
                </w:p>
              </w:tc>
            </w:tr>
            <w:tr w14:paraId="3A84F1E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E4">
                  <w:pPr>
                    <w:adjustRightInd w:val="0"/>
                    <w:snapToGrid w:val="0"/>
                    <w:jc w:val="center"/>
                    <w:rPr>
                      <w:rFonts w:hint="eastAsia" w:eastAsia="宋体"/>
                      <w:color w:val="auto"/>
                      <w:kern w:val="0"/>
                      <w:lang w:val="en-US" w:eastAsia="zh-CN"/>
                    </w:rPr>
                  </w:pPr>
                  <w:r>
                    <w:rPr>
                      <w:rFonts w:hint="eastAsia"/>
                      <w:color w:val="auto"/>
                      <w:kern w:val="0"/>
                      <w:lang w:val="en-US" w:eastAsia="zh-CN"/>
                    </w:rPr>
                    <w:t>控制</w:t>
                  </w:r>
                </w:p>
              </w:tc>
              <w:tc>
                <w:tcPr>
                  <w:tcW w:w="1245" w:type="pct"/>
                  <w:tcBorders>
                    <w:tl2br w:val="nil"/>
                    <w:tr2bl w:val="nil"/>
                  </w:tcBorders>
                  <w:shd w:val="clear" w:color="auto" w:fill="auto"/>
                  <w:vAlign w:val="center"/>
                </w:tcPr>
                <w:p w14:paraId="3A84F1E5">
                  <w:pPr>
                    <w:adjustRightInd w:val="0"/>
                    <w:snapToGrid w:val="0"/>
                    <w:jc w:val="center"/>
                    <w:rPr>
                      <w:color w:val="auto"/>
                      <w:kern w:val="0"/>
                    </w:rPr>
                  </w:pPr>
                  <w:r>
                    <w:rPr>
                      <w:color w:val="auto"/>
                      <w:kern w:val="0"/>
                    </w:rPr>
                    <w:t>PLC控制系统</w:t>
                  </w:r>
                </w:p>
              </w:tc>
              <w:tc>
                <w:tcPr>
                  <w:tcW w:w="1493" w:type="pct"/>
                  <w:tcBorders>
                    <w:tl2br w:val="nil"/>
                    <w:tr2bl w:val="nil"/>
                  </w:tcBorders>
                  <w:vAlign w:val="center"/>
                </w:tcPr>
                <w:p w14:paraId="3A84F1E6">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E7">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E8">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E9">
                  <w:pPr>
                    <w:adjustRightInd w:val="0"/>
                    <w:snapToGrid w:val="0"/>
                    <w:jc w:val="center"/>
                    <w:rPr>
                      <w:color w:val="auto"/>
                      <w:kern w:val="0"/>
                    </w:rPr>
                  </w:pPr>
                  <w:r>
                    <w:rPr>
                      <w:color w:val="auto"/>
                      <w:kern w:val="0"/>
                    </w:rPr>
                    <w:t>0</w:t>
                  </w:r>
                </w:p>
              </w:tc>
            </w:tr>
            <w:tr w14:paraId="3A84F1F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EB">
                  <w:pPr>
                    <w:adjustRightInd w:val="0"/>
                    <w:snapToGrid w:val="0"/>
                    <w:jc w:val="center"/>
                    <w:rPr>
                      <w:rFonts w:hint="eastAsia" w:eastAsia="宋体"/>
                      <w:color w:val="auto"/>
                      <w:kern w:val="0"/>
                      <w:lang w:val="en-US" w:eastAsia="zh-CN"/>
                    </w:rPr>
                  </w:pPr>
                  <w:r>
                    <w:rPr>
                      <w:rFonts w:hint="eastAsia"/>
                      <w:color w:val="auto"/>
                      <w:kern w:val="0"/>
                      <w:lang w:val="en-US" w:eastAsia="zh-CN"/>
                    </w:rPr>
                    <w:t>过滤</w:t>
                  </w:r>
                </w:p>
              </w:tc>
              <w:tc>
                <w:tcPr>
                  <w:tcW w:w="1245" w:type="pct"/>
                  <w:tcBorders>
                    <w:tl2br w:val="nil"/>
                    <w:tr2bl w:val="nil"/>
                  </w:tcBorders>
                  <w:shd w:val="clear" w:color="auto" w:fill="auto"/>
                  <w:vAlign w:val="center"/>
                </w:tcPr>
                <w:p w14:paraId="3A84F1EC">
                  <w:pPr>
                    <w:adjustRightInd w:val="0"/>
                    <w:snapToGrid w:val="0"/>
                    <w:jc w:val="center"/>
                    <w:rPr>
                      <w:color w:val="auto"/>
                      <w:kern w:val="0"/>
                    </w:rPr>
                  </w:pPr>
                  <w:r>
                    <w:rPr>
                      <w:color w:val="auto"/>
                      <w:kern w:val="0"/>
                    </w:rPr>
                    <w:t>过滤器</w:t>
                  </w:r>
                </w:p>
              </w:tc>
              <w:tc>
                <w:tcPr>
                  <w:tcW w:w="1493" w:type="pct"/>
                  <w:tcBorders>
                    <w:tl2br w:val="nil"/>
                    <w:tr2bl w:val="nil"/>
                  </w:tcBorders>
                  <w:vAlign w:val="center"/>
                </w:tcPr>
                <w:p w14:paraId="3A84F1ED">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EE">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EF">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F0">
                  <w:pPr>
                    <w:adjustRightInd w:val="0"/>
                    <w:snapToGrid w:val="0"/>
                    <w:jc w:val="center"/>
                    <w:rPr>
                      <w:color w:val="auto"/>
                      <w:kern w:val="0"/>
                    </w:rPr>
                  </w:pPr>
                  <w:r>
                    <w:rPr>
                      <w:color w:val="auto"/>
                      <w:kern w:val="0"/>
                    </w:rPr>
                    <w:t>0</w:t>
                  </w:r>
                </w:p>
              </w:tc>
            </w:tr>
            <w:tr w14:paraId="3A84F1F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F2">
                  <w:pPr>
                    <w:adjustRightInd w:val="0"/>
                    <w:snapToGrid w:val="0"/>
                    <w:jc w:val="center"/>
                    <w:rPr>
                      <w:rFonts w:hint="eastAsia" w:eastAsia="宋体"/>
                      <w:color w:val="auto"/>
                      <w:kern w:val="0"/>
                      <w:lang w:val="en-US" w:eastAsia="zh-CN"/>
                    </w:rPr>
                  </w:pPr>
                  <w:r>
                    <w:rPr>
                      <w:rFonts w:hint="eastAsia"/>
                      <w:color w:val="auto"/>
                      <w:kern w:val="0"/>
                      <w:lang w:val="en-US" w:eastAsia="zh-CN"/>
                    </w:rPr>
                    <w:t>干燥</w:t>
                  </w:r>
                </w:p>
              </w:tc>
              <w:tc>
                <w:tcPr>
                  <w:tcW w:w="1245" w:type="pct"/>
                  <w:tcBorders>
                    <w:tl2br w:val="nil"/>
                    <w:tr2bl w:val="nil"/>
                  </w:tcBorders>
                  <w:shd w:val="clear" w:color="auto" w:fill="auto"/>
                  <w:vAlign w:val="center"/>
                </w:tcPr>
                <w:p w14:paraId="3A84F1F3">
                  <w:pPr>
                    <w:adjustRightInd w:val="0"/>
                    <w:snapToGrid w:val="0"/>
                    <w:jc w:val="center"/>
                    <w:rPr>
                      <w:color w:val="auto"/>
                      <w:kern w:val="0"/>
                    </w:rPr>
                  </w:pPr>
                  <w:r>
                    <w:rPr>
                      <w:color w:val="auto"/>
                      <w:kern w:val="0"/>
                    </w:rPr>
                    <w:t>干燥罐</w:t>
                  </w:r>
                </w:p>
              </w:tc>
              <w:tc>
                <w:tcPr>
                  <w:tcW w:w="1493" w:type="pct"/>
                  <w:tcBorders>
                    <w:tl2br w:val="nil"/>
                    <w:tr2bl w:val="nil"/>
                  </w:tcBorders>
                  <w:vAlign w:val="center"/>
                </w:tcPr>
                <w:p w14:paraId="3A84F1F4">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F5">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F6">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F7">
                  <w:pPr>
                    <w:adjustRightInd w:val="0"/>
                    <w:snapToGrid w:val="0"/>
                    <w:jc w:val="center"/>
                    <w:rPr>
                      <w:color w:val="auto"/>
                      <w:kern w:val="0"/>
                    </w:rPr>
                  </w:pPr>
                  <w:r>
                    <w:rPr>
                      <w:color w:val="auto"/>
                      <w:kern w:val="0"/>
                    </w:rPr>
                    <w:t>0</w:t>
                  </w:r>
                </w:p>
              </w:tc>
            </w:tr>
            <w:tr w14:paraId="3A84F1F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1F9">
                  <w:pPr>
                    <w:adjustRightInd w:val="0"/>
                    <w:snapToGrid w:val="0"/>
                    <w:jc w:val="center"/>
                    <w:rPr>
                      <w:rFonts w:hint="eastAsia" w:eastAsia="宋体"/>
                      <w:color w:val="auto"/>
                      <w:kern w:val="0"/>
                      <w:lang w:val="en-US" w:eastAsia="zh-CN"/>
                    </w:rPr>
                  </w:pPr>
                  <w:r>
                    <w:rPr>
                      <w:rFonts w:hint="eastAsia"/>
                      <w:color w:val="auto"/>
                      <w:kern w:val="0"/>
                      <w:lang w:val="en-US" w:eastAsia="zh-CN"/>
                    </w:rPr>
                    <w:t>除尘</w:t>
                  </w:r>
                </w:p>
              </w:tc>
              <w:tc>
                <w:tcPr>
                  <w:tcW w:w="1245" w:type="pct"/>
                  <w:tcBorders>
                    <w:tl2br w:val="nil"/>
                    <w:tr2bl w:val="nil"/>
                  </w:tcBorders>
                  <w:shd w:val="clear" w:color="auto" w:fill="auto"/>
                  <w:vAlign w:val="center"/>
                </w:tcPr>
                <w:p w14:paraId="3A84F1FA">
                  <w:pPr>
                    <w:adjustRightInd w:val="0"/>
                    <w:snapToGrid w:val="0"/>
                    <w:jc w:val="center"/>
                    <w:rPr>
                      <w:color w:val="auto"/>
                      <w:kern w:val="0"/>
                    </w:rPr>
                  </w:pPr>
                  <w:r>
                    <w:rPr>
                      <w:color w:val="auto"/>
                      <w:kern w:val="0"/>
                    </w:rPr>
                    <w:t>袋式除尘器</w:t>
                  </w:r>
                </w:p>
              </w:tc>
              <w:tc>
                <w:tcPr>
                  <w:tcW w:w="1493" w:type="pct"/>
                  <w:tcBorders>
                    <w:tl2br w:val="nil"/>
                    <w:tr2bl w:val="nil"/>
                  </w:tcBorders>
                  <w:vAlign w:val="center"/>
                </w:tcPr>
                <w:p w14:paraId="3A84F1FB">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1FC">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1FD">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1FE">
                  <w:pPr>
                    <w:adjustRightInd w:val="0"/>
                    <w:snapToGrid w:val="0"/>
                    <w:jc w:val="center"/>
                    <w:rPr>
                      <w:color w:val="auto"/>
                      <w:kern w:val="0"/>
                    </w:rPr>
                  </w:pPr>
                  <w:r>
                    <w:rPr>
                      <w:color w:val="auto"/>
                      <w:kern w:val="0"/>
                    </w:rPr>
                    <w:t>0</w:t>
                  </w:r>
                </w:p>
              </w:tc>
            </w:tr>
            <w:tr w14:paraId="3A84F20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00">
                  <w:pPr>
                    <w:adjustRightInd w:val="0"/>
                    <w:snapToGrid w:val="0"/>
                    <w:jc w:val="center"/>
                    <w:rPr>
                      <w:rFonts w:hint="eastAsia" w:eastAsia="宋体"/>
                      <w:color w:val="auto"/>
                      <w:kern w:val="0"/>
                      <w:lang w:val="en-US" w:eastAsia="zh-CN"/>
                    </w:rPr>
                  </w:pPr>
                  <w:r>
                    <w:rPr>
                      <w:rFonts w:hint="eastAsia"/>
                      <w:color w:val="auto"/>
                      <w:kern w:val="0"/>
                      <w:lang w:val="en-US" w:eastAsia="zh-CN"/>
                    </w:rPr>
                    <w:t>悬浮物料</w:t>
                  </w:r>
                </w:p>
              </w:tc>
              <w:tc>
                <w:tcPr>
                  <w:tcW w:w="1245" w:type="pct"/>
                  <w:tcBorders>
                    <w:tl2br w:val="nil"/>
                    <w:tr2bl w:val="nil"/>
                  </w:tcBorders>
                  <w:shd w:val="clear" w:color="auto" w:fill="auto"/>
                  <w:vAlign w:val="center"/>
                </w:tcPr>
                <w:p w14:paraId="3A84F201">
                  <w:pPr>
                    <w:adjustRightInd w:val="0"/>
                    <w:snapToGrid w:val="0"/>
                    <w:jc w:val="center"/>
                    <w:rPr>
                      <w:color w:val="auto"/>
                      <w:kern w:val="0"/>
                    </w:rPr>
                  </w:pPr>
                  <w:r>
                    <w:rPr>
                      <w:color w:val="auto"/>
                      <w:kern w:val="0"/>
                    </w:rPr>
                    <w:t>流化床</w:t>
                  </w:r>
                </w:p>
              </w:tc>
              <w:tc>
                <w:tcPr>
                  <w:tcW w:w="1493" w:type="pct"/>
                  <w:tcBorders>
                    <w:tl2br w:val="nil"/>
                    <w:tr2bl w:val="nil"/>
                  </w:tcBorders>
                  <w:vAlign w:val="center"/>
                </w:tcPr>
                <w:p w14:paraId="3A84F202">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203">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204">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205">
                  <w:pPr>
                    <w:adjustRightInd w:val="0"/>
                    <w:snapToGrid w:val="0"/>
                    <w:jc w:val="center"/>
                    <w:rPr>
                      <w:color w:val="auto"/>
                      <w:kern w:val="0"/>
                    </w:rPr>
                  </w:pPr>
                  <w:r>
                    <w:rPr>
                      <w:color w:val="auto"/>
                      <w:kern w:val="0"/>
                    </w:rPr>
                    <w:t>0</w:t>
                  </w:r>
                </w:p>
              </w:tc>
            </w:tr>
            <w:tr w14:paraId="3A84F20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07">
                  <w:pPr>
                    <w:adjustRightInd w:val="0"/>
                    <w:snapToGrid w:val="0"/>
                    <w:jc w:val="center"/>
                    <w:rPr>
                      <w:rFonts w:hint="eastAsia" w:eastAsia="宋体"/>
                      <w:color w:val="auto"/>
                      <w:kern w:val="0"/>
                      <w:lang w:val="en-US" w:eastAsia="zh-CN"/>
                    </w:rPr>
                  </w:pPr>
                  <w:r>
                    <w:rPr>
                      <w:rFonts w:hint="eastAsia"/>
                      <w:color w:val="auto"/>
                      <w:kern w:val="0"/>
                      <w:lang w:val="en-US" w:eastAsia="zh-CN"/>
                    </w:rPr>
                    <w:t>加热</w:t>
                  </w:r>
                </w:p>
              </w:tc>
              <w:tc>
                <w:tcPr>
                  <w:tcW w:w="1245" w:type="pct"/>
                  <w:tcBorders>
                    <w:tl2br w:val="nil"/>
                    <w:tr2bl w:val="nil"/>
                  </w:tcBorders>
                  <w:shd w:val="clear" w:color="auto" w:fill="auto"/>
                  <w:vAlign w:val="center"/>
                </w:tcPr>
                <w:p w14:paraId="3A84F208">
                  <w:pPr>
                    <w:adjustRightInd w:val="0"/>
                    <w:snapToGrid w:val="0"/>
                    <w:jc w:val="center"/>
                    <w:rPr>
                      <w:color w:val="auto"/>
                      <w:kern w:val="0"/>
                    </w:rPr>
                  </w:pPr>
                  <w:r>
                    <w:rPr>
                      <w:color w:val="auto"/>
                      <w:kern w:val="0"/>
                    </w:rPr>
                    <w:t>工艺热风加热器</w:t>
                  </w:r>
                </w:p>
              </w:tc>
              <w:tc>
                <w:tcPr>
                  <w:tcW w:w="1493" w:type="pct"/>
                  <w:tcBorders>
                    <w:tl2br w:val="nil"/>
                    <w:tr2bl w:val="nil"/>
                  </w:tcBorders>
                  <w:vAlign w:val="center"/>
                </w:tcPr>
                <w:p w14:paraId="3A84F209">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20A">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20B">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20C">
                  <w:pPr>
                    <w:adjustRightInd w:val="0"/>
                    <w:snapToGrid w:val="0"/>
                    <w:jc w:val="center"/>
                    <w:rPr>
                      <w:color w:val="auto"/>
                      <w:kern w:val="0"/>
                    </w:rPr>
                  </w:pPr>
                  <w:r>
                    <w:rPr>
                      <w:color w:val="auto"/>
                      <w:kern w:val="0"/>
                    </w:rPr>
                    <w:t>0</w:t>
                  </w:r>
                </w:p>
              </w:tc>
            </w:tr>
            <w:tr w14:paraId="3A84F21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0E">
                  <w:pPr>
                    <w:adjustRightInd w:val="0"/>
                    <w:snapToGrid w:val="0"/>
                    <w:jc w:val="center"/>
                    <w:rPr>
                      <w:color w:val="auto"/>
                      <w:kern w:val="0"/>
                    </w:rPr>
                  </w:pPr>
                  <w:r>
                    <w:rPr>
                      <w:rFonts w:hint="eastAsia"/>
                      <w:color w:val="auto"/>
                      <w:kern w:val="0"/>
                      <w:lang w:val="en-US" w:eastAsia="zh-CN"/>
                    </w:rPr>
                    <w:t>公辅</w:t>
                  </w:r>
                </w:p>
              </w:tc>
              <w:tc>
                <w:tcPr>
                  <w:tcW w:w="1245" w:type="pct"/>
                  <w:tcBorders>
                    <w:tl2br w:val="nil"/>
                    <w:tr2bl w:val="nil"/>
                  </w:tcBorders>
                  <w:shd w:val="clear" w:color="auto" w:fill="auto"/>
                  <w:vAlign w:val="center"/>
                </w:tcPr>
                <w:p w14:paraId="3A84F20F">
                  <w:pPr>
                    <w:adjustRightInd w:val="0"/>
                    <w:snapToGrid w:val="0"/>
                    <w:jc w:val="center"/>
                    <w:rPr>
                      <w:color w:val="auto"/>
                      <w:kern w:val="0"/>
                    </w:rPr>
                  </w:pPr>
                  <w:r>
                    <w:rPr>
                      <w:color w:val="auto"/>
                      <w:kern w:val="0"/>
                    </w:rPr>
                    <w:t>菲尔普斯风机</w:t>
                  </w:r>
                </w:p>
              </w:tc>
              <w:tc>
                <w:tcPr>
                  <w:tcW w:w="1493" w:type="pct"/>
                  <w:tcBorders>
                    <w:tl2br w:val="nil"/>
                    <w:tr2bl w:val="nil"/>
                  </w:tcBorders>
                  <w:vAlign w:val="center"/>
                </w:tcPr>
                <w:p w14:paraId="3A84F210">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211">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212">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213">
                  <w:pPr>
                    <w:adjustRightInd w:val="0"/>
                    <w:snapToGrid w:val="0"/>
                    <w:jc w:val="center"/>
                    <w:rPr>
                      <w:color w:val="auto"/>
                      <w:kern w:val="0"/>
                    </w:rPr>
                  </w:pPr>
                  <w:r>
                    <w:rPr>
                      <w:color w:val="auto"/>
                      <w:kern w:val="0"/>
                    </w:rPr>
                    <w:t>0</w:t>
                  </w:r>
                </w:p>
              </w:tc>
            </w:tr>
            <w:tr w14:paraId="3A84F21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15">
                  <w:pPr>
                    <w:adjustRightInd w:val="0"/>
                    <w:snapToGrid w:val="0"/>
                    <w:jc w:val="center"/>
                    <w:rPr>
                      <w:color w:val="auto"/>
                      <w:kern w:val="0"/>
                    </w:rPr>
                  </w:pPr>
                  <w:r>
                    <w:rPr>
                      <w:rFonts w:hint="eastAsia"/>
                      <w:color w:val="auto"/>
                      <w:kern w:val="0"/>
                      <w:lang w:val="en-US" w:eastAsia="zh-CN"/>
                    </w:rPr>
                    <w:t>公辅</w:t>
                  </w:r>
                </w:p>
              </w:tc>
              <w:tc>
                <w:tcPr>
                  <w:tcW w:w="1245" w:type="pct"/>
                  <w:tcBorders>
                    <w:tl2br w:val="nil"/>
                    <w:tr2bl w:val="nil"/>
                  </w:tcBorders>
                  <w:shd w:val="clear" w:color="auto" w:fill="auto"/>
                  <w:vAlign w:val="center"/>
                </w:tcPr>
                <w:p w14:paraId="3A84F216">
                  <w:pPr>
                    <w:adjustRightInd w:val="0"/>
                    <w:snapToGrid w:val="0"/>
                    <w:jc w:val="center"/>
                    <w:rPr>
                      <w:color w:val="auto"/>
                      <w:kern w:val="0"/>
                    </w:rPr>
                  </w:pPr>
                  <w:r>
                    <w:rPr>
                      <w:color w:val="auto"/>
                      <w:kern w:val="0"/>
                    </w:rPr>
                    <w:t>流化床风机</w:t>
                  </w:r>
                </w:p>
              </w:tc>
              <w:tc>
                <w:tcPr>
                  <w:tcW w:w="1493" w:type="pct"/>
                  <w:tcBorders>
                    <w:tl2br w:val="nil"/>
                    <w:tr2bl w:val="nil"/>
                  </w:tcBorders>
                  <w:vAlign w:val="center"/>
                </w:tcPr>
                <w:p w14:paraId="3A84F217">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218">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219">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21A">
                  <w:pPr>
                    <w:adjustRightInd w:val="0"/>
                    <w:snapToGrid w:val="0"/>
                    <w:jc w:val="center"/>
                    <w:rPr>
                      <w:color w:val="auto"/>
                      <w:kern w:val="0"/>
                    </w:rPr>
                  </w:pPr>
                  <w:r>
                    <w:rPr>
                      <w:color w:val="auto"/>
                      <w:kern w:val="0"/>
                    </w:rPr>
                    <w:t>0</w:t>
                  </w:r>
                </w:p>
              </w:tc>
            </w:tr>
            <w:tr w14:paraId="3A84F2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1C">
                  <w:pPr>
                    <w:adjustRightInd w:val="0"/>
                    <w:snapToGrid w:val="0"/>
                    <w:jc w:val="center"/>
                    <w:rPr>
                      <w:rFonts w:hint="eastAsia" w:eastAsia="宋体"/>
                      <w:color w:val="auto"/>
                      <w:kern w:val="0"/>
                      <w:lang w:val="en-US" w:eastAsia="zh-CN"/>
                    </w:rPr>
                  </w:pPr>
                  <w:r>
                    <w:rPr>
                      <w:rFonts w:hint="eastAsia"/>
                      <w:color w:val="auto"/>
                      <w:kern w:val="0"/>
                      <w:lang w:val="en-US" w:eastAsia="zh-CN"/>
                    </w:rPr>
                    <w:t>接料</w:t>
                  </w:r>
                </w:p>
              </w:tc>
              <w:tc>
                <w:tcPr>
                  <w:tcW w:w="1245" w:type="pct"/>
                  <w:tcBorders>
                    <w:tl2br w:val="nil"/>
                    <w:tr2bl w:val="nil"/>
                  </w:tcBorders>
                  <w:shd w:val="clear" w:color="auto" w:fill="auto"/>
                  <w:vAlign w:val="center"/>
                </w:tcPr>
                <w:p w14:paraId="3A84F21D">
                  <w:pPr>
                    <w:adjustRightInd w:val="0"/>
                    <w:snapToGrid w:val="0"/>
                    <w:jc w:val="center"/>
                    <w:rPr>
                      <w:color w:val="auto"/>
                      <w:kern w:val="0"/>
                    </w:rPr>
                  </w:pPr>
                  <w:r>
                    <w:rPr>
                      <w:color w:val="auto"/>
                      <w:kern w:val="0"/>
                    </w:rPr>
                    <w:t>产气药接料斗</w:t>
                  </w:r>
                </w:p>
              </w:tc>
              <w:tc>
                <w:tcPr>
                  <w:tcW w:w="1493" w:type="pct"/>
                  <w:tcBorders>
                    <w:tl2br w:val="nil"/>
                    <w:tr2bl w:val="nil"/>
                  </w:tcBorders>
                  <w:vAlign w:val="center"/>
                </w:tcPr>
                <w:p w14:paraId="3A84F21E">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21F">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220">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221">
                  <w:pPr>
                    <w:adjustRightInd w:val="0"/>
                    <w:snapToGrid w:val="0"/>
                    <w:jc w:val="center"/>
                    <w:rPr>
                      <w:color w:val="auto"/>
                      <w:kern w:val="0"/>
                    </w:rPr>
                  </w:pPr>
                  <w:r>
                    <w:rPr>
                      <w:color w:val="auto"/>
                      <w:kern w:val="0"/>
                    </w:rPr>
                    <w:t>0</w:t>
                  </w:r>
                </w:p>
              </w:tc>
            </w:tr>
            <w:tr w14:paraId="3A84F22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23">
                  <w:pPr>
                    <w:adjustRightInd w:val="0"/>
                    <w:snapToGrid w:val="0"/>
                    <w:jc w:val="center"/>
                    <w:rPr>
                      <w:rFonts w:hint="eastAsia" w:eastAsia="宋体"/>
                      <w:color w:val="auto"/>
                      <w:kern w:val="0"/>
                      <w:lang w:val="en-US" w:eastAsia="zh-CN"/>
                    </w:rPr>
                  </w:pPr>
                  <w:r>
                    <w:rPr>
                      <w:rFonts w:hint="eastAsia"/>
                      <w:color w:val="auto"/>
                      <w:kern w:val="0"/>
                      <w:lang w:val="en-US" w:eastAsia="zh-CN"/>
                    </w:rPr>
                    <w:t>压片</w:t>
                  </w:r>
                </w:p>
              </w:tc>
              <w:tc>
                <w:tcPr>
                  <w:tcW w:w="1245" w:type="pct"/>
                  <w:tcBorders>
                    <w:tl2br w:val="nil"/>
                    <w:tr2bl w:val="nil"/>
                  </w:tcBorders>
                  <w:shd w:val="clear" w:color="auto" w:fill="auto"/>
                  <w:vAlign w:val="center"/>
                </w:tcPr>
                <w:p w14:paraId="3A84F224">
                  <w:pPr>
                    <w:adjustRightInd w:val="0"/>
                    <w:snapToGrid w:val="0"/>
                    <w:jc w:val="center"/>
                    <w:rPr>
                      <w:color w:val="auto"/>
                      <w:kern w:val="0"/>
                    </w:rPr>
                  </w:pPr>
                  <w:r>
                    <w:rPr>
                      <w:color w:val="auto"/>
                      <w:kern w:val="0"/>
                    </w:rPr>
                    <w:t>压片机</w:t>
                  </w:r>
                </w:p>
              </w:tc>
              <w:tc>
                <w:tcPr>
                  <w:tcW w:w="1493" w:type="pct"/>
                  <w:tcBorders>
                    <w:tl2br w:val="nil"/>
                    <w:tr2bl w:val="nil"/>
                  </w:tcBorders>
                  <w:vAlign w:val="center"/>
                </w:tcPr>
                <w:p w14:paraId="3A84F225">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226">
                  <w:pPr>
                    <w:adjustRightInd w:val="0"/>
                    <w:snapToGrid w:val="0"/>
                    <w:jc w:val="center"/>
                    <w:rPr>
                      <w:color w:val="auto"/>
                      <w:kern w:val="0"/>
                    </w:rPr>
                  </w:pPr>
                  <w:r>
                    <w:rPr>
                      <w:color w:val="auto"/>
                      <w:kern w:val="0"/>
                    </w:rPr>
                    <w:t>12</w:t>
                  </w:r>
                </w:p>
              </w:tc>
              <w:tc>
                <w:tcPr>
                  <w:tcW w:w="532" w:type="pct"/>
                  <w:tcBorders>
                    <w:tl2br w:val="nil"/>
                    <w:tr2bl w:val="nil"/>
                  </w:tcBorders>
                  <w:shd w:val="clear" w:color="auto" w:fill="auto"/>
                  <w:vAlign w:val="center"/>
                </w:tcPr>
                <w:p w14:paraId="3A84F227">
                  <w:pPr>
                    <w:adjustRightInd w:val="0"/>
                    <w:snapToGrid w:val="0"/>
                    <w:jc w:val="center"/>
                    <w:rPr>
                      <w:color w:val="auto"/>
                      <w:kern w:val="0"/>
                    </w:rPr>
                  </w:pPr>
                  <w:r>
                    <w:rPr>
                      <w:color w:val="auto"/>
                      <w:kern w:val="0"/>
                    </w:rPr>
                    <w:t>12</w:t>
                  </w:r>
                </w:p>
              </w:tc>
              <w:tc>
                <w:tcPr>
                  <w:tcW w:w="544" w:type="pct"/>
                  <w:tcBorders>
                    <w:tl2br w:val="nil"/>
                    <w:tr2bl w:val="nil"/>
                  </w:tcBorders>
                  <w:shd w:val="clear" w:color="auto" w:fill="auto"/>
                  <w:vAlign w:val="center"/>
                </w:tcPr>
                <w:p w14:paraId="3A84F228">
                  <w:pPr>
                    <w:adjustRightInd w:val="0"/>
                    <w:snapToGrid w:val="0"/>
                    <w:jc w:val="center"/>
                    <w:rPr>
                      <w:color w:val="auto"/>
                      <w:kern w:val="0"/>
                    </w:rPr>
                  </w:pPr>
                  <w:r>
                    <w:rPr>
                      <w:color w:val="auto"/>
                      <w:kern w:val="0"/>
                    </w:rPr>
                    <w:t>0</w:t>
                  </w:r>
                </w:p>
              </w:tc>
            </w:tr>
            <w:tr w14:paraId="3A84F2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2A">
                  <w:pPr>
                    <w:adjustRightInd w:val="0"/>
                    <w:snapToGrid w:val="0"/>
                    <w:jc w:val="center"/>
                    <w:rPr>
                      <w:rFonts w:hint="eastAsia" w:eastAsia="宋体"/>
                      <w:color w:val="auto"/>
                      <w:kern w:val="0"/>
                      <w:lang w:val="en-US" w:eastAsia="zh-CN"/>
                    </w:rPr>
                  </w:pPr>
                  <w:r>
                    <w:rPr>
                      <w:rFonts w:hint="eastAsia"/>
                      <w:color w:val="auto"/>
                      <w:kern w:val="0"/>
                      <w:lang w:val="en-US" w:eastAsia="zh-CN"/>
                    </w:rPr>
                    <w:t>混合</w:t>
                  </w:r>
                </w:p>
              </w:tc>
              <w:tc>
                <w:tcPr>
                  <w:tcW w:w="1245" w:type="pct"/>
                  <w:tcBorders>
                    <w:tl2br w:val="nil"/>
                    <w:tr2bl w:val="nil"/>
                  </w:tcBorders>
                  <w:shd w:val="clear" w:color="auto" w:fill="auto"/>
                  <w:vAlign w:val="center"/>
                </w:tcPr>
                <w:p w14:paraId="3A84F22B">
                  <w:pPr>
                    <w:adjustRightInd w:val="0"/>
                    <w:snapToGrid w:val="0"/>
                    <w:jc w:val="center"/>
                    <w:rPr>
                      <w:color w:val="auto"/>
                      <w:kern w:val="0"/>
                    </w:rPr>
                  </w:pPr>
                  <w:r>
                    <w:rPr>
                      <w:color w:val="auto"/>
                      <w:kern w:val="0"/>
                    </w:rPr>
                    <w:t>混合器</w:t>
                  </w:r>
                </w:p>
              </w:tc>
              <w:tc>
                <w:tcPr>
                  <w:tcW w:w="1493" w:type="pct"/>
                  <w:tcBorders>
                    <w:tl2br w:val="nil"/>
                    <w:tr2bl w:val="nil"/>
                  </w:tcBorders>
                  <w:shd w:val="clear" w:color="auto" w:fill="auto"/>
                  <w:vAlign w:val="center"/>
                </w:tcPr>
                <w:p w14:paraId="3A84F22C">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22D">
                  <w:pPr>
                    <w:adjustRightInd w:val="0"/>
                    <w:snapToGrid w:val="0"/>
                    <w:jc w:val="center"/>
                    <w:rPr>
                      <w:color w:val="auto"/>
                      <w:kern w:val="0"/>
                    </w:rPr>
                  </w:pPr>
                  <w:r>
                    <w:rPr>
                      <w:color w:val="auto"/>
                      <w:kern w:val="0"/>
                    </w:rPr>
                    <w:t>12</w:t>
                  </w:r>
                </w:p>
              </w:tc>
              <w:tc>
                <w:tcPr>
                  <w:tcW w:w="532" w:type="pct"/>
                  <w:tcBorders>
                    <w:tl2br w:val="nil"/>
                    <w:tr2bl w:val="nil"/>
                  </w:tcBorders>
                  <w:shd w:val="clear" w:color="auto" w:fill="auto"/>
                  <w:vAlign w:val="center"/>
                </w:tcPr>
                <w:p w14:paraId="3A84F22E">
                  <w:pPr>
                    <w:adjustRightInd w:val="0"/>
                    <w:snapToGrid w:val="0"/>
                    <w:jc w:val="center"/>
                    <w:rPr>
                      <w:color w:val="auto"/>
                      <w:kern w:val="0"/>
                    </w:rPr>
                  </w:pPr>
                  <w:r>
                    <w:rPr>
                      <w:color w:val="auto"/>
                      <w:kern w:val="0"/>
                    </w:rPr>
                    <w:t>12</w:t>
                  </w:r>
                </w:p>
              </w:tc>
              <w:tc>
                <w:tcPr>
                  <w:tcW w:w="544" w:type="pct"/>
                  <w:tcBorders>
                    <w:tl2br w:val="nil"/>
                    <w:tr2bl w:val="nil"/>
                  </w:tcBorders>
                  <w:shd w:val="clear" w:color="auto" w:fill="auto"/>
                  <w:vAlign w:val="center"/>
                </w:tcPr>
                <w:p w14:paraId="3A84F22F">
                  <w:pPr>
                    <w:adjustRightInd w:val="0"/>
                    <w:snapToGrid w:val="0"/>
                    <w:jc w:val="center"/>
                    <w:rPr>
                      <w:color w:val="auto"/>
                      <w:kern w:val="0"/>
                    </w:rPr>
                  </w:pPr>
                  <w:r>
                    <w:rPr>
                      <w:color w:val="auto"/>
                      <w:kern w:val="0"/>
                    </w:rPr>
                    <w:t>0</w:t>
                  </w:r>
                </w:p>
              </w:tc>
            </w:tr>
            <w:tr w14:paraId="3A84F2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31">
                  <w:pPr>
                    <w:adjustRightInd w:val="0"/>
                    <w:snapToGrid w:val="0"/>
                    <w:jc w:val="center"/>
                    <w:rPr>
                      <w:rFonts w:hint="eastAsia" w:eastAsia="宋体"/>
                      <w:color w:val="auto"/>
                      <w:kern w:val="0"/>
                      <w:lang w:val="en-US" w:eastAsia="zh-CN"/>
                    </w:rPr>
                  </w:pPr>
                  <w:r>
                    <w:rPr>
                      <w:rFonts w:hint="eastAsia"/>
                      <w:color w:val="auto"/>
                      <w:kern w:val="0"/>
                      <w:lang w:val="en-US" w:eastAsia="zh-CN"/>
                    </w:rPr>
                    <w:t>振动</w:t>
                  </w:r>
                </w:p>
              </w:tc>
              <w:tc>
                <w:tcPr>
                  <w:tcW w:w="1245" w:type="pct"/>
                  <w:tcBorders>
                    <w:tl2br w:val="nil"/>
                    <w:tr2bl w:val="nil"/>
                  </w:tcBorders>
                  <w:shd w:val="clear" w:color="auto" w:fill="auto"/>
                  <w:vAlign w:val="center"/>
                </w:tcPr>
                <w:p w14:paraId="3A84F232">
                  <w:pPr>
                    <w:adjustRightInd w:val="0"/>
                    <w:snapToGrid w:val="0"/>
                    <w:jc w:val="center"/>
                    <w:rPr>
                      <w:color w:val="auto"/>
                      <w:kern w:val="0"/>
                    </w:rPr>
                  </w:pPr>
                  <w:r>
                    <w:rPr>
                      <w:color w:val="auto"/>
                      <w:kern w:val="0"/>
                    </w:rPr>
                    <w:t>气动振动器</w:t>
                  </w:r>
                </w:p>
              </w:tc>
              <w:tc>
                <w:tcPr>
                  <w:tcW w:w="1493" w:type="pct"/>
                  <w:tcBorders>
                    <w:tl2br w:val="nil"/>
                    <w:tr2bl w:val="nil"/>
                  </w:tcBorders>
                  <w:vAlign w:val="center"/>
                </w:tcPr>
                <w:p w14:paraId="3A84F233">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234">
                  <w:pPr>
                    <w:adjustRightInd w:val="0"/>
                    <w:snapToGrid w:val="0"/>
                    <w:jc w:val="center"/>
                    <w:rPr>
                      <w:color w:val="auto"/>
                      <w:kern w:val="0"/>
                    </w:rPr>
                  </w:pPr>
                  <w:r>
                    <w:rPr>
                      <w:color w:val="auto"/>
                      <w:kern w:val="0"/>
                    </w:rPr>
                    <w:t>48</w:t>
                  </w:r>
                </w:p>
              </w:tc>
              <w:tc>
                <w:tcPr>
                  <w:tcW w:w="532" w:type="pct"/>
                  <w:tcBorders>
                    <w:tl2br w:val="nil"/>
                    <w:tr2bl w:val="nil"/>
                  </w:tcBorders>
                  <w:shd w:val="clear" w:color="auto" w:fill="auto"/>
                  <w:vAlign w:val="center"/>
                </w:tcPr>
                <w:p w14:paraId="3A84F235">
                  <w:pPr>
                    <w:adjustRightInd w:val="0"/>
                    <w:snapToGrid w:val="0"/>
                    <w:jc w:val="center"/>
                    <w:rPr>
                      <w:color w:val="auto"/>
                      <w:kern w:val="0"/>
                    </w:rPr>
                  </w:pPr>
                  <w:r>
                    <w:rPr>
                      <w:color w:val="auto"/>
                      <w:kern w:val="0"/>
                    </w:rPr>
                    <w:t>48</w:t>
                  </w:r>
                </w:p>
              </w:tc>
              <w:tc>
                <w:tcPr>
                  <w:tcW w:w="544" w:type="pct"/>
                  <w:tcBorders>
                    <w:tl2br w:val="nil"/>
                    <w:tr2bl w:val="nil"/>
                  </w:tcBorders>
                  <w:shd w:val="clear" w:color="auto" w:fill="auto"/>
                  <w:vAlign w:val="center"/>
                </w:tcPr>
                <w:p w14:paraId="3A84F236">
                  <w:pPr>
                    <w:adjustRightInd w:val="0"/>
                    <w:snapToGrid w:val="0"/>
                    <w:jc w:val="center"/>
                    <w:rPr>
                      <w:color w:val="auto"/>
                      <w:kern w:val="0"/>
                    </w:rPr>
                  </w:pPr>
                  <w:r>
                    <w:rPr>
                      <w:color w:val="auto"/>
                      <w:kern w:val="0"/>
                    </w:rPr>
                    <w:t>0</w:t>
                  </w:r>
                </w:p>
              </w:tc>
            </w:tr>
            <w:tr w14:paraId="3A84F23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38">
                  <w:pPr>
                    <w:adjustRightInd w:val="0"/>
                    <w:snapToGrid w:val="0"/>
                    <w:jc w:val="center"/>
                    <w:rPr>
                      <w:rFonts w:hint="eastAsia" w:eastAsia="宋体"/>
                      <w:color w:val="auto"/>
                      <w:kern w:val="0"/>
                      <w:lang w:val="en-US" w:eastAsia="zh-CN"/>
                    </w:rPr>
                  </w:pPr>
                  <w:r>
                    <w:rPr>
                      <w:rFonts w:hint="eastAsia"/>
                      <w:color w:val="auto"/>
                      <w:kern w:val="0"/>
                      <w:lang w:val="en-US" w:eastAsia="zh-CN"/>
                    </w:rPr>
                    <w:t>真空</w:t>
                  </w:r>
                </w:p>
              </w:tc>
              <w:tc>
                <w:tcPr>
                  <w:tcW w:w="1245" w:type="pct"/>
                  <w:tcBorders>
                    <w:tl2br w:val="nil"/>
                    <w:tr2bl w:val="nil"/>
                  </w:tcBorders>
                  <w:shd w:val="clear" w:color="auto" w:fill="auto"/>
                  <w:vAlign w:val="center"/>
                </w:tcPr>
                <w:p w14:paraId="3A84F239">
                  <w:pPr>
                    <w:adjustRightInd w:val="0"/>
                    <w:snapToGrid w:val="0"/>
                    <w:jc w:val="center"/>
                    <w:rPr>
                      <w:color w:val="auto"/>
                      <w:kern w:val="0"/>
                    </w:rPr>
                  </w:pPr>
                  <w:r>
                    <w:rPr>
                      <w:color w:val="auto"/>
                      <w:kern w:val="0"/>
                    </w:rPr>
                    <w:t>工艺真空系统</w:t>
                  </w:r>
                </w:p>
              </w:tc>
              <w:tc>
                <w:tcPr>
                  <w:tcW w:w="1493" w:type="pct"/>
                  <w:tcBorders>
                    <w:tl2br w:val="nil"/>
                    <w:tr2bl w:val="nil"/>
                  </w:tcBorders>
                  <w:vAlign w:val="center"/>
                </w:tcPr>
                <w:p w14:paraId="3A84F23A">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23B">
                  <w:pPr>
                    <w:adjustRightInd w:val="0"/>
                    <w:snapToGrid w:val="0"/>
                    <w:jc w:val="center"/>
                    <w:rPr>
                      <w:color w:val="auto"/>
                      <w:kern w:val="0"/>
                    </w:rPr>
                  </w:pPr>
                  <w:r>
                    <w:rPr>
                      <w:color w:val="auto"/>
                      <w:kern w:val="0"/>
                    </w:rPr>
                    <w:t>12</w:t>
                  </w:r>
                </w:p>
              </w:tc>
              <w:tc>
                <w:tcPr>
                  <w:tcW w:w="532" w:type="pct"/>
                  <w:tcBorders>
                    <w:tl2br w:val="nil"/>
                    <w:tr2bl w:val="nil"/>
                  </w:tcBorders>
                  <w:shd w:val="clear" w:color="auto" w:fill="auto"/>
                  <w:vAlign w:val="center"/>
                </w:tcPr>
                <w:p w14:paraId="3A84F23C">
                  <w:pPr>
                    <w:adjustRightInd w:val="0"/>
                    <w:snapToGrid w:val="0"/>
                    <w:jc w:val="center"/>
                    <w:rPr>
                      <w:color w:val="auto"/>
                      <w:kern w:val="0"/>
                    </w:rPr>
                  </w:pPr>
                  <w:r>
                    <w:rPr>
                      <w:color w:val="auto"/>
                      <w:kern w:val="0"/>
                    </w:rPr>
                    <w:t>12</w:t>
                  </w:r>
                </w:p>
              </w:tc>
              <w:tc>
                <w:tcPr>
                  <w:tcW w:w="544" w:type="pct"/>
                  <w:tcBorders>
                    <w:tl2br w:val="nil"/>
                    <w:tr2bl w:val="nil"/>
                  </w:tcBorders>
                  <w:shd w:val="clear" w:color="auto" w:fill="auto"/>
                  <w:vAlign w:val="center"/>
                </w:tcPr>
                <w:p w14:paraId="3A84F23D">
                  <w:pPr>
                    <w:adjustRightInd w:val="0"/>
                    <w:snapToGrid w:val="0"/>
                    <w:jc w:val="center"/>
                    <w:rPr>
                      <w:color w:val="auto"/>
                      <w:kern w:val="0"/>
                    </w:rPr>
                  </w:pPr>
                  <w:r>
                    <w:rPr>
                      <w:color w:val="auto"/>
                      <w:kern w:val="0"/>
                    </w:rPr>
                    <w:t>0</w:t>
                  </w:r>
                </w:p>
              </w:tc>
            </w:tr>
            <w:tr w14:paraId="3A84F24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3F">
                  <w:pPr>
                    <w:adjustRightInd w:val="0"/>
                    <w:snapToGrid w:val="0"/>
                    <w:jc w:val="center"/>
                    <w:rPr>
                      <w:rFonts w:hint="eastAsia" w:eastAsia="宋体"/>
                      <w:color w:val="auto"/>
                      <w:kern w:val="0"/>
                      <w:lang w:val="en-US" w:eastAsia="zh-CN"/>
                    </w:rPr>
                  </w:pPr>
                  <w:r>
                    <w:rPr>
                      <w:rFonts w:hint="eastAsia"/>
                      <w:color w:val="auto"/>
                      <w:kern w:val="0"/>
                      <w:lang w:val="en-US" w:eastAsia="zh-CN"/>
                    </w:rPr>
                    <w:t>公辅</w:t>
                  </w:r>
                </w:p>
              </w:tc>
              <w:tc>
                <w:tcPr>
                  <w:tcW w:w="1245" w:type="pct"/>
                  <w:tcBorders>
                    <w:tl2br w:val="nil"/>
                    <w:tr2bl w:val="nil"/>
                  </w:tcBorders>
                  <w:shd w:val="clear" w:color="auto" w:fill="auto"/>
                  <w:vAlign w:val="center"/>
                </w:tcPr>
                <w:p w14:paraId="3A84F240">
                  <w:pPr>
                    <w:adjustRightInd w:val="0"/>
                    <w:snapToGrid w:val="0"/>
                    <w:jc w:val="center"/>
                    <w:rPr>
                      <w:color w:val="auto"/>
                      <w:kern w:val="0"/>
                    </w:rPr>
                  </w:pPr>
                  <w:r>
                    <w:rPr>
                      <w:color w:val="auto"/>
                      <w:kern w:val="0"/>
                    </w:rPr>
                    <w:t>空压机</w:t>
                  </w:r>
                </w:p>
              </w:tc>
              <w:tc>
                <w:tcPr>
                  <w:tcW w:w="1493" w:type="pct"/>
                  <w:tcBorders>
                    <w:tl2br w:val="nil"/>
                    <w:tr2bl w:val="nil"/>
                  </w:tcBorders>
                  <w:vAlign w:val="center"/>
                </w:tcPr>
                <w:p w14:paraId="3A84F241">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242">
                  <w:pPr>
                    <w:adjustRightInd w:val="0"/>
                    <w:snapToGrid w:val="0"/>
                    <w:jc w:val="center"/>
                    <w:rPr>
                      <w:color w:val="auto"/>
                      <w:kern w:val="0"/>
                    </w:rPr>
                  </w:pPr>
                  <w:r>
                    <w:rPr>
                      <w:color w:val="auto"/>
                      <w:kern w:val="0"/>
                    </w:rPr>
                    <w:t>6</w:t>
                  </w:r>
                </w:p>
              </w:tc>
              <w:tc>
                <w:tcPr>
                  <w:tcW w:w="532" w:type="pct"/>
                  <w:tcBorders>
                    <w:tl2br w:val="nil"/>
                    <w:tr2bl w:val="nil"/>
                  </w:tcBorders>
                  <w:shd w:val="clear" w:color="auto" w:fill="auto"/>
                  <w:vAlign w:val="center"/>
                </w:tcPr>
                <w:p w14:paraId="3A84F243">
                  <w:pPr>
                    <w:adjustRightInd w:val="0"/>
                    <w:snapToGrid w:val="0"/>
                    <w:jc w:val="center"/>
                    <w:rPr>
                      <w:color w:val="auto"/>
                      <w:kern w:val="0"/>
                    </w:rPr>
                  </w:pPr>
                  <w:r>
                    <w:rPr>
                      <w:color w:val="auto"/>
                      <w:kern w:val="0"/>
                    </w:rPr>
                    <w:t>6</w:t>
                  </w:r>
                </w:p>
              </w:tc>
              <w:tc>
                <w:tcPr>
                  <w:tcW w:w="544" w:type="pct"/>
                  <w:tcBorders>
                    <w:tl2br w:val="nil"/>
                    <w:tr2bl w:val="nil"/>
                  </w:tcBorders>
                  <w:shd w:val="clear" w:color="auto" w:fill="auto"/>
                  <w:vAlign w:val="center"/>
                </w:tcPr>
                <w:p w14:paraId="3A84F244">
                  <w:pPr>
                    <w:adjustRightInd w:val="0"/>
                    <w:snapToGrid w:val="0"/>
                    <w:jc w:val="center"/>
                    <w:rPr>
                      <w:color w:val="auto"/>
                      <w:kern w:val="0"/>
                    </w:rPr>
                  </w:pPr>
                  <w:r>
                    <w:rPr>
                      <w:color w:val="auto"/>
                      <w:kern w:val="0"/>
                    </w:rPr>
                    <w:t>0</w:t>
                  </w:r>
                </w:p>
              </w:tc>
            </w:tr>
            <w:tr w14:paraId="3A84F24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46">
                  <w:pPr>
                    <w:adjustRightInd w:val="0"/>
                    <w:snapToGrid w:val="0"/>
                    <w:jc w:val="center"/>
                    <w:rPr>
                      <w:rFonts w:hint="eastAsia" w:eastAsia="宋体"/>
                      <w:color w:val="auto"/>
                      <w:kern w:val="0"/>
                      <w:lang w:val="en-US" w:eastAsia="zh-CN"/>
                    </w:rPr>
                  </w:pPr>
                  <w:r>
                    <w:rPr>
                      <w:rFonts w:hint="eastAsia"/>
                      <w:color w:val="auto"/>
                      <w:kern w:val="0"/>
                      <w:lang w:val="en-US" w:eastAsia="zh-CN"/>
                    </w:rPr>
                    <w:t>除尘</w:t>
                  </w:r>
                </w:p>
              </w:tc>
              <w:tc>
                <w:tcPr>
                  <w:tcW w:w="1245" w:type="pct"/>
                  <w:tcBorders>
                    <w:tl2br w:val="nil"/>
                    <w:tr2bl w:val="nil"/>
                  </w:tcBorders>
                  <w:shd w:val="clear" w:color="auto" w:fill="auto"/>
                  <w:vAlign w:val="center"/>
                </w:tcPr>
                <w:p w14:paraId="3A84F247">
                  <w:pPr>
                    <w:adjustRightInd w:val="0"/>
                    <w:snapToGrid w:val="0"/>
                    <w:jc w:val="center"/>
                    <w:rPr>
                      <w:color w:val="auto"/>
                      <w:kern w:val="0"/>
                    </w:rPr>
                  </w:pPr>
                  <w:r>
                    <w:rPr>
                      <w:color w:val="auto"/>
                      <w:kern w:val="0"/>
                    </w:rPr>
                    <w:t>湿式除尘器</w:t>
                  </w:r>
                </w:p>
              </w:tc>
              <w:tc>
                <w:tcPr>
                  <w:tcW w:w="1493" w:type="pct"/>
                  <w:tcBorders>
                    <w:tl2br w:val="nil"/>
                    <w:tr2bl w:val="nil"/>
                  </w:tcBorders>
                  <w:vAlign w:val="center"/>
                </w:tcPr>
                <w:p w14:paraId="3A84F248">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249">
                  <w:pPr>
                    <w:adjustRightInd w:val="0"/>
                    <w:snapToGrid w:val="0"/>
                    <w:jc w:val="center"/>
                    <w:rPr>
                      <w:color w:val="auto"/>
                      <w:kern w:val="0"/>
                    </w:rPr>
                  </w:pPr>
                  <w:r>
                    <w:rPr>
                      <w:color w:val="auto"/>
                      <w:kern w:val="0"/>
                    </w:rPr>
                    <w:t>12</w:t>
                  </w:r>
                </w:p>
              </w:tc>
              <w:tc>
                <w:tcPr>
                  <w:tcW w:w="532" w:type="pct"/>
                  <w:tcBorders>
                    <w:tl2br w:val="nil"/>
                    <w:tr2bl w:val="nil"/>
                  </w:tcBorders>
                  <w:shd w:val="clear" w:color="auto" w:fill="auto"/>
                  <w:vAlign w:val="center"/>
                </w:tcPr>
                <w:p w14:paraId="3A84F24A">
                  <w:pPr>
                    <w:adjustRightInd w:val="0"/>
                    <w:snapToGrid w:val="0"/>
                    <w:jc w:val="center"/>
                    <w:rPr>
                      <w:color w:val="auto"/>
                      <w:kern w:val="0"/>
                    </w:rPr>
                  </w:pPr>
                  <w:r>
                    <w:rPr>
                      <w:color w:val="auto"/>
                      <w:kern w:val="0"/>
                    </w:rPr>
                    <w:t>12</w:t>
                  </w:r>
                </w:p>
              </w:tc>
              <w:tc>
                <w:tcPr>
                  <w:tcW w:w="544" w:type="pct"/>
                  <w:tcBorders>
                    <w:tl2br w:val="nil"/>
                    <w:tr2bl w:val="nil"/>
                  </w:tcBorders>
                  <w:shd w:val="clear" w:color="auto" w:fill="auto"/>
                  <w:vAlign w:val="center"/>
                </w:tcPr>
                <w:p w14:paraId="3A84F24B">
                  <w:pPr>
                    <w:adjustRightInd w:val="0"/>
                    <w:snapToGrid w:val="0"/>
                    <w:jc w:val="center"/>
                    <w:rPr>
                      <w:color w:val="auto"/>
                      <w:kern w:val="0"/>
                    </w:rPr>
                  </w:pPr>
                  <w:r>
                    <w:rPr>
                      <w:color w:val="auto"/>
                      <w:kern w:val="0"/>
                    </w:rPr>
                    <w:t>0</w:t>
                  </w:r>
                </w:p>
              </w:tc>
            </w:tr>
            <w:tr w14:paraId="3A84F25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4D">
                  <w:pPr>
                    <w:adjustRightInd w:val="0"/>
                    <w:snapToGrid w:val="0"/>
                    <w:jc w:val="center"/>
                    <w:rPr>
                      <w:rFonts w:hint="eastAsia" w:eastAsia="宋体"/>
                      <w:color w:val="auto"/>
                      <w:kern w:val="0"/>
                      <w:lang w:val="en-US" w:eastAsia="zh-CN"/>
                    </w:rPr>
                  </w:pPr>
                  <w:r>
                    <w:rPr>
                      <w:rFonts w:hint="eastAsia"/>
                      <w:color w:val="auto"/>
                      <w:kern w:val="0"/>
                      <w:lang w:val="en-US" w:eastAsia="zh-CN"/>
                    </w:rPr>
                    <w:t>称量</w:t>
                  </w:r>
                </w:p>
              </w:tc>
              <w:tc>
                <w:tcPr>
                  <w:tcW w:w="1245" w:type="pct"/>
                  <w:tcBorders>
                    <w:tl2br w:val="nil"/>
                    <w:tr2bl w:val="nil"/>
                  </w:tcBorders>
                  <w:shd w:val="clear" w:color="auto" w:fill="auto"/>
                  <w:vAlign w:val="center"/>
                </w:tcPr>
                <w:p w14:paraId="3A84F24E">
                  <w:pPr>
                    <w:adjustRightInd w:val="0"/>
                    <w:snapToGrid w:val="0"/>
                    <w:jc w:val="center"/>
                    <w:rPr>
                      <w:color w:val="auto"/>
                      <w:kern w:val="0"/>
                    </w:rPr>
                  </w:pPr>
                  <w:r>
                    <w:rPr>
                      <w:color w:val="auto"/>
                      <w:kern w:val="0"/>
                    </w:rPr>
                    <w:t>天平</w:t>
                  </w:r>
                </w:p>
              </w:tc>
              <w:tc>
                <w:tcPr>
                  <w:tcW w:w="1493" w:type="pct"/>
                  <w:tcBorders>
                    <w:tl2br w:val="nil"/>
                    <w:tr2bl w:val="nil"/>
                  </w:tcBorders>
                  <w:vAlign w:val="center"/>
                </w:tcPr>
                <w:p w14:paraId="3A84F24F">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250">
                  <w:pPr>
                    <w:adjustRightInd w:val="0"/>
                    <w:snapToGrid w:val="0"/>
                    <w:jc w:val="center"/>
                    <w:rPr>
                      <w:color w:val="auto"/>
                      <w:kern w:val="0"/>
                    </w:rPr>
                  </w:pPr>
                  <w:r>
                    <w:rPr>
                      <w:color w:val="auto"/>
                      <w:kern w:val="0"/>
                    </w:rPr>
                    <w:t>48</w:t>
                  </w:r>
                </w:p>
              </w:tc>
              <w:tc>
                <w:tcPr>
                  <w:tcW w:w="532" w:type="pct"/>
                  <w:tcBorders>
                    <w:tl2br w:val="nil"/>
                    <w:tr2bl w:val="nil"/>
                  </w:tcBorders>
                  <w:shd w:val="clear" w:color="auto" w:fill="auto"/>
                  <w:vAlign w:val="center"/>
                </w:tcPr>
                <w:p w14:paraId="3A84F251">
                  <w:pPr>
                    <w:adjustRightInd w:val="0"/>
                    <w:snapToGrid w:val="0"/>
                    <w:jc w:val="center"/>
                    <w:rPr>
                      <w:color w:val="auto"/>
                      <w:kern w:val="0"/>
                    </w:rPr>
                  </w:pPr>
                  <w:r>
                    <w:rPr>
                      <w:color w:val="auto"/>
                      <w:kern w:val="0"/>
                    </w:rPr>
                    <w:t>48</w:t>
                  </w:r>
                </w:p>
              </w:tc>
              <w:tc>
                <w:tcPr>
                  <w:tcW w:w="544" w:type="pct"/>
                  <w:tcBorders>
                    <w:tl2br w:val="nil"/>
                    <w:tr2bl w:val="nil"/>
                  </w:tcBorders>
                  <w:shd w:val="clear" w:color="auto" w:fill="auto"/>
                  <w:vAlign w:val="center"/>
                </w:tcPr>
                <w:p w14:paraId="3A84F252">
                  <w:pPr>
                    <w:adjustRightInd w:val="0"/>
                    <w:snapToGrid w:val="0"/>
                    <w:jc w:val="center"/>
                    <w:rPr>
                      <w:color w:val="auto"/>
                      <w:kern w:val="0"/>
                    </w:rPr>
                  </w:pPr>
                  <w:r>
                    <w:rPr>
                      <w:color w:val="auto"/>
                      <w:kern w:val="0"/>
                    </w:rPr>
                    <w:t>0</w:t>
                  </w:r>
                </w:p>
              </w:tc>
            </w:tr>
            <w:tr w14:paraId="3A84F25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54">
                  <w:pPr>
                    <w:adjustRightInd w:val="0"/>
                    <w:snapToGrid w:val="0"/>
                    <w:jc w:val="center"/>
                    <w:rPr>
                      <w:rFonts w:hint="default" w:eastAsia="宋体"/>
                      <w:color w:val="auto"/>
                      <w:kern w:val="0"/>
                      <w:lang w:val="en-US" w:eastAsia="zh-CN"/>
                    </w:rPr>
                  </w:pPr>
                  <w:r>
                    <w:rPr>
                      <w:rFonts w:hint="eastAsia"/>
                      <w:color w:val="auto"/>
                      <w:kern w:val="0"/>
                      <w:lang w:val="en-US" w:eastAsia="zh-CN"/>
                    </w:rPr>
                    <w:t>打印标签</w:t>
                  </w:r>
                </w:p>
              </w:tc>
              <w:tc>
                <w:tcPr>
                  <w:tcW w:w="1245" w:type="pct"/>
                  <w:tcBorders>
                    <w:tl2br w:val="nil"/>
                    <w:tr2bl w:val="nil"/>
                  </w:tcBorders>
                  <w:shd w:val="clear" w:color="auto" w:fill="auto"/>
                  <w:vAlign w:val="center"/>
                </w:tcPr>
                <w:p w14:paraId="3A84F255">
                  <w:pPr>
                    <w:adjustRightInd w:val="0"/>
                    <w:snapToGrid w:val="0"/>
                    <w:jc w:val="center"/>
                    <w:rPr>
                      <w:color w:val="auto"/>
                      <w:kern w:val="0"/>
                    </w:rPr>
                  </w:pPr>
                  <w:r>
                    <w:rPr>
                      <w:color w:val="auto"/>
                      <w:kern w:val="0"/>
                    </w:rPr>
                    <w:t>标签打印机</w:t>
                  </w:r>
                </w:p>
              </w:tc>
              <w:tc>
                <w:tcPr>
                  <w:tcW w:w="1493" w:type="pct"/>
                  <w:tcBorders>
                    <w:tl2br w:val="nil"/>
                    <w:tr2bl w:val="nil"/>
                  </w:tcBorders>
                  <w:vAlign w:val="center"/>
                </w:tcPr>
                <w:p w14:paraId="3A84F256">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257">
                  <w:pPr>
                    <w:adjustRightInd w:val="0"/>
                    <w:snapToGrid w:val="0"/>
                    <w:jc w:val="center"/>
                    <w:rPr>
                      <w:color w:val="auto"/>
                      <w:kern w:val="0"/>
                    </w:rPr>
                  </w:pPr>
                  <w:r>
                    <w:rPr>
                      <w:color w:val="auto"/>
                      <w:kern w:val="0"/>
                    </w:rPr>
                    <w:t>24</w:t>
                  </w:r>
                </w:p>
              </w:tc>
              <w:tc>
                <w:tcPr>
                  <w:tcW w:w="532" w:type="pct"/>
                  <w:tcBorders>
                    <w:tl2br w:val="nil"/>
                    <w:tr2bl w:val="nil"/>
                  </w:tcBorders>
                  <w:shd w:val="clear" w:color="auto" w:fill="auto"/>
                  <w:vAlign w:val="center"/>
                </w:tcPr>
                <w:p w14:paraId="3A84F258">
                  <w:pPr>
                    <w:adjustRightInd w:val="0"/>
                    <w:snapToGrid w:val="0"/>
                    <w:jc w:val="center"/>
                    <w:rPr>
                      <w:color w:val="auto"/>
                      <w:kern w:val="0"/>
                    </w:rPr>
                  </w:pPr>
                  <w:r>
                    <w:rPr>
                      <w:color w:val="auto"/>
                      <w:kern w:val="0"/>
                    </w:rPr>
                    <w:t>24</w:t>
                  </w:r>
                </w:p>
              </w:tc>
              <w:tc>
                <w:tcPr>
                  <w:tcW w:w="544" w:type="pct"/>
                  <w:tcBorders>
                    <w:tl2br w:val="nil"/>
                    <w:tr2bl w:val="nil"/>
                  </w:tcBorders>
                  <w:shd w:val="clear" w:color="auto" w:fill="auto"/>
                  <w:vAlign w:val="center"/>
                </w:tcPr>
                <w:p w14:paraId="3A84F259">
                  <w:pPr>
                    <w:adjustRightInd w:val="0"/>
                    <w:snapToGrid w:val="0"/>
                    <w:jc w:val="center"/>
                    <w:rPr>
                      <w:color w:val="auto"/>
                      <w:kern w:val="0"/>
                    </w:rPr>
                  </w:pPr>
                  <w:r>
                    <w:rPr>
                      <w:color w:val="auto"/>
                      <w:kern w:val="0"/>
                    </w:rPr>
                    <w:t>0</w:t>
                  </w:r>
                </w:p>
              </w:tc>
            </w:tr>
            <w:tr w14:paraId="3A84F2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5B">
                  <w:pPr>
                    <w:adjustRightInd w:val="0"/>
                    <w:snapToGrid w:val="0"/>
                    <w:jc w:val="center"/>
                    <w:rPr>
                      <w:rFonts w:hint="eastAsia" w:eastAsia="宋体"/>
                      <w:color w:val="auto"/>
                      <w:kern w:val="0"/>
                      <w:lang w:val="en-US" w:eastAsia="zh-CN"/>
                    </w:rPr>
                  </w:pPr>
                  <w:r>
                    <w:rPr>
                      <w:rFonts w:hint="eastAsia"/>
                      <w:color w:val="auto"/>
                      <w:kern w:val="0"/>
                      <w:lang w:val="en-US" w:eastAsia="zh-CN"/>
                    </w:rPr>
                    <w:t>测试</w:t>
                  </w:r>
                </w:p>
              </w:tc>
              <w:tc>
                <w:tcPr>
                  <w:tcW w:w="1245" w:type="pct"/>
                  <w:tcBorders>
                    <w:tl2br w:val="nil"/>
                    <w:tr2bl w:val="nil"/>
                  </w:tcBorders>
                  <w:shd w:val="clear" w:color="auto" w:fill="auto"/>
                  <w:vAlign w:val="center"/>
                </w:tcPr>
                <w:p w14:paraId="3A84F25C">
                  <w:pPr>
                    <w:adjustRightInd w:val="0"/>
                    <w:snapToGrid w:val="0"/>
                    <w:jc w:val="center"/>
                    <w:rPr>
                      <w:color w:val="auto"/>
                      <w:kern w:val="0"/>
                    </w:rPr>
                  </w:pPr>
                  <w:r>
                    <w:rPr>
                      <w:color w:val="auto"/>
                      <w:kern w:val="0"/>
                    </w:rPr>
                    <w:t>药片测试仪</w:t>
                  </w:r>
                </w:p>
              </w:tc>
              <w:tc>
                <w:tcPr>
                  <w:tcW w:w="1493" w:type="pct"/>
                  <w:tcBorders>
                    <w:tl2br w:val="nil"/>
                    <w:tr2bl w:val="nil"/>
                  </w:tcBorders>
                  <w:vAlign w:val="center"/>
                </w:tcPr>
                <w:p w14:paraId="3A84F25D">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25E">
                  <w:pPr>
                    <w:adjustRightInd w:val="0"/>
                    <w:snapToGrid w:val="0"/>
                    <w:jc w:val="center"/>
                    <w:rPr>
                      <w:color w:val="auto"/>
                      <w:kern w:val="0"/>
                    </w:rPr>
                  </w:pPr>
                  <w:r>
                    <w:rPr>
                      <w:color w:val="auto"/>
                      <w:kern w:val="0"/>
                    </w:rPr>
                    <w:t>12</w:t>
                  </w:r>
                </w:p>
              </w:tc>
              <w:tc>
                <w:tcPr>
                  <w:tcW w:w="532" w:type="pct"/>
                  <w:tcBorders>
                    <w:tl2br w:val="nil"/>
                    <w:tr2bl w:val="nil"/>
                  </w:tcBorders>
                  <w:shd w:val="clear" w:color="auto" w:fill="auto"/>
                  <w:vAlign w:val="center"/>
                </w:tcPr>
                <w:p w14:paraId="3A84F25F">
                  <w:pPr>
                    <w:adjustRightInd w:val="0"/>
                    <w:snapToGrid w:val="0"/>
                    <w:jc w:val="center"/>
                    <w:rPr>
                      <w:color w:val="auto"/>
                      <w:kern w:val="0"/>
                    </w:rPr>
                  </w:pPr>
                  <w:r>
                    <w:rPr>
                      <w:color w:val="auto"/>
                      <w:kern w:val="0"/>
                    </w:rPr>
                    <w:t>12</w:t>
                  </w:r>
                </w:p>
              </w:tc>
              <w:tc>
                <w:tcPr>
                  <w:tcW w:w="544" w:type="pct"/>
                  <w:tcBorders>
                    <w:tl2br w:val="nil"/>
                    <w:tr2bl w:val="nil"/>
                  </w:tcBorders>
                  <w:shd w:val="clear" w:color="auto" w:fill="auto"/>
                  <w:vAlign w:val="center"/>
                </w:tcPr>
                <w:p w14:paraId="3A84F260">
                  <w:pPr>
                    <w:adjustRightInd w:val="0"/>
                    <w:snapToGrid w:val="0"/>
                    <w:jc w:val="center"/>
                    <w:rPr>
                      <w:color w:val="auto"/>
                      <w:kern w:val="0"/>
                    </w:rPr>
                  </w:pPr>
                  <w:r>
                    <w:rPr>
                      <w:color w:val="auto"/>
                      <w:kern w:val="0"/>
                    </w:rPr>
                    <w:t>0</w:t>
                  </w:r>
                </w:p>
              </w:tc>
            </w:tr>
            <w:tr w14:paraId="3A84F26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62">
                  <w:pPr>
                    <w:adjustRightInd w:val="0"/>
                    <w:snapToGrid w:val="0"/>
                    <w:jc w:val="center"/>
                    <w:rPr>
                      <w:rFonts w:hint="eastAsia" w:eastAsia="宋体"/>
                      <w:color w:val="auto"/>
                      <w:kern w:val="0"/>
                      <w:lang w:val="en-US" w:eastAsia="zh-CN"/>
                    </w:rPr>
                  </w:pPr>
                  <w:r>
                    <w:rPr>
                      <w:rFonts w:hint="eastAsia"/>
                      <w:color w:val="auto"/>
                      <w:kern w:val="0"/>
                      <w:lang w:val="en-US" w:eastAsia="zh-CN"/>
                    </w:rPr>
                    <w:t>测试</w:t>
                  </w:r>
                </w:p>
              </w:tc>
              <w:tc>
                <w:tcPr>
                  <w:tcW w:w="1245" w:type="pct"/>
                  <w:tcBorders>
                    <w:tl2br w:val="nil"/>
                    <w:tr2bl w:val="nil"/>
                  </w:tcBorders>
                  <w:shd w:val="clear" w:color="auto" w:fill="auto"/>
                  <w:vAlign w:val="center"/>
                </w:tcPr>
                <w:p w14:paraId="3A84F263">
                  <w:pPr>
                    <w:adjustRightInd w:val="0"/>
                    <w:snapToGrid w:val="0"/>
                    <w:jc w:val="center"/>
                    <w:rPr>
                      <w:color w:val="auto"/>
                      <w:kern w:val="0"/>
                    </w:rPr>
                  </w:pPr>
                  <w:r>
                    <w:rPr>
                      <w:color w:val="auto"/>
                      <w:kern w:val="0"/>
                    </w:rPr>
                    <w:t>脆性测试仪</w:t>
                  </w:r>
                </w:p>
              </w:tc>
              <w:tc>
                <w:tcPr>
                  <w:tcW w:w="1493" w:type="pct"/>
                  <w:tcBorders>
                    <w:tl2br w:val="nil"/>
                    <w:tr2bl w:val="nil"/>
                  </w:tcBorders>
                  <w:vAlign w:val="center"/>
                </w:tcPr>
                <w:p w14:paraId="3A84F264">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265">
                  <w:pPr>
                    <w:adjustRightInd w:val="0"/>
                    <w:snapToGrid w:val="0"/>
                    <w:jc w:val="center"/>
                    <w:rPr>
                      <w:color w:val="auto"/>
                      <w:kern w:val="0"/>
                    </w:rPr>
                  </w:pPr>
                  <w:r>
                    <w:rPr>
                      <w:color w:val="auto"/>
                      <w:kern w:val="0"/>
                    </w:rPr>
                    <w:t>3</w:t>
                  </w:r>
                </w:p>
              </w:tc>
              <w:tc>
                <w:tcPr>
                  <w:tcW w:w="532" w:type="pct"/>
                  <w:tcBorders>
                    <w:tl2br w:val="nil"/>
                    <w:tr2bl w:val="nil"/>
                  </w:tcBorders>
                  <w:shd w:val="clear" w:color="auto" w:fill="auto"/>
                  <w:vAlign w:val="center"/>
                </w:tcPr>
                <w:p w14:paraId="3A84F266">
                  <w:pPr>
                    <w:adjustRightInd w:val="0"/>
                    <w:snapToGrid w:val="0"/>
                    <w:jc w:val="center"/>
                    <w:rPr>
                      <w:color w:val="auto"/>
                      <w:kern w:val="0"/>
                    </w:rPr>
                  </w:pPr>
                  <w:r>
                    <w:rPr>
                      <w:color w:val="auto"/>
                      <w:kern w:val="0"/>
                    </w:rPr>
                    <w:t>3</w:t>
                  </w:r>
                </w:p>
              </w:tc>
              <w:tc>
                <w:tcPr>
                  <w:tcW w:w="544" w:type="pct"/>
                  <w:tcBorders>
                    <w:tl2br w:val="nil"/>
                    <w:tr2bl w:val="nil"/>
                  </w:tcBorders>
                  <w:shd w:val="clear" w:color="auto" w:fill="auto"/>
                  <w:vAlign w:val="center"/>
                </w:tcPr>
                <w:p w14:paraId="3A84F267">
                  <w:pPr>
                    <w:adjustRightInd w:val="0"/>
                    <w:snapToGrid w:val="0"/>
                    <w:jc w:val="center"/>
                    <w:rPr>
                      <w:color w:val="auto"/>
                      <w:kern w:val="0"/>
                    </w:rPr>
                  </w:pPr>
                  <w:r>
                    <w:rPr>
                      <w:color w:val="auto"/>
                      <w:kern w:val="0"/>
                    </w:rPr>
                    <w:t>0</w:t>
                  </w:r>
                </w:p>
              </w:tc>
            </w:tr>
            <w:tr w14:paraId="3A84F2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6"/>
                  <w:tcBorders>
                    <w:tl2br w:val="nil"/>
                    <w:tr2bl w:val="nil"/>
                  </w:tcBorders>
                  <w:vAlign w:val="center"/>
                </w:tcPr>
                <w:p w14:paraId="3A84F269">
                  <w:pPr>
                    <w:adjustRightInd w:val="0"/>
                    <w:snapToGrid w:val="0"/>
                    <w:jc w:val="center"/>
                    <w:rPr>
                      <w:b/>
                      <w:bCs/>
                      <w:color w:val="auto"/>
                      <w:kern w:val="0"/>
                    </w:rPr>
                  </w:pPr>
                  <w:r>
                    <w:rPr>
                      <w:b/>
                      <w:bCs/>
                      <w:color w:val="auto"/>
                      <w:kern w:val="0"/>
                    </w:rPr>
                    <w:t>点火具药浆生产线</w:t>
                  </w:r>
                </w:p>
              </w:tc>
            </w:tr>
            <w:tr w14:paraId="3A84F27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6B">
                  <w:pPr>
                    <w:adjustRightInd w:val="0"/>
                    <w:snapToGrid w:val="0"/>
                    <w:jc w:val="center"/>
                    <w:rPr>
                      <w:rFonts w:hint="eastAsia" w:eastAsia="宋体"/>
                      <w:color w:val="auto"/>
                      <w:kern w:val="0"/>
                      <w:lang w:val="en-US" w:eastAsia="zh-CN"/>
                    </w:rPr>
                  </w:pPr>
                  <w:r>
                    <w:rPr>
                      <w:rFonts w:hint="eastAsia"/>
                      <w:color w:val="auto"/>
                      <w:kern w:val="0"/>
                      <w:lang w:val="en-US" w:eastAsia="zh-CN"/>
                    </w:rPr>
                    <w:t>烘箱</w:t>
                  </w:r>
                </w:p>
              </w:tc>
              <w:tc>
                <w:tcPr>
                  <w:tcW w:w="1245" w:type="pct"/>
                  <w:tcBorders>
                    <w:tl2br w:val="nil"/>
                    <w:tr2bl w:val="nil"/>
                  </w:tcBorders>
                  <w:shd w:val="clear" w:color="auto" w:fill="auto"/>
                  <w:vAlign w:val="center"/>
                </w:tcPr>
                <w:p w14:paraId="3A84F26C">
                  <w:pPr>
                    <w:adjustRightInd w:val="0"/>
                    <w:snapToGrid w:val="0"/>
                    <w:jc w:val="center"/>
                    <w:rPr>
                      <w:color w:val="auto"/>
                      <w:kern w:val="0"/>
                    </w:rPr>
                  </w:pPr>
                  <w:r>
                    <w:rPr>
                      <w:color w:val="auto"/>
                      <w:kern w:val="0"/>
                    </w:rPr>
                    <w:t>皓粉烘箱</w:t>
                  </w:r>
                </w:p>
              </w:tc>
              <w:tc>
                <w:tcPr>
                  <w:tcW w:w="1493" w:type="pct"/>
                  <w:tcBorders>
                    <w:tl2br w:val="nil"/>
                    <w:tr2bl w:val="nil"/>
                  </w:tcBorders>
                  <w:vAlign w:val="center"/>
                </w:tcPr>
                <w:p w14:paraId="3A84F26D">
                  <w:pPr>
                    <w:adjustRightInd w:val="0"/>
                    <w:snapToGrid w:val="0"/>
                    <w:jc w:val="center"/>
                    <w:rPr>
                      <w:color w:val="auto"/>
                      <w:kern w:val="0"/>
                    </w:rPr>
                  </w:pPr>
                  <w:r>
                    <w:rPr>
                      <w:color w:val="auto"/>
                      <w:kern w:val="0"/>
                    </w:rPr>
                    <w:t>HS-3804-JY</w:t>
                  </w:r>
                </w:p>
                <w:p w14:paraId="3A84F26E">
                  <w:pPr>
                    <w:adjustRightInd w:val="0"/>
                    <w:snapToGrid w:val="0"/>
                    <w:jc w:val="center"/>
                    <w:rPr>
                      <w:color w:val="auto"/>
                      <w:kern w:val="0"/>
                    </w:rPr>
                  </w:pPr>
                  <w:r>
                    <w:rPr>
                      <w:color w:val="auto"/>
                      <w:kern w:val="0"/>
                    </w:rPr>
                    <w:t>380V/3PH/50Hz/+260°C</w:t>
                  </w:r>
                </w:p>
              </w:tc>
              <w:tc>
                <w:tcPr>
                  <w:tcW w:w="532" w:type="pct"/>
                  <w:tcBorders>
                    <w:tl2br w:val="nil"/>
                    <w:tr2bl w:val="nil"/>
                  </w:tcBorders>
                  <w:shd w:val="clear" w:color="auto" w:fill="auto"/>
                  <w:vAlign w:val="center"/>
                </w:tcPr>
                <w:p w14:paraId="3A84F26F">
                  <w:pPr>
                    <w:adjustRightInd w:val="0"/>
                    <w:snapToGrid w:val="0"/>
                    <w:jc w:val="center"/>
                    <w:rPr>
                      <w:color w:val="auto"/>
                      <w:kern w:val="0"/>
                    </w:rPr>
                  </w:pPr>
                  <w:r>
                    <w:rPr>
                      <w:color w:val="auto"/>
                      <w:kern w:val="0"/>
                    </w:rPr>
                    <w:t>2</w:t>
                  </w:r>
                </w:p>
              </w:tc>
              <w:tc>
                <w:tcPr>
                  <w:tcW w:w="532" w:type="pct"/>
                  <w:tcBorders>
                    <w:tl2br w:val="nil"/>
                    <w:tr2bl w:val="nil"/>
                  </w:tcBorders>
                  <w:shd w:val="clear" w:color="auto" w:fill="auto"/>
                  <w:vAlign w:val="center"/>
                </w:tcPr>
                <w:p w14:paraId="3A84F270">
                  <w:pPr>
                    <w:adjustRightInd w:val="0"/>
                    <w:snapToGrid w:val="0"/>
                    <w:jc w:val="center"/>
                    <w:rPr>
                      <w:color w:val="auto"/>
                      <w:kern w:val="0"/>
                    </w:rPr>
                  </w:pPr>
                  <w:r>
                    <w:rPr>
                      <w:color w:val="auto"/>
                      <w:kern w:val="0"/>
                    </w:rPr>
                    <w:t>2</w:t>
                  </w:r>
                </w:p>
              </w:tc>
              <w:tc>
                <w:tcPr>
                  <w:tcW w:w="544" w:type="pct"/>
                  <w:tcBorders>
                    <w:tl2br w:val="nil"/>
                    <w:tr2bl w:val="nil"/>
                  </w:tcBorders>
                  <w:shd w:val="clear" w:color="auto" w:fill="auto"/>
                  <w:vAlign w:val="center"/>
                </w:tcPr>
                <w:p w14:paraId="3A84F271">
                  <w:pPr>
                    <w:adjustRightInd w:val="0"/>
                    <w:snapToGrid w:val="0"/>
                    <w:jc w:val="center"/>
                    <w:rPr>
                      <w:color w:val="auto"/>
                      <w:kern w:val="0"/>
                    </w:rPr>
                  </w:pPr>
                  <w:r>
                    <w:rPr>
                      <w:color w:val="auto"/>
                      <w:kern w:val="0"/>
                    </w:rPr>
                    <w:t>0</w:t>
                  </w:r>
                </w:p>
              </w:tc>
            </w:tr>
            <w:tr w14:paraId="3A84F27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73">
                  <w:pPr>
                    <w:adjustRightInd w:val="0"/>
                    <w:snapToGrid w:val="0"/>
                    <w:jc w:val="center"/>
                    <w:rPr>
                      <w:rFonts w:hint="eastAsia" w:eastAsia="宋体"/>
                      <w:color w:val="auto"/>
                      <w:kern w:val="0"/>
                      <w:lang w:val="en-US" w:eastAsia="zh-CN"/>
                    </w:rPr>
                  </w:pPr>
                  <w:r>
                    <w:rPr>
                      <w:rFonts w:hint="eastAsia"/>
                      <w:color w:val="auto"/>
                      <w:kern w:val="0"/>
                      <w:lang w:val="en-US" w:eastAsia="zh-CN"/>
                    </w:rPr>
                    <w:t>干燥</w:t>
                  </w:r>
                </w:p>
              </w:tc>
              <w:tc>
                <w:tcPr>
                  <w:tcW w:w="1245" w:type="pct"/>
                  <w:tcBorders>
                    <w:tl2br w:val="nil"/>
                    <w:tr2bl w:val="nil"/>
                  </w:tcBorders>
                  <w:shd w:val="clear" w:color="auto" w:fill="auto"/>
                  <w:vAlign w:val="center"/>
                </w:tcPr>
                <w:p w14:paraId="3A84F274">
                  <w:pPr>
                    <w:adjustRightInd w:val="0"/>
                    <w:snapToGrid w:val="0"/>
                    <w:jc w:val="center"/>
                    <w:rPr>
                      <w:color w:val="auto"/>
                      <w:kern w:val="0"/>
                    </w:rPr>
                  </w:pPr>
                  <w:r>
                    <w:rPr>
                      <w:color w:val="auto"/>
                      <w:kern w:val="0"/>
                    </w:rPr>
                    <w:t>皓粉干燥柜</w:t>
                  </w:r>
                </w:p>
              </w:tc>
              <w:tc>
                <w:tcPr>
                  <w:tcW w:w="1493" w:type="pct"/>
                  <w:tcBorders>
                    <w:tl2br w:val="nil"/>
                    <w:tr2bl w:val="nil"/>
                  </w:tcBorders>
                  <w:vAlign w:val="center"/>
                </w:tcPr>
                <w:p w14:paraId="3A84F275">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276">
                  <w:pPr>
                    <w:adjustRightInd w:val="0"/>
                    <w:snapToGrid w:val="0"/>
                    <w:jc w:val="center"/>
                    <w:rPr>
                      <w:color w:val="auto"/>
                      <w:kern w:val="0"/>
                    </w:rPr>
                  </w:pPr>
                  <w:r>
                    <w:rPr>
                      <w:color w:val="auto"/>
                      <w:kern w:val="0"/>
                    </w:rPr>
                    <w:t>5</w:t>
                  </w:r>
                </w:p>
              </w:tc>
              <w:tc>
                <w:tcPr>
                  <w:tcW w:w="532" w:type="pct"/>
                  <w:tcBorders>
                    <w:tl2br w:val="nil"/>
                    <w:tr2bl w:val="nil"/>
                  </w:tcBorders>
                  <w:shd w:val="clear" w:color="auto" w:fill="auto"/>
                  <w:vAlign w:val="center"/>
                </w:tcPr>
                <w:p w14:paraId="3A84F277">
                  <w:pPr>
                    <w:adjustRightInd w:val="0"/>
                    <w:snapToGrid w:val="0"/>
                    <w:jc w:val="center"/>
                    <w:rPr>
                      <w:color w:val="auto"/>
                      <w:kern w:val="0"/>
                    </w:rPr>
                  </w:pPr>
                  <w:r>
                    <w:rPr>
                      <w:color w:val="auto"/>
                      <w:kern w:val="0"/>
                    </w:rPr>
                    <w:t>5</w:t>
                  </w:r>
                </w:p>
              </w:tc>
              <w:tc>
                <w:tcPr>
                  <w:tcW w:w="544" w:type="pct"/>
                  <w:tcBorders>
                    <w:tl2br w:val="nil"/>
                    <w:tr2bl w:val="nil"/>
                  </w:tcBorders>
                  <w:shd w:val="clear" w:color="auto" w:fill="auto"/>
                  <w:vAlign w:val="center"/>
                </w:tcPr>
                <w:p w14:paraId="3A84F278">
                  <w:pPr>
                    <w:adjustRightInd w:val="0"/>
                    <w:snapToGrid w:val="0"/>
                    <w:jc w:val="center"/>
                    <w:rPr>
                      <w:color w:val="auto"/>
                      <w:kern w:val="0"/>
                    </w:rPr>
                  </w:pPr>
                  <w:r>
                    <w:rPr>
                      <w:color w:val="auto"/>
                      <w:kern w:val="0"/>
                    </w:rPr>
                    <w:t>0</w:t>
                  </w:r>
                </w:p>
              </w:tc>
            </w:tr>
            <w:tr w14:paraId="3A84F2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7A">
                  <w:pPr>
                    <w:adjustRightInd w:val="0"/>
                    <w:snapToGrid w:val="0"/>
                    <w:jc w:val="center"/>
                    <w:rPr>
                      <w:rFonts w:hint="eastAsia" w:eastAsia="宋体"/>
                      <w:color w:val="auto"/>
                      <w:kern w:val="0"/>
                      <w:lang w:val="en-US" w:eastAsia="zh-CN"/>
                    </w:rPr>
                  </w:pPr>
                  <w:r>
                    <w:rPr>
                      <w:rFonts w:hint="eastAsia"/>
                      <w:color w:val="auto"/>
                      <w:kern w:val="0"/>
                      <w:lang w:val="en-US" w:eastAsia="zh-CN"/>
                    </w:rPr>
                    <w:t>混合</w:t>
                  </w:r>
                </w:p>
              </w:tc>
              <w:tc>
                <w:tcPr>
                  <w:tcW w:w="1245" w:type="pct"/>
                  <w:tcBorders>
                    <w:tl2br w:val="nil"/>
                    <w:tr2bl w:val="nil"/>
                  </w:tcBorders>
                  <w:shd w:val="clear" w:color="auto" w:fill="auto"/>
                  <w:vAlign w:val="center"/>
                </w:tcPr>
                <w:p w14:paraId="3A84F27B">
                  <w:pPr>
                    <w:adjustRightInd w:val="0"/>
                    <w:snapToGrid w:val="0"/>
                    <w:jc w:val="center"/>
                    <w:rPr>
                      <w:color w:val="auto"/>
                      <w:kern w:val="0"/>
                    </w:rPr>
                  </w:pPr>
                  <w:r>
                    <w:rPr>
                      <w:color w:val="auto"/>
                      <w:kern w:val="0"/>
                    </w:rPr>
                    <w:t>Indco 混合器</w:t>
                  </w:r>
                </w:p>
                <w:p w14:paraId="3A84F27C">
                  <w:pPr>
                    <w:adjustRightInd w:val="0"/>
                    <w:snapToGrid w:val="0"/>
                    <w:jc w:val="center"/>
                    <w:rPr>
                      <w:color w:val="auto"/>
                      <w:kern w:val="0"/>
                    </w:rPr>
                  </w:pPr>
                  <w:r>
                    <w:rPr>
                      <w:color w:val="auto"/>
                      <w:kern w:val="0"/>
                    </w:rPr>
                    <w:t>（ZR混合器）</w:t>
                  </w:r>
                </w:p>
              </w:tc>
              <w:tc>
                <w:tcPr>
                  <w:tcW w:w="1493" w:type="pct"/>
                  <w:tcBorders>
                    <w:tl2br w:val="nil"/>
                    <w:tr2bl w:val="nil"/>
                  </w:tcBorders>
                  <w:vAlign w:val="center"/>
                </w:tcPr>
                <w:p w14:paraId="3A84F27D">
                  <w:pPr>
                    <w:adjustRightInd w:val="0"/>
                    <w:snapToGrid w:val="0"/>
                    <w:jc w:val="center"/>
                    <w:rPr>
                      <w:color w:val="auto"/>
                      <w:kern w:val="0"/>
                    </w:rPr>
                  </w:pPr>
                  <w:r>
                    <w:rPr>
                      <w:color w:val="auto"/>
                      <w:kern w:val="0"/>
                    </w:rPr>
                    <w:t>HS-315-A</w:t>
                  </w:r>
                </w:p>
                <w:p w14:paraId="3A84F27E">
                  <w:pPr>
                    <w:adjustRightInd w:val="0"/>
                    <w:snapToGrid w:val="0"/>
                    <w:jc w:val="center"/>
                    <w:rPr>
                      <w:color w:val="auto"/>
                      <w:kern w:val="0"/>
                    </w:rPr>
                  </w:pPr>
                  <w:r>
                    <w:rPr>
                      <w:color w:val="auto"/>
                      <w:kern w:val="0"/>
                    </w:rPr>
                    <w:t>230V/1.5Hp/50Hz</w:t>
                  </w:r>
                </w:p>
              </w:tc>
              <w:tc>
                <w:tcPr>
                  <w:tcW w:w="532" w:type="pct"/>
                  <w:tcBorders>
                    <w:tl2br w:val="nil"/>
                    <w:tr2bl w:val="nil"/>
                  </w:tcBorders>
                  <w:shd w:val="clear" w:color="auto" w:fill="auto"/>
                  <w:vAlign w:val="center"/>
                </w:tcPr>
                <w:p w14:paraId="3A84F27F">
                  <w:pPr>
                    <w:adjustRightInd w:val="0"/>
                    <w:snapToGrid w:val="0"/>
                    <w:jc w:val="center"/>
                    <w:rPr>
                      <w:color w:val="auto"/>
                      <w:kern w:val="0"/>
                    </w:rPr>
                  </w:pPr>
                  <w:r>
                    <w:rPr>
                      <w:color w:val="auto"/>
                      <w:kern w:val="0"/>
                    </w:rPr>
                    <w:t>2</w:t>
                  </w:r>
                </w:p>
              </w:tc>
              <w:tc>
                <w:tcPr>
                  <w:tcW w:w="532" w:type="pct"/>
                  <w:tcBorders>
                    <w:tl2br w:val="nil"/>
                    <w:tr2bl w:val="nil"/>
                  </w:tcBorders>
                  <w:shd w:val="clear" w:color="auto" w:fill="auto"/>
                  <w:vAlign w:val="center"/>
                </w:tcPr>
                <w:p w14:paraId="3A84F280">
                  <w:pPr>
                    <w:adjustRightInd w:val="0"/>
                    <w:snapToGrid w:val="0"/>
                    <w:jc w:val="center"/>
                    <w:rPr>
                      <w:color w:val="auto"/>
                      <w:kern w:val="0"/>
                    </w:rPr>
                  </w:pPr>
                  <w:r>
                    <w:rPr>
                      <w:color w:val="auto"/>
                      <w:kern w:val="0"/>
                    </w:rPr>
                    <w:t>2</w:t>
                  </w:r>
                </w:p>
              </w:tc>
              <w:tc>
                <w:tcPr>
                  <w:tcW w:w="544" w:type="pct"/>
                  <w:tcBorders>
                    <w:tl2br w:val="nil"/>
                    <w:tr2bl w:val="nil"/>
                  </w:tcBorders>
                  <w:shd w:val="clear" w:color="auto" w:fill="auto"/>
                  <w:vAlign w:val="center"/>
                </w:tcPr>
                <w:p w14:paraId="3A84F281">
                  <w:pPr>
                    <w:adjustRightInd w:val="0"/>
                    <w:snapToGrid w:val="0"/>
                    <w:jc w:val="center"/>
                    <w:rPr>
                      <w:color w:val="auto"/>
                      <w:kern w:val="0"/>
                    </w:rPr>
                  </w:pPr>
                  <w:r>
                    <w:rPr>
                      <w:color w:val="auto"/>
                      <w:kern w:val="0"/>
                    </w:rPr>
                    <w:t>0</w:t>
                  </w:r>
                </w:p>
              </w:tc>
            </w:tr>
            <w:tr w14:paraId="3A84F2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83">
                  <w:pPr>
                    <w:adjustRightInd w:val="0"/>
                    <w:snapToGrid w:val="0"/>
                    <w:jc w:val="center"/>
                    <w:rPr>
                      <w:rFonts w:hint="eastAsia" w:eastAsia="宋体"/>
                      <w:color w:val="auto"/>
                      <w:kern w:val="0"/>
                      <w:lang w:val="en-US" w:eastAsia="zh-CN"/>
                    </w:rPr>
                  </w:pPr>
                  <w:r>
                    <w:rPr>
                      <w:rFonts w:hint="eastAsia"/>
                      <w:color w:val="auto"/>
                      <w:kern w:val="0"/>
                      <w:lang w:val="en-US" w:eastAsia="zh-CN"/>
                    </w:rPr>
                    <w:t>压装</w:t>
                  </w:r>
                </w:p>
              </w:tc>
              <w:tc>
                <w:tcPr>
                  <w:tcW w:w="1245" w:type="pct"/>
                  <w:tcBorders>
                    <w:tl2br w:val="nil"/>
                    <w:tr2bl w:val="nil"/>
                  </w:tcBorders>
                  <w:shd w:val="clear" w:color="auto" w:fill="auto"/>
                  <w:vAlign w:val="center"/>
                </w:tcPr>
                <w:p w14:paraId="3A84F284">
                  <w:pPr>
                    <w:adjustRightInd w:val="0"/>
                    <w:snapToGrid w:val="0"/>
                    <w:jc w:val="center"/>
                    <w:rPr>
                      <w:color w:val="auto"/>
                      <w:kern w:val="0"/>
                    </w:rPr>
                  </w:pPr>
                  <w:r>
                    <w:rPr>
                      <w:color w:val="auto"/>
                      <w:kern w:val="0"/>
                    </w:rPr>
                    <w:t>压装机</w:t>
                  </w:r>
                </w:p>
              </w:tc>
              <w:tc>
                <w:tcPr>
                  <w:tcW w:w="1493" w:type="pct"/>
                  <w:tcBorders>
                    <w:tl2br w:val="nil"/>
                    <w:tr2bl w:val="nil"/>
                  </w:tcBorders>
                  <w:vAlign w:val="center"/>
                </w:tcPr>
                <w:p w14:paraId="3A84F285">
                  <w:pPr>
                    <w:adjustRightInd w:val="0"/>
                    <w:snapToGrid w:val="0"/>
                    <w:jc w:val="center"/>
                    <w:rPr>
                      <w:color w:val="auto"/>
                      <w:kern w:val="0"/>
                    </w:rPr>
                  </w:pPr>
                  <w:r>
                    <w:rPr>
                      <w:color w:val="auto"/>
                      <w:kern w:val="0"/>
                    </w:rPr>
                    <w:t>CDS1FN200-450</w:t>
                  </w:r>
                </w:p>
                <w:p w14:paraId="3A84F286">
                  <w:pPr>
                    <w:adjustRightInd w:val="0"/>
                    <w:snapToGrid w:val="0"/>
                    <w:jc w:val="center"/>
                    <w:rPr>
                      <w:color w:val="auto"/>
                      <w:kern w:val="0"/>
                    </w:rPr>
                  </w:pPr>
                  <w:r>
                    <w:rPr>
                      <w:color w:val="auto"/>
                      <w:kern w:val="0"/>
                    </w:rPr>
                    <w:t>Max：0.97Mpa</w:t>
                  </w:r>
                </w:p>
              </w:tc>
              <w:tc>
                <w:tcPr>
                  <w:tcW w:w="532" w:type="pct"/>
                  <w:tcBorders>
                    <w:tl2br w:val="nil"/>
                    <w:tr2bl w:val="nil"/>
                  </w:tcBorders>
                  <w:shd w:val="clear" w:color="auto" w:fill="auto"/>
                  <w:vAlign w:val="center"/>
                </w:tcPr>
                <w:p w14:paraId="3A84F287">
                  <w:pPr>
                    <w:adjustRightInd w:val="0"/>
                    <w:snapToGrid w:val="0"/>
                    <w:jc w:val="center"/>
                    <w:rPr>
                      <w:color w:val="auto"/>
                      <w:kern w:val="0"/>
                    </w:rPr>
                  </w:pPr>
                  <w:r>
                    <w:rPr>
                      <w:color w:val="auto"/>
                      <w:kern w:val="0"/>
                    </w:rPr>
                    <w:t>5</w:t>
                  </w:r>
                </w:p>
              </w:tc>
              <w:tc>
                <w:tcPr>
                  <w:tcW w:w="532" w:type="pct"/>
                  <w:tcBorders>
                    <w:tl2br w:val="nil"/>
                    <w:tr2bl w:val="nil"/>
                  </w:tcBorders>
                  <w:shd w:val="clear" w:color="auto" w:fill="auto"/>
                  <w:vAlign w:val="center"/>
                </w:tcPr>
                <w:p w14:paraId="3A84F288">
                  <w:pPr>
                    <w:adjustRightInd w:val="0"/>
                    <w:snapToGrid w:val="0"/>
                    <w:jc w:val="center"/>
                    <w:rPr>
                      <w:color w:val="auto"/>
                      <w:kern w:val="0"/>
                    </w:rPr>
                  </w:pPr>
                  <w:r>
                    <w:rPr>
                      <w:color w:val="auto"/>
                      <w:kern w:val="0"/>
                    </w:rPr>
                    <w:t>5</w:t>
                  </w:r>
                </w:p>
              </w:tc>
              <w:tc>
                <w:tcPr>
                  <w:tcW w:w="544" w:type="pct"/>
                  <w:tcBorders>
                    <w:tl2br w:val="nil"/>
                    <w:tr2bl w:val="nil"/>
                  </w:tcBorders>
                  <w:shd w:val="clear" w:color="auto" w:fill="auto"/>
                  <w:vAlign w:val="center"/>
                </w:tcPr>
                <w:p w14:paraId="3A84F289">
                  <w:pPr>
                    <w:adjustRightInd w:val="0"/>
                    <w:snapToGrid w:val="0"/>
                    <w:jc w:val="center"/>
                    <w:rPr>
                      <w:color w:val="auto"/>
                      <w:kern w:val="0"/>
                    </w:rPr>
                  </w:pPr>
                  <w:r>
                    <w:rPr>
                      <w:color w:val="auto"/>
                      <w:kern w:val="0"/>
                    </w:rPr>
                    <w:t>0</w:t>
                  </w:r>
                </w:p>
              </w:tc>
            </w:tr>
            <w:tr w14:paraId="3A84F29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8B">
                  <w:pPr>
                    <w:adjustRightInd w:val="0"/>
                    <w:snapToGrid w:val="0"/>
                    <w:jc w:val="center"/>
                    <w:rPr>
                      <w:rFonts w:hint="eastAsia" w:eastAsia="宋体"/>
                      <w:color w:val="auto"/>
                      <w:kern w:val="0"/>
                      <w:lang w:val="en-US" w:eastAsia="zh-CN"/>
                    </w:rPr>
                  </w:pPr>
                  <w:r>
                    <w:rPr>
                      <w:rFonts w:hint="eastAsia"/>
                      <w:color w:val="auto"/>
                      <w:kern w:val="0"/>
                      <w:lang w:val="en-US" w:eastAsia="zh-CN"/>
                    </w:rPr>
                    <w:t>称量</w:t>
                  </w:r>
                </w:p>
              </w:tc>
              <w:tc>
                <w:tcPr>
                  <w:tcW w:w="1245" w:type="pct"/>
                  <w:tcBorders>
                    <w:tl2br w:val="nil"/>
                    <w:tr2bl w:val="nil"/>
                  </w:tcBorders>
                  <w:shd w:val="clear" w:color="auto" w:fill="auto"/>
                  <w:vAlign w:val="center"/>
                </w:tcPr>
                <w:p w14:paraId="3A84F28C">
                  <w:pPr>
                    <w:adjustRightInd w:val="0"/>
                    <w:snapToGrid w:val="0"/>
                    <w:jc w:val="center"/>
                    <w:rPr>
                      <w:color w:val="auto"/>
                      <w:kern w:val="0"/>
                    </w:rPr>
                  </w:pPr>
                  <w:r>
                    <w:rPr>
                      <w:color w:val="auto"/>
                      <w:kern w:val="0"/>
                    </w:rPr>
                    <w:t>天平</w:t>
                  </w:r>
                </w:p>
              </w:tc>
              <w:tc>
                <w:tcPr>
                  <w:tcW w:w="1493" w:type="pct"/>
                  <w:tcBorders>
                    <w:tl2br w:val="nil"/>
                    <w:tr2bl w:val="nil"/>
                  </w:tcBorders>
                  <w:vAlign w:val="center"/>
                </w:tcPr>
                <w:p w14:paraId="3A84F28D">
                  <w:pPr>
                    <w:adjustRightInd w:val="0"/>
                    <w:snapToGrid w:val="0"/>
                    <w:jc w:val="center"/>
                    <w:rPr>
                      <w:color w:val="auto"/>
                      <w:kern w:val="0"/>
                    </w:rPr>
                  </w:pPr>
                  <w:r>
                    <w:rPr>
                      <w:color w:val="auto"/>
                      <w:kern w:val="0"/>
                    </w:rPr>
                    <w:t>APS768X Max：30Kg</w:t>
                  </w:r>
                </w:p>
              </w:tc>
              <w:tc>
                <w:tcPr>
                  <w:tcW w:w="532" w:type="pct"/>
                  <w:tcBorders>
                    <w:tl2br w:val="nil"/>
                    <w:tr2bl w:val="nil"/>
                  </w:tcBorders>
                  <w:shd w:val="clear" w:color="auto" w:fill="auto"/>
                  <w:vAlign w:val="center"/>
                </w:tcPr>
                <w:p w14:paraId="3A84F28E">
                  <w:pPr>
                    <w:adjustRightInd w:val="0"/>
                    <w:snapToGrid w:val="0"/>
                    <w:jc w:val="center"/>
                    <w:rPr>
                      <w:color w:val="auto"/>
                      <w:kern w:val="0"/>
                    </w:rPr>
                  </w:pPr>
                  <w:r>
                    <w:rPr>
                      <w:color w:val="auto"/>
                      <w:kern w:val="0"/>
                    </w:rPr>
                    <w:t>5</w:t>
                  </w:r>
                </w:p>
              </w:tc>
              <w:tc>
                <w:tcPr>
                  <w:tcW w:w="532" w:type="pct"/>
                  <w:tcBorders>
                    <w:tl2br w:val="nil"/>
                    <w:tr2bl w:val="nil"/>
                  </w:tcBorders>
                  <w:shd w:val="clear" w:color="auto" w:fill="auto"/>
                  <w:vAlign w:val="center"/>
                </w:tcPr>
                <w:p w14:paraId="3A84F28F">
                  <w:pPr>
                    <w:adjustRightInd w:val="0"/>
                    <w:snapToGrid w:val="0"/>
                    <w:jc w:val="center"/>
                    <w:rPr>
                      <w:color w:val="auto"/>
                      <w:kern w:val="0"/>
                    </w:rPr>
                  </w:pPr>
                  <w:r>
                    <w:rPr>
                      <w:color w:val="auto"/>
                      <w:kern w:val="0"/>
                    </w:rPr>
                    <w:t>5</w:t>
                  </w:r>
                </w:p>
              </w:tc>
              <w:tc>
                <w:tcPr>
                  <w:tcW w:w="544" w:type="pct"/>
                  <w:tcBorders>
                    <w:tl2br w:val="nil"/>
                    <w:tr2bl w:val="nil"/>
                  </w:tcBorders>
                  <w:shd w:val="clear" w:color="auto" w:fill="auto"/>
                  <w:vAlign w:val="center"/>
                </w:tcPr>
                <w:p w14:paraId="3A84F290">
                  <w:pPr>
                    <w:adjustRightInd w:val="0"/>
                    <w:snapToGrid w:val="0"/>
                    <w:jc w:val="center"/>
                    <w:rPr>
                      <w:color w:val="auto"/>
                      <w:kern w:val="0"/>
                    </w:rPr>
                  </w:pPr>
                  <w:r>
                    <w:rPr>
                      <w:color w:val="auto"/>
                      <w:kern w:val="0"/>
                    </w:rPr>
                    <w:t>0</w:t>
                  </w:r>
                </w:p>
              </w:tc>
            </w:tr>
            <w:tr w14:paraId="3A84F29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92">
                  <w:pPr>
                    <w:adjustRightInd w:val="0"/>
                    <w:snapToGrid w:val="0"/>
                    <w:jc w:val="center"/>
                    <w:rPr>
                      <w:rFonts w:hint="eastAsia" w:eastAsia="宋体"/>
                      <w:color w:val="auto"/>
                      <w:kern w:val="0"/>
                      <w:lang w:val="en-US" w:eastAsia="zh-CN"/>
                    </w:rPr>
                  </w:pPr>
                  <w:r>
                    <w:rPr>
                      <w:rFonts w:hint="eastAsia"/>
                      <w:color w:val="auto"/>
                      <w:kern w:val="0"/>
                      <w:lang w:val="en-US" w:eastAsia="zh-CN"/>
                    </w:rPr>
                    <w:t>操控</w:t>
                  </w:r>
                </w:p>
              </w:tc>
              <w:tc>
                <w:tcPr>
                  <w:tcW w:w="1245" w:type="pct"/>
                  <w:tcBorders>
                    <w:tl2br w:val="nil"/>
                    <w:tr2bl w:val="nil"/>
                  </w:tcBorders>
                  <w:shd w:val="clear" w:color="auto" w:fill="auto"/>
                  <w:vAlign w:val="center"/>
                </w:tcPr>
                <w:p w14:paraId="3A84F293">
                  <w:pPr>
                    <w:adjustRightInd w:val="0"/>
                    <w:snapToGrid w:val="0"/>
                    <w:jc w:val="center"/>
                    <w:rPr>
                      <w:color w:val="auto"/>
                      <w:kern w:val="0"/>
                    </w:rPr>
                  </w:pPr>
                  <w:r>
                    <w:rPr>
                      <w:color w:val="auto"/>
                      <w:kern w:val="0"/>
                    </w:rPr>
                    <w:t>OIT触摸操作显示屏</w:t>
                  </w:r>
                </w:p>
              </w:tc>
              <w:tc>
                <w:tcPr>
                  <w:tcW w:w="1493" w:type="pct"/>
                  <w:tcBorders>
                    <w:tl2br w:val="nil"/>
                    <w:tr2bl w:val="nil"/>
                  </w:tcBorders>
                  <w:vAlign w:val="center"/>
                </w:tcPr>
                <w:p w14:paraId="3A84F294">
                  <w:pPr>
                    <w:adjustRightInd w:val="0"/>
                    <w:snapToGrid w:val="0"/>
                    <w:jc w:val="center"/>
                    <w:rPr>
                      <w:color w:val="auto"/>
                      <w:kern w:val="0"/>
                    </w:rPr>
                  </w:pPr>
                  <w:r>
                    <w:rPr>
                      <w:color w:val="auto"/>
                      <w:kern w:val="0"/>
                    </w:rPr>
                    <w:t>AB 2711P-T 10C4D9</w:t>
                  </w:r>
                </w:p>
              </w:tc>
              <w:tc>
                <w:tcPr>
                  <w:tcW w:w="532" w:type="pct"/>
                  <w:tcBorders>
                    <w:tl2br w:val="nil"/>
                    <w:tr2bl w:val="nil"/>
                  </w:tcBorders>
                  <w:shd w:val="clear" w:color="auto" w:fill="auto"/>
                  <w:vAlign w:val="center"/>
                </w:tcPr>
                <w:p w14:paraId="3A84F295">
                  <w:pPr>
                    <w:adjustRightInd w:val="0"/>
                    <w:snapToGrid w:val="0"/>
                    <w:jc w:val="center"/>
                    <w:rPr>
                      <w:color w:val="auto"/>
                      <w:kern w:val="0"/>
                    </w:rPr>
                  </w:pPr>
                  <w:r>
                    <w:rPr>
                      <w:color w:val="auto"/>
                      <w:kern w:val="0"/>
                    </w:rPr>
                    <w:t>5</w:t>
                  </w:r>
                </w:p>
              </w:tc>
              <w:tc>
                <w:tcPr>
                  <w:tcW w:w="532" w:type="pct"/>
                  <w:tcBorders>
                    <w:tl2br w:val="nil"/>
                    <w:tr2bl w:val="nil"/>
                  </w:tcBorders>
                  <w:shd w:val="clear" w:color="auto" w:fill="auto"/>
                  <w:vAlign w:val="center"/>
                </w:tcPr>
                <w:p w14:paraId="3A84F296">
                  <w:pPr>
                    <w:adjustRightInd w:val="0"/>
                    <w:snapToGrid w:val="0"/>
                    <w:jc w:val="center"/>
                    <w:rPr>
                      <w:color w:val="auto"/>
                      <w:kern w:val="0"/>
                    </w:rPr>
                  </w:pPr>
                  <w:r>
                    <w:rPr>
                      <w:color w:val="auto"/>
                      <w:kern w:val="0"/>
                    </w:rPr>
                    <w:t>5</w:t>
                  </w:r>
                </w:p>
              </w:tc>
              <w:tc>
                <w:tcPr>
                  <w:tcW w:w="544" w:type="pct"/>
                  <w:tcBorders>
                    <w:tl2br w:val="nil"/>
                    <w:tr2bl w:val="nil"/>
                  </w:tcBorders>
                  <w:shd w:val="clear" w:color="auto" w:fill="auto"/>
                  <w:vAlign w:val="center"/>
                </w:tcPr>
                <w:p w14:paraId="3A84F297">
                  <w:pPr>
                    <w:adjustRightInd w:val="0"/>
                    <w:snapToGrid w:val="0"/>
                    <w:jc w:val="center"/>
                    <w:rPr>
                      <w:color w:val="auto"/>
                      <w:kern w:val="0"/>
                    </w:rPr>
                  </w:pPr>
                  <w:r>
                    <w:rPr>
                      <w:color w:val="auto"/>
                      <w:kern w:val="0"/>
                    </w:rPr>
                    <w:t>0</w:t>
                  </w:r>
                </w:p>
              </w:tc>
            </w:tr>
            <w:tr w14:paraId="3A84F2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99">
                  <w:pPr>
                    <w:adjustRightInd w:val="0"/>
                    <w:snapToGrid w:val="0"/>
                    <w:jc w:val="center"/>
                    <w:rPr>
                      <w:rFonts w:hint="eastAsia" w:eastAsia="宋体"/>
                      <w:color w:val="auto"/>
                      <w:kern w:val="0"/>
                      <w:lang w:val="en-US" w:eastAsia="zh-CN"/>
                    </w:rPr>
                  </w:pPr>
                  <w:r>
                    <w:rPr>
                      <w:rFonts w:hint="eastAsia"/>
                      <w:color w:val="auto"/>
                      <w:kern w:val="0"/>
                      <w:lang w:val="en-US" w:eastAsia="zh-CN"/>
                    </w:rPr>
                    <w:t>输送</w:t>
                  </w:r>
                </w:p>
              </w:tc>
              <w:tc>
                <w:tcPr>
                  <w:tcW w:w="1245" w:type="pct"/>
                  <w:tcBorders>
                    <w:tl2br w:val="nil"/>
                    <w:tr2bl w:val="nil"/>
                  </w:tcBorders>
                  <w:shd w:val="clear" w:color="auto" w:fill="auto"/>
                  <w:vAlign w:val="center"/>
                </w:tcPr>
                <w:p w14:paraId="3A84F29A">
                  <w:pPr>
                    <w:adjustRightInd w:val="0"/>
                    <w:snapToGrid w:val="0"/>
                    <w:jc w:val="center"/>
                    <w:rPr>
                      <w:color w:val="auto"/>
                      <w:kern w:val="0"/>
                    </w:rPr>
                  </w:pPr>
                  <w:r>
                    <w:rPr>
                      <w:color w:val="auto"/>
                      <w:kern w:val="0"/>
                    </w:rPr>
                    <w:t>滚筒机</w:t>
                  </w:r>
                </w:p>
              </w:tc>
              <w:tc>
                <w:tcPr>
                  <w:tcW w:w="1493" w:type="pct"/>
                  <w:tcBorders>
                    <w:tl2br w:val="nil"/>
                    <w:tr2bl w:val="nil"/>
                  </w:tcBorders>
                  <w:vAlign w:val="center"/>
                </w:tcPr>
                <w:p w14:paraId="3A84F29B">
                  <w:pPr>
                    <w:adjustRightInd w:val="0"/>
                    <w:snapToGrid w:val="0"/>
                    <w:jc w:val="center"/>
                    <w:rPr>
                      <w:color w:val="auto"/>
                      <w:kern w:val="0"/>
                    </w:rPr>
                  </w:pPr>
                  <w:r>
                    <w:rPr>
                      <w:color w:val="auto"/>
                      <w:kern w:val="0"/>
                    </w:rPr>
                    <w:t>EAST</w:t>
                  </w:r>
                </w:p>
                <w:p w14:paraId="3A84F29C">
                  <w:pPr>
                    <w:adjustRightInd w:val="0"/>
                    <w:snapToGrid w:val="0"/>
                    <w:jc w:val="center"/>
                    <w:rPr>
                      <w:color w:val="auto"/>
                      <w:kern w:val="0"/>
                    </w:rPr>
                  </w:pPr>
                  <w:r>
                    <w:rPr>
                      <w:color w:val="auto"/>
                      <w:kern w:val="0"/>
                    </w:rPr>
                    <w:t>PALESTINE.OH44413</w:t>
                  </w:r>
                </w:p>
              </w:tc>
              <w:tc>
                <w:tcPr>
                  <w:tcW w:w="532" w:type="pct"/>
                  <w:tcBorders>
                    <w:tl2br w:val="nil"/>
                    <w:tr2bl w:val="nil"/>
                  </w:tcBorders>
                  <w:shd w:val="clear" w:color="auto" w:fill="auto"/>
                  <w:vAlign w:val="center"/>
                </w:tcPr>
                <w:p w14:paraId="3A84F29D">
                  <w:pPr>
                    <w:adjustRightInd w:val="0"/>
                    <w:snapToGrid w:val="0"/>
                    <w:jc w:val="center"/>
                    <w:rPr>
                      <w:color w:val="auto"/>
                      <w:kern w:val="0"/>
                    </w:rPr>
                  </w:pPr>
                  <w:r>
                    <w:rPr>
                      <w:color w:val="auto"/>
                      <w:kern w:val="0"/>
                    </w:rPr>
                    <w:t>15</w:t>
                  </w:r>
                </w:p>
              </w:tc>
              <w:tc>
                <w:tcPr>
                  <w:tcW w:w="532" w:type="pct"/>
                  <w:tcBorders>
                    <w:tl2br w:val="nil"/>
                    <w:tr2bl w:val="nil"/>
                  </w:tcBorders>
                  <w:shd w:val="clear" w:color="auto" w:fill="auto"/>
                  <w:vAlign w:val="center"/>
                </w:tcPr>
                <w:p w14:paraId="3A84F29E">
                  <w:pPr>
                    <w:adjustRightInd w:val="0"/>
                    <w:snapToGrid w:val="0"/>
                    <w:jc w:val="center"/>
                    <w:rPr>
                      <w:color w:val="auto"/>
                      <w:kern w:val="0"/>
                    </w:rPr>
                  </w:pPr>
                  <w:r>
                    <w:rPr>
                      <w:color w:val="auto"/>
                      <w:kern w:val="0"/>
                    </w:rPr>
                    <w:t>15</w:t>
                  </w:r>
                </w:p>
              </w:tc>
              <w:tc>
                <w:tcPr>
                  <w:tcW w:w="544" w:type="pct"/>
                  <w:tcBorders>
                    <w:tl2br w:val="nil"/>
                    <w:tr2bl w:val="nil"/>
                  </w:tcBorders>
                  <w:shd w:val="clear" w:color="auto" w:fill="auto"/>
                  <w:vAlign w:val="center"/>
                </w:tcPr>
                <w:p w14:paraId="3A84F29F">
                  <w:pPr>
                    <w:adjustRightInd w:val="0"/>
                    <w:snapToGrid w:val="0"/>
                    <w:jc w:val="center"/>
                    <w:rPr>
                      <w:color w:val="auto"/>
                      <w:kern w:val="0"/>
                    </w:rPr>
                  </w:pPr>
                  <w:r>
                    <w:rPr>
                      <w:color w:val="auto"/>
                      <w:kern w:val="0"/>
                    </w:rPr>
                    <w:t>0</w:t>
                  </w:r>
                </w:p>
              </w:tc>
            </w:tr>
            <w:tr w14:paraId="3A84F2A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A1">
                  <w:pPr>
                    <w:adjustRightInd w:val="0"/>
                    <w:snapToGrid w:val="0"/>
                    <w:jc w:val="center"/>
                    <w:rPr>
                      <w:rFonts w:hint="eastAsia" w:eastAsia="宋体"/>
                      <w:color w:val="auto"/>
                      <w:kern w:val="0"/>
                      <w:lang w:val="en-US" w:eastAsia="zh-CN"/>
                    </w:rPr>
                  </w:pPr>
                  <w:r>
                    <w:rPr>
                      <w:rFonts w:hint="eastAsia"/>
                      <w:color w:val="auto"/>
                      <w:kern w:val="0"/>
                      <w:lang w:val="en-US" w:eastAsia="zh-CN"/>
                    </w:rPr>
                    <w:t>打印标签</w:t>
                  </w:r>
                </w:p>
              </w:tc>
              <w:tc>
                <w:tcPr>
                  <w:tcW w:w="1245" w:type="pct"/>
                  <w:tcBorders>
                    <w:tl2br w:val="nil"/>
                    <w:tr2bl w:val="nil"/>
                  </w:tcBorders>
                  <w:shd w:val="clear" w:color="auto" w:fill="auto"/>
                  <w:vAlign w:val="center"/>
                </w:tcPr>
                <w:p w14:paraId="3A84F2A2">
                  <w:pPr>
                    <w:adjustRightInd w:val="0"/>
                    <w:snapToGrid w:val="0"/>
                    <w:jc w:val="center"/>
                    <w:rPr>
                      <w:color w:val="auto"/>
                      <w:kern w:val="0"/>
                    </w:rPr>
                  </w:pPr>
                  <w:r>
                    <w:rPr>
                      <w:color w:val="auto"/>
                      <w:kern w:val="0"/>
                    </w:rPr>
                    <w:t>标签打印机</w:t>
                  </w:r>
                </w:p>
              </w:tc>
              <w:tc>
                <w:tcPr>
                  <w:tcW w:w="1493" w:type="pct"/>
                  <w:tcBorders>
                    <w:tl2br w:val="nil"/>
                    <w:tr2bl w:val="nil"/>
                  </w:tcBorders>
                  <w:vAlign w:val="center"/>
                </w:tcPr>
                <w:p w14:paraId="3A84F2A3">
                  <w:pPr>
                    <w:adjustRightInd w:val="0"/>
                    <w:snapToGrid w:val="0"/>
                    <w:jc w:val="center"/>
                    <w:rPr>
                      <w:color w:val="auto"/>
                      <w:kern w:val="0"/>
                    </w:rPr>
                  </w:pPr>
                  <w:r>
                    <w:rPr>
                      <w:color w:val="auto"/>
                      <w:kern w:val="0"/>
                    </w:rPr>
                    <w:t>PM43c</w:t>
                  </w:r>
                </w:p>
                <w:p w14:paraId="3A84F2A4">
                  <w:pPr>
                    <w:adjustRightInd w:val="0"/>
                    <w:snapToGrid w:val="0"/>
                    <w:jc w:val="center"/>
                    <w:rPr>
                      <w:color w:val="auto"/>
                      <w:kern w:val="0"/>
                    </w:rPr>
                  </w:pPr>
                  <w:r>
                    <w:rPr>
                      <w:color w:val="auto"/>
                      <w:kern w:val="0"/>
                    </w:rPr>
                    <w:t>Intermect</w:t>
                  </w:r>
                </w:p>
              </w:tc>
              <w:tc>
                <w:tcPr>
                  <w:tcW w:w="532" w:type="pct"/>
                  <w:tcBorders>
                    <w:tl2br w:val="nil"/>
                    <w:tr2bl w:val="nil"/>
                  </w:tcBorders>
                  <w:shd w:val="clear" w:color="auto" w:fill="auto"/>
                  <w:vAlign w:val="center"/>
                </w:tcPr>
                <w:p w14:paraId="3A84F2A5">
                  <w:pPr>
                    <w:adjustRightInd w:val="0"/>
                    <w:snapToGrid w:val="0"/>
                    <w:jc w:val="center"/>
                    <w:rPr>
                      <w:color w:val="auto"/>
                      <w:kern w:val="0"/>
                    </w:rPr>
                  </w:pPr>
                  <w:r>
                    <w:rPr>
                      <w:color w:val="auto"/>
                      <w:kern w:val="0"/>
                    </w:rPr>
                    <w:t>5</w:t>
                  </w:r>
                </w:p>
              </w:tc>
              <w:tc>
                <w:tcPr>
                  <w:tcW w:w="532" w:type="pct"/>
                  <w:tcBorders>
                    <w:tl2br w:val="nil"/>
                    <w:tr2bl w:val="nil"/>
                  </w:tcBorders>
                  <w:shd w:val="clear" w:color="auto" w:fill="auto"/>
                  <w:vAlign w:val="center"/>
                </w:tcPr>
                <w:p w14:paraId="3A84F2A6">
                  <w:pPr>
                    <w:adjustRightInd w:val="0"/>
                    <w:snapToGrid w:val="0"/>
                    <w:jc w:val="center"/>
                    <w:rPr>
                      <w:color w:val="auto"/>
                      <w:kern w:val="0"/>
                    </w:rPr>
                  </w:pPr>
                  <w:r>
                    <w:rPr>
                      <w:color w:val="auto"/>
                      <w:kern w:val="0"/>
                    </w:rPr>
                    <w:t>5</w:t>
                  </w:r>
                </w:p>
              </w:tc>
              <w:tc>
                <w:tcPr>
                  <w:tcW w:w="544" w:type="pct"/>
                  <w:tcBorders>
                    <w:tl2br w:val="nil"/>
                    <w:tr2bl w:val="nil"/>
                  </w:tcBorders>
                  <w:shd w:val="clear" w:color="auto" w:fill="auto"/>
                  <w:vAlign w:val="center"/>
                </w:tcPr>
                <w:p w14:paraId="3A84F2A7">
                  <w:pPr>
                    <w:adjustRightInd w:val="0"/>
                    <w:snapToGrid w:val="0"/>
                    <w:jc w:val="center"/>
                    <w:rPr>
                      <w:color w:val="auto"/>
                      <w:kern w:val="0"/>
                    </w:rPr>
                  </w:pPr>
                  <w:r>
                    <w:rPr>
                      <w:color w:val="auto"/>
                      <w:kern w:val="0"/>
                    </w:rPr>
                    <w:t>0</w:t>
                  </w:r>
                </w:p>
              </w:tc>
            </w:tr>
            <w:tr w14:paraId="3A84F2A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A9">
                  <w:pPr>
                    <w:adjustRightInd w:val="0"/>
                    <w:snapToGrid w:val="0"/>
                    <w:jc w:val="center"/>
                    <w:rPr>
                      <w:rFonts w:hint="eastAsia" w:eastAsia="宋体"/>
                      <w:color w:val="auto"/>
                      <w:kern w:val="0"/>
                      <w:lang w:val="en-US" w:eastAsia="zh-CN"/>
                    </w:rPr>
                  </w:pPr>
                  <w:r>
                    <w:rPr>
                      <w:rFonts w:hint="eastAsia"/>
                      <w:color w:val="auto"/>
                      <w:kern w:val="0"/>
                      <w:lang w:val="en-US" w:eastAsia="zh-CN"/>
                    </w:rPr>
                    <w:t>混合</w:t>
                  </w:r>
                </w:p>
              </w:tc>
              <w:tc>
                <w:tcPr>
                  <w:tcW w:w="1245" w:type="pct"/>
                  <w:tcBorders>
                    <w:tl2br w:val="nil"/>
                    <w:tr2bl w:val="nil"/>
                  </w:tcBorders>
                  <w:shd w:val="clear" w:color="auto" w:fill="auto"/>
                  <w:vAlign w:val="center"/>
                </w:tcPr>
                <w:p w14:paraId="3A84F2AA">
                  <w:pPr>
                    <w:adjustRightInd w:val="0"/>
                    <w:snapToGrid w:val="0"/>
                    <w:jc w:val="center"/>
                    <w:rPr>
                      <w:color w:val="auto"/>
                      <w:kern w:val="0"/>
                    </w:rPr>
                  </w:pPr>
                  <w:r>
                    <w:rPr>
                      <w:color w:val="auto"/>
                      <w:kern w:val="0"/>
                    </w:rPr>
                    <w:t>Ross混合器（泥浆搅拌混合器）</w:t>
                  </w:r>
                </w:p>
              </w:tc>
              <w:tc>
                <w:tcPr>
                  <w:tcW w:w="1493" w:type="pct"/>
                  <w:tcBorders>
                    <w:tl2br w:val="nil"/>
                    <w:tr2bl w:val="nil"/>
                  </w:tcBorders>
                  <w:vAlign w:val="center"/>
                </w:tcPr>
                <w:p w14:paraId="3A84F2AB">
                  <w:pPr>
                    <w:adjustRightInd w:val="0"/>
                    <w:snapToGrid w:val="0"/>
                    <w:jc w:val="center"/>
                    <w:rPr>
                      <w:color w:val="auto"/>
                      <w:kern w:val="0"/>
                    </w:rPr>
                  </w:pPr>
                  <w:r>
                    <w:rPr>
                      <w:color w:val="auto"/>
                      <w:kern w:val="0"/>
                    </w:rPr>
                    <w:t>DPM-2 220VAC/50Hz</w:t>
                  </w:r>
                </w:p>
              </w:tc>
              <w:tc>
                <w:tcPr>
                  <w:tcW w:w="532" w:type="pct"/>
                  <w:tcBorders>
                    <w:tl2br w:val="nil"/>
                    <w:tr2bl w:val="nil"/>
                  </w:tcBorders>
                  <w:shd w:val="clear" w:color="auto" w:fill="auto"/>
                  <w:vAlign w:val="center"/>
                </w:tcPr>
                <w:p w14:paraId="3A84F2AC">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2AD">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2AE">
                  <w:pPr>
                    <w:adjustRightInd w:val="0"/>
                    <w:snapToGrid w:val="0"/>
                    <w:jc w:val="center"/>
                    <w:rPr>
                      <w:color w:val="auto"/>
                      <w:kern w:val="0"/>
                    </w:rPr>
                  </w:pPr>
                  <w:r>
                    <w:rPr>
                      <w:color w:val="auto"/>
                      <w:kern w:val="0"/>
                    </w:rPr>
                    <w:t>0</w:t>
                  </w:r>
                </w:p>
              </w:tc>
            </w:tr>
            <w:tr w14:paraId="3A84F2B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B0">
                  <w:pPr>
                    <w:adjustRightInd w:val="0"/>
                    <w:snapToGrid w:val="0"/>
                    <w:jc w:val="center"/>
                    <w:rPr>
                      <w:rFonts w:hint="default" w:eastAsia="宋体"/>
                      <w:color w:val="auto"/>
                      <w:kern w:val="0"/>
                      <w:lang w:val="en-US" w:eastAsia="zh-CN"/>
                    </w:rPr>
                  </w:pPr>
                  <w:r>
                    <w:rPr>
                      <w:rFonts w:hint="eastAsia"/>
                      <w:color w:val="auto"/>
                      <w:kern w:val="0"/>
                      <w:lang w:val="en-US" w:eastAsia="zh-CN"/>
                    </w:rPr>
                    <w:t>制备去离子水</w:t>
                  </w:r>
                </w:p>
              </w:tc>
              <w:tc>
                <w:tcPr>
                  <w:tcW w:w="1245" w:type="pct"/>
                  <w:tcBorders>
                    <w:tl2br w:val="nil"/>
                    <w:tr2bl w:val="nil"/>
                  </w:tcBorders>
                  <w:shd w:val="clear" w:color="auto" w:fill="auto"/>
                  <w:vAlign w:val="center"/>
                </w:tcPr>
                <w:p w14:paraId="3A84F2B1">
                  <w:pPr>
                    <w:adjustRightInd w:val="0"/>
                    <w:snapToGrid w:val="0"/>
                    <w:jc w:val="center"/>
                    <w:rPr>
                      <w:color w:val="auto"/>
                      <w:kern w:val="0"/>
                    </w:rPr>
                  </w:pPr>
                  <w:r>
                    <w:rPr>
                      <w:color w:val="auto"/>
                      <w:kern w:val="0"/>
                    </w:rPr>
                    <w:t>去离子水制备机</w:t>
                  </w:r>
                </w:p>
              </w:tc>
              <w:tc>
                <w:tcPr>
                  <w:tcW w:w="1493" w:type="pct"/>
                  <w:tcBorders>
                    <w:tl2br w:val="nil"/>
                    <w:tr2bl w:val="nil"/>
                  </w:tcBorders>
                  <w:vAlign w:val="center"/>
                </w:tcPr>
                <w:p w14:paraId="3A84F2B2">
                  <w:pPr>
                    <w:adjustRightInd w:val="0"/>
                    <w:snapToGrid w:val="0"/>
                    <w:jc w:val="center"/>
                    <w:rPr>
                      <w:color w:val="auto"/>
                      <w:kern w:val="0"/>
                    </w:rPr>
                  </w:pPr>
                  <w:r>
                    <w:rPr>
                      <w:color w:val="auto"/>
                      <w:kern w:val="0"/>
                    </w:rPr>
                    <w:t>0.5t/a</w:t>
                  </w:r>
                </w:p>
              </w:tc>
              <w:tc>
                <w:tcPr>
                  <w:tcW w:w="532" w:type="pct"/>
                  <w:tcBorders>
                    <w:tl2br w:val="nil"/>
                    <w:tr2bl w:val="nil"/>
                  </w:tcBorders>
                  <w:shd w:val="clear" w:color="auto" w:fill="auto"/>
                  <w:vAlign w:val="center"/>
                </w:tcPr>
                <w:p w14:paraId="3A84F2B3">
                  <w:pPr>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2B4">
                  <w:pPr>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2B5">
                  <w:pPr>
                    <w:adjustRightInd w:val="0"/>
                    <w:snapToGrid w:val="0"/>
                    <w:jc w:val="center"/>
                    <w:rPr>
                      <w:color w:val="auto"/>
                      <w:kern w:val="0"/>
                    </w:rPr>
                  </w:pPr>
                  <w:r>
                    <w:rPr>
                      <w:color w:val="auto"/>
                      <w:kern w:val="0"/>
                    </w:rPr>
                    <w:t>0</w:t>
                  </w:r>
                </w:p>
              </w:tc>
            </w:tr>
            <w:tr w14:paraId="3A84F2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B7">
                  <w:pPr>
                    <w:adjustRightInd w:val="0"/>
                    <w:snapToGrid w:val="0"/>
                    <w:jc w:val="center"/>
                    <w:rPr>
                      <w:rFonts w:hint="default" w:eastAsia="宋体"/>
                      <w:color w:val="auto"/>
                      <w:kern w:val="0"/>
                      <w:lang w:val="en-US" w:eastAsia="zh-CN"/>
                    </w:rPr>
                  </w:pPr>
                  <w:r>
                    <w:rPr>
                      <w:rFonts w:hint="eastAsia"/>
                      <w:color w:val="auto"/>
                      <w:kern w:val="0"/>
                      <w:lang w:val="en-US" w:eastAsia="zh-CN"/>
                    </w:rPr>
                    <w:t>振荡混合</w:t>
                  </w:r>
                </w:p>
              </w:tc>
              <w:tc>
                <w:tcPr>
                  <w:tcW w:w="1245" w:type="pct"/>
                  <w:tcBorders>
                    <w:tl2br w:val="nil"/>
                    <w:tr2bl w:val="nil"/>
                  </w:tcBorders>
                  <w:shd w:val="clear" w:color="auto" w:fill="auto"/>
                  <w:vAlign w:val="center"/>
                </w:tcPr>
                <w:p w14:paraId="3A84F2B8">
                  <w:pPr>
                    <w:adjustRightInd w:val="0"/>
                    <w:snapToGrid w:val="0"/>
                    <w:jc w:val="center"/>
                    <w:rPr>
                      <w:color w:val="auto"/>
                      <w:kern w:val="0"/>
                    </w:rPr>
                  </w:pPr>
                  <w:r>
                    <w:rPr>
                      <w:color w:val="auto"/>
                      <w:kern w:val="0"/>
                    </w:rPr>
                    <w:t>振荡混合器</w:t>
                  </w:r>
                </w:p>
              </w:tc>
              <w:tc>
                <w:tcPr>
                  <w:tcW w:w="1493" w:type="pct"/>
                  <w:tcBorders>
                    <w:tl2br w:val="nil"/>
                    <w:tr2bl w:val="nil"/>
                  </w:tcBorders>
                  <w:vAlign w:val="center"/>
                </w:tcPr>
                <w:p w14:paraId="3A84F2B9">
                  <w:pPr>
                    <w:adjustRightInd w:val="0"/>
                    <w:snapToGrid w:val="0"/>
                    <w:jc w:val="center"/>
                    <w:rPr>
                      <w:color w:val="auto"/>
                      <w:kern w:val="0"/>
                    </w:rPr>
                  </w:pPr>
                  <w:r>
                    <w:rPr>
                      <w:color w:val="auto"/>
                      <w:kern w:val="0"/>
                    </w:rPr>
                    <w:t>#01400-X</w:t>
                  </w:r>
                </w:p>
                <w:p w14:paraId="3A84F2BA">
                  <w:pPr>
                    <w:adjustRightInd w:val="0"/>
                    <w:snapToGrid w:val="0"/>
                    <w:jc w:val="center"/>
                    <w:rPr>
                      <w:color w:val="auto"/>
                      <w:kern w:val="0"/>
                    </w:rPr>
                  </w:pPr>
                  <w:r>
                    <w:rPr>
                      <w:color w:val="auto"/>
                      <w:kern w:val="0"/>
                    </w:rPr>
                    <w:t>180VDC/1.7AMP</w:t>
                  </w:r>
                </w:p>
              </w:tc>
              <w:tc>
                <w:tcPr>
                  <w:tcW w:w="532" w:type="pct"/>
                  <w:tcBorders>
                    <w:tl2br w:val="nil"/>
                    <w:tr2bl w:val="nil"/>
                  </w:tcBorders>
                  <w:shd w:val="clear" w:color="auto" w:fill="auto"/>
                  <w:vAlign w:val="center"/>
                </w:tcPr>
                <w:p w14:paraId="3A84F2BB">
                  <w:pPr>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2BC">
                  <w:pPr>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2BD">
                  <w:pPr>
                    <w:adjustRightInd w:val="0"/>
                    <w:snapToGrid w:val="0"/>
                    <w:jc w:val="center"/>
                    <w:rPr>
                      <w:color w:val="auto"/>
                      <w:kern w:val="0"/>
                    </w:rPr>
                  </w:pPr>
                  <w:r>
                    <w:rPr>
                      <w:color w:val="auto"/>
                      <w:kern w:val="0"/>
                    </w:rPr>
                    <w:t>0</w:t>
                  </w:r>
                </w:p>
              </w:tc>
            </w:tr>
            <w:tr w14:paraId="3A84F2C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BF">
                  <w:pPr>
                    <w:adjustRightInd w:val="0"/>
                    <w:snapToGrid w:val="0"/>
                    <w:jc w:val="center"/>
                    <w:rPr>
                      <w:rFonts w:hint="eastAsia" w:eastAsia="宋体"/>
                      <w:color w:val="auto"/>
                      <w:kern w:val="0"/>
                      <w:lang w:val="en-US" w:eastAsia="zh-CN"/>
                    </w:rPr>
                  </w:pPr>
                  <w:r>
                    <w:rPr>
                      <w:rFonts w:hint="eastAsia"/>
                      <w:color w:val="auto"/>
                      <w:kern w:val="0"/>
                      <w:lang w:val="en-US" w:eastAsia="zh-CN"/>
                    </w:rPr>
                    <w:t>离心</w:t>
                  </w:r>
                </w:p>
              </w:tc>
              <w:tc>
                <w:tcPr>
                  <w:tcW w:w="1245" w:type="pct"/>
                  <w:tcBorders>
                    <w:tl2br w:val="nil"/>
                    <w:tr2bl w:val="nil"/>
                  </w:tcBorders>
                  <w:shd w:val="clear" w:color="auto" w:fill="auto"/>
                  <w:vAlign w:val="center"/>
                </w:tcPr>
                <w:p w14:paraId="3A84F2C0">
                  <w:pPr>
                    <w:adjustRightInd w:val="0"/>
                    <w:snapToGrid w:val="0"/>
                    <w:jc w:val="center"/>
                    <w:rPr>
                      <w:color w:val="auto"/>
                      <w:kern w:val="0"/>
                    </w:rPr>
                  </w:pPr>
                  <w:r>
                    <w:rPr>
                      <w:color w:val="auto"/>
                      <w:kern w:val="0"/>
                    </w:rPr>
                    <w:t>离心机</w:t>
                  </w:r>
                </w:p>
              </w:tc>
              <w:tc>
                <w:tcPr>
                  <w:tcW w:w="1493" w:type="pct"/>
                  <w:tcBorders>
                    <w:tl2br w:val="nil"/>
                    <w:tr2bl w:val="nil"/>
                  </w:tcBorders>
                  <w:vAlign w:val="center"/>
                </w:tcPr>
                <w:p w14:paraId="3A84F2C1">
                  <w:pPr>
                    <w:adjustRightInd w:val="0"/>
                    <w:snapToGrid w:val="0"/>
                    <w:jc w:val="center"/>
                    <w:rPr>
                      <w:color w:val="auto"/>
                      <w:kern w:val="0"/>
                    </w:rPr>
                  </w:pPr>
                  <w:r>
                    <w:rPr>
                      <w:color w:val="auto"/>
                      <w:kern w:val="0"/>
                    </w:rPr>
                    <w:t>0107000202-000010</w:t>
                  </w:r>
                </w:p>
                <w:p w14:paraId="3A84F2C2">
                  <w:pPr>
                    <w:adjustRightInd w:val="0"/>
                    <w:snapToGrid w:val="0"/>
                    <w:jc w:val="center"/>
                    <w:rPr>
                      <w:color w:val="auto"/>
                      <w:kern w:val="0"/>
                    </w:rPr>
                  </w:pPr>
                  <w:r>
                    <w:rPr>
                      <w:color w:val="auto"/>
                      <w:kern w:val="0"/>
                    </w:rPr>
                    <w:t>380VAC/RPN Max</w:t>
                  </w:r>
                </w:p>
                <w:p w14:paraId="3A84F2C3">
                  <w:pPr>
                    <w:adjustRightInd w:val="0"/>
                    <w:snapToGrid w:val="0"/>
                    <w:jc w:val="center"/>
                    <w:rPr>
                      <w:color w:val="auto"/>
                      <w:kern w:val="0"/>
                    </w:rPr>
                  </w:pPr>
                  <w:r>
                    <w:rPr>
                      <w:color w:val="auto"/>
                      <w:kern w:val="0"/>
                    </w:rPr>
                    <w:t>1500/3PH/50Hz</w:t>
                  </w:r>
                </w:p>
              </w:tc>
              <w:tc>
                <w:tcPr>
                  <w:tcW w:w="532" w:type="pct"/>
                  <w:tcBorders>
                    <w:tl2br w:val="nil"/>
                    <w:tr2bl w:val="nil"/>
                  </w:tcBorders>
                  <w:shd w:val="clear" w:color="auto" w:fill="auto"/>
                  <w:vAlign w:val="center"/>
                </w:tcPr>
                <w:p w14:paraId="3A84F2C4">
                  <w:pPr>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2C5">
                  <w:pPr>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2C6">
                  <w:pPr>
                    <w:adjustRightInd w:val="0"/>
                    <w:snapToGrid w:val="0"/>
                    <w:jc w:val="center"/>
                    <w:rPr>
                      <w:color w:val="auto"/>
                      <w:kern w:val="0"/>
                    </w:rPr>
                  </w:pPr>
                  <w:r>
                    <w:rPr>
                      <w:color w:val="auto"/>
                      <w:kern w:val="0"/>
                    </w:rPr>
                    <w:t>0</w:t>
                  </w:r>
                </w:p>
              </w:tc>
            </w:tr>
            <w:tr w14:paraId="3A84F2C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C8">
                  <w:pPr>
                    <w:adjustRightInd w:val="0"/>
                    <w:snapToGrid w:val="0"/>
                    <w:jc w:val="center"/>
                    <w:rPr>
                      <w:rFonts w:hint="default" w:eastAsia="宋体"/>
                      <w:color w:val="auto"/>
                      <w:kern w:val="0"/>
                      <w:lang w:val="en-US" w:eastAsia="zh-CN"/>
                    </w:rPr>
                  </w:pPr>
                  <w:r>
                    <w:rPr>
                      <w:rFonts w:hint="eastAsia"/>
                      <w:color w:val="auto"/>
                      <w:kern w:val="0"/>
                      <w:lang w:val="en-US" w:eastAsia="zh-CN"/>
                    </w:rPr>
                    <w:t>原料筛析</w:t>
                  </w:r>
                </w:p>
              </w:tc>
              <w:tc>
                <w:tcPr>
                  <w:tcW w:w="1245" w:type="pct"/>
                  <w:tcBorders>
                    <w:tl2br w:val="nil"/>
                    <w:tr2bl w:val="nil"/>
                  </w:tcBorders>
                  <w:shd w:val="clear" w:color="auto" w:fill="auto"/>
                  <w:vAlign w:val="center"/>
                </w:tcPr>
                <w:p w14:paraId="3A84F2C9">
                  <w:pPr>
                    <w:adjustRightInd w:val="0"/>
                    <w:snapToGrid w:val="0"/>
                    <w:jc w:val="center"/>
                    <w:rPr>
                      <w:color w:val="auto"/>
                      <w:kern w:val="0"/>
                    </w:rPr>
                  </w:pPr>
                  <w:r>
                    <w:rPr>
                      <w:color w:val="auto"/>
                      <w:kern w:val="0"/>
                    </w:rPr>
                    <w:t>PP（原料）筛析机</w:t>
                  </w:r>
                </w:p>
              </w:tc>
              <w:tc>
                <w:tcPr>
                  <w:tcW w:w="1493" w:type="pct"/>
                  <w:tcBorders>
                    <w:tl2br w:val="nil"/>
                    <w:tr2bl w:val="nil"/>
                  </w:tcBorders>
                  <w:vAlign w:val="center"/>
                </w:tcPr>
                <w:p w14:paraId="3A84F2CA">
                  <w:pPr>
                    <w:adjustRightInd w:val="0"/>
                    <w:snapToGrid w:val="0"/>
                    <w:jc w:val="center"/>
                    <w:rPr>
                      <w:color w:val="auto"/>
                      <w:kern w:val="0"/>
                    </w:rPr>
                  </w:pPr>
                  <w:r>
                    <w:rPr>
                      <w:color w:val="auto"/>
                      <w:kern w:val="0"/>
                    </w:rPr>
                    <w:t>RX-30-10</w:t>
                  </w:r>
                </w:p>
                <w:p w14:paraId="3A84F2CB">
                  <w:pPr>
                    <w:adjustRightInd w:val="0"/>
                    <w:snapToGrid w:val="0"/>
                    <w:jc w:val="center"/>
                    <w:rPr>
                      <w:color w:val="auto"/>
                      <w:kern w:val="0"/>
                    </w:rPr>
                  </w:pPr>
                  <w:r>
                    <w:rPr>
                      <w:color w:val="auto"/>
                      <w:kern w:val="0"/>
                    </w:rPr>
                    <w:t>230V/50Hz/2.9AMPS</w:t>
                  </w:r>
                </w:p>
              </w:tc>
              <w:tc>
                <w:tcPr>
                  <w:tcW w:w="532" w:type="pct"/>
                  <w:tcBorders>
                    <w:tl2br w:val="nil"/>
                    <w:tr2bl w:val="nil"/>
                  </w:tcBorders>
                  <w:shd w:val="clear" w:color="auto" w:fill="auto"/>
                  <w:vAlign w:val="center"/>
                </w:tcPr>
                <w:p w14:paraId="3A84F2CC">
                  <w:pPr>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2CD">
                  <w:pPr>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2CE">
                  <w:pPr>
                    <w:adjustRightInd w:val="0"/>
                    <w:snapToGrid w:val="0"/>
                    <w:jc w:val="center"/>
                    <w:rPr>
                      <w:color w:val="auto"/>
                      <w:kern w:val="0"/>
                    </w:rPr>
                  </w:pPr>
                  <w:r>
                    <w:rPr>
                      <w:color w:val="auto"/>
                      <w:kern w:val="0"/>
                    </w:rPr>
                    <w:t>0</w:t>
                  </w:r>
                </w:p>
              </w:tc>
            </w:tr>
            <w:tr w14:paraId="3A84F2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D0">
                  <w:pPr>
                    <w:adjustRightInd w:val="0"/>
                    <w:snapToGrid w:val="0"/>
                    <w:jc w:val="center"/>
                    <w:rPr>
                      <w:rFonts w:hint="eastAsia" w:eastAsia="宋体"/>
                      <w:color w:val="auto"/>
                      <w:kern w:val="0"/>
                      <w:lang w:val="en-US" w:eastAsia="zh-CN"/>
                    </w:rPr>
                  </w:pPr>
                  <w:r>
                    <w:rPr>
                      <w:rFonts w:hint="eastAsia"/>
                      <w:color w:val="auto"/>
                      <w:kern w:val="0"/>
                      <w:lang w:val="en-US" w:eastAsia="zh-CN"/>
                    </w:rPr>
                    <w:t>公辅</w:t>
                  </w:r>
                </w:p>
              </w:tc>
              <w:tc>
                <w:tcPr>
                  <w:tcW w:w="1245" w:type="pct"/>
                  <w:tcBorders>
                    <w:tl2br w:val="nil"/>
                    <w:tr2bl w:val="nil"/>
                  </w:tcBorders>
                  <w:shd w:val="clear" w:color="auto" w:fill="auto"/>
                  <w:vAlign w:val="center"/>
                </w:tcPr>
                <w:p w14:paraId="3A84F2D1">
                  <w:pPr>
                    <w:adjustRightInd w:val="0"/>
                    <w:snapToGrid w:val="0"/>
                    <w:jc w:val="center"/>
                    <w:rPr>
                      <w:color w:val="auto"/>
                      <w:kern w:val="0"/>
                    </w:rPr>
                  </w:pPr>
                  <w:r>
                    <w:rPr>
                      <w:color w:val="auto"/>
                      <w:kern w:val="0"/>
                    </w:rPr>
                    <w:t>手套操作间</w:t>
                  </w:r>
                </w:p>
              </w:tc>
              <w:tc>
                <w:tcPr>
                  <w:tcW w:w="1493" w:type="pct"/>
                  <w:tcBorders>
                    <w:tl2br w:val="nil"/>
                    <w:tr2bl w:val="nil"/>
                  </w:tcBorders>
                  <w:vAlign w:val="center"/>
                </w:tcPr>
                <w:p w14:paraId="3A84F2D2">
                  <w:pPr>
                    <w:adjustRightInd w:val="0"/>
                    <w:snapToGrid w:val="0"/>
                    <w:jc w:val="center"/>
                    <w:rPr>
                      <w:color w:val="auto"/>
                      <w:kern w:val="0"/>
                    </w:rPr>
                  </w:pPr>
                  <w:r>
                    <w:rPr>
                      <w:color w:val="auto"/>
                      <w:kern w:val="0"/>
                    </w:rPr>
                    <w:t>5080165</w:t>
                  </w:r>
                </w:p>
                <w:p w14:paraId="3A84F2D3">
                  <w:pPr>
                    <w:adjustRightInd w:val="0"/>
                    <w:snapToGrid w:val="0"/>
                    <w:jc w:val="center"/>
                    <w:rPr>
                      <w:color w:val="auto"/>
                      <w:kern w:val="0"/>
                    </w:rPr>
                  </w:pPr>
                  <w:r>
                    <w:rPr>
                      <w:color w:val="auto"/>
                      <w:kern w:val="0"/>
                    </w:rPr>
                    <w:t>220V/1PH/15APMS</w:t>
                  </w:r>
                </w:p>
              </w:tc>
              <w:tc>
                <w:tcPr>
                  <w:tcW w:w="532" w:type="pct"/>
                  <w:tcBorders>
                    <w:tl2br w:val="nil"/>
                    <w:tr2bl w:val="nil"/>
                  </w:tcBorders>
                  <w:shd w:val="clear" w:color="auto" w:fill="auto"/>
                  <w:vAlign w:val="center"/>
                </w:tcPr>
                <w:p w14:paraId="3A84F2D4">
                  <w:pPr>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2D5">
                  <w:pPr>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2D6">
                  <w:pPr>
                    <w:adjustRightInd w:val="0"/>
                    <w:snapToGrid w:val="0"/>
                    <w:jc w:val="center"/>
                    <w:rPr>
                      <w:color w:val="auto"/>
                      <w:kern w:val="0"/>
                    </w:rPr>
                  </w:pPr>
                  <w:r>
                    <w:rPr>
                      <w:color w:val="auto"/>
                      <w:kern w:val="0"/>
                    </w:rPr>
                    <w:t>0</w:t>
                  </w:r>
                </w:p>
              </w:tc>
            </w:tr>
            <w:tr w14:paraId="3A84F2D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6"/>
                  <w:tcBorders>
                    <w:tl2br w:val="nil"/>
                    <w:tr2bl w:val="nil"/>
                  </w:tcBorders>
                  <w:vAlign w:val="center"/>
                </w:tcPr>
                <w:p w14:paraId="3A84F2D8">
                  <w:pPr>
                    <w:adjustRightInd w:val="0"/>
                    <w:snapToGrid w:val="0"/>
                    <w:jc w:val="center"/>
                    <w:rPr>
                      <w:b/>
                      <w:bCs/>
                      <w:color w:val="auto"/>
                      <w:kern w:val="0"/>
                    </w:rPr>
                  </w:pPr>
                  <w:r>
                    <w:rPr>
                      <w:b/>
                      <w:bCs/>
                      <w:color w:val="auto"/>
                      <w:kern w:val="0"/>
                    </w:rPr>
                    <w:t>点火具生产线</w:t>
                  </w:r>
                </w:p>
              </w:tc>
            </w:tr>
            <w:tr w14:paraId="3A84F2E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DA">
                  <w:pPr>
                    <w:adjustRightInd w:val="0"/>
                    <w:snapToGrid w:val="0"/>
                    <w:jc w:val="center"/>
                    <w:rPr>
                      <w:rFonts w:hint="eastAsia" w:eastAsia="宋体"/>
                      <w:color w:val="auto"/>
                      <w:kern w:val="0"/>
                      <w:lang w:val="en-US" w:eastAsia="zh-CN"/>
                    </w:rPr>
                  </w:pPr>
                  <w:r>
                    <w:rPr>
                      <w:rFonts w:hint="eastAsia"/>
                      <w:color w:val="auto"/>
                      <w:kern w:val="0"/>
                      <w:lang w:val="en-US" w:eastAsia="zh-CN"/>
                    </w:rPr>
                    <w:t>激光器</w:t>
                  </w:r>
                </w:p>
              </w:tc>
              <w:tc>
                <w:tcPr>
                  <w:tcW w:w="1245" w:type="pct"/>
                  <w:tcBorders>
                    <w:tl2br w:val="nil"/>
                    <w:tr2bl w:val="nil"/>
                  </w:tcBorders>
                  <w:shd w:val="clear" w:color="auto" w:fill="auto"/>
                  <w:vAlign w:val="center"/>
                </w:tcPr>
                <w:p w14:paraId="3A84F2DB">
                  <w:pPr>
                    <w:adjustRightInd w:val="0"/>
                    <w:snapToGrid w:val="0"/>
                    <w:jc w:val="center"/>
                    <w:rPr>
                      <w:color w:val="auto"/>
                      <w:kern w:val="0"/>
                    </w:rPr>
                  </w:pPr>
                  <w:r>
                    <w:rPr>
                      <w:color w:val="auto"/>
                      <w:kern w:val="0"/>
                    </w:rPr>
                    <w:t>光纤激光器</w:t>
                  </w:r>
                </w:p>
                <w:p w14:paraId="3A84F2DC">
                  <w:pPr>
                    <w:adjustRightInd w:val="0"/>
                    <w:snapToGrid w:val="0"/>
                    <w:jc w:val="center"/>
                    <w:rPr>
                      <w:color w:val="auto"/>
                      <w:kern w:val="0"/>
                    </w:rPr>
                  </w:pPr>
                  <w:r>
                    <w:rPr>
                      <w:color w:val="auto"/>
                      <w:kern w:val="0"/>
                    </w:rPr>
                    <w:t>（Miatchi）</w:t>
                  </w:r>
                </w:p>
              </w:tc>
              <w:tc>
                <w:tcPr>
                  <w:tcW w:w="1493" w:type="pct"/>
                  <w:tcBorders>
                    <w:tl2br w:val="nil"/>
                    <w:tr2bl w:val="nil"/>
                  </w:tcBorders>
                  <w:vAlign w:val="center"/>
                </w:tcPr>
                <w:p w14:paraId="3A84F2DD">
                  <w:pPr>
                    <w:adjustRightInd w:val="0"/>
                    <w:snapToGrid w:val="0"/>
                    <w:jc w:val="center"/>
                    <w:rPr>
                      <w:color w:val="auto"/>
                      <w:kern w:val="0"/>
                    </w:rPr>
                  </w:pPr>
                  <w:r>
                    <w:rPr>
                      <w:color w:val="auto"/>
                      <w:kern w:val="0"/>
                    </w:rPr>
                    <w:t>LW500AE</w:t>
                  </w:r>
                </w:p>
              </w:tc>
              <w:tc>
                <w:tcPr>
                  <w:tcW w:w="532" w:type="pct"/>
                  <w:tcBorders>
                    <w:tl2br w:val="nil"/>
                    <w:tr2bl w:val="nil"/>
                  </w:tcBorders>
                  <w:shd w:val="clear" w:color="auto" w:fill="auto"/>
                  <w:vAlign w:val="center"/>
                </w:tcPr>
                <w:p w14:paraId="3A84F2DE">
                  <w:pPr>
                    <w:adjustRightInd w:val="0"/>
                    <w:snapToGrid w:val="0"/>
                    <w:jc w:val="center"/>
                    <w:rPr>
                      <w:color w:val="auto"/>
                      <w:kern w:val="0"/>
                    </w:rPr>
                  </w:pPr>
                  <w:r>
                    <w:rPr>
                      <w:color w:val="auto"/>
                      <w:kern w:val="0"/>
                    </w:rPr>
                    <w:t>8</w:t>
                  </w:r>
                </w:p>
              </w:tc>
              <w:tc>
                <w:tcPr>
                  <w:tcW w:w="532" w:type="pct"/>
                  <w:tcBorders>
                    <w:tl2br w:val="nil"/>
                    <w:tr2bl w:val="nil"/>
                  </w:tcBorders>
                  <w:shd w:val="clear" w:color="auto" w:fill="auto"/>
                  <w:vAlign w:val="center"/>
                </w:tcPr>
                <w:p w14:paraId="3A84F2DF">
                  <w:pPr>
                    <w:adjustRightInd w:val="0"/>
                    <w:snapToGrid w:val="0"/>
                    <w:jc w:val="center"/>
                    <w:rPr>
                      <w:color w:val="auto"/>
                      <w:kern w:val="0"/>
                    </w:rPr>
                  </w:pPr>
                  <w:r>
                    <w:rPr>
                      <w:color w:val="auto"/>
                      <w:kern w:val="0"/>
                    </w:rPr>
                    <w:t>8</w:t>
                  </w:r>
                </w:p>
              </w:tc>
              <w:tc>
                <w:tcPr>
                  <w:tcW w:w="544" w:type="pct"/>
                  <w:tcBorders>
                    <w:tl2br w:val="nil"/>
                    <w:tr2bl w:val="nil"/>
                  </w:tcBorders>
                  <w:shd w:val="clear" w:color="auto" w:fill="auto"/>
                  <w:vAlign w:val="center"/>
                </w:tcPr>
                <w:p w14:paraId="3A84F2E0">
                  <w:pPr>
                    <w:adjustRightInd w:val="0"/>
                    <w:snapToGrid w:val="0"/>
                    <w:jc w:val="center"/>
                    <w:rPr>
                      <w:color w:val="auto"/>
                      <w:kern w:val="0"/>
                    </w:rPr>
                  </w:pPr>
                  <w:r>
                    <w:rPr>
                      <w:color w:val="auto"/>
                      <w:kern w:val="0"/>
                    </w:rPr>
                    <w:t>0</w:t>
                  </w:r>
                </w:p>
              </w:tc>
            </w:tr>
            <w:tr w14:paraId="3A84F2E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E2">
                  <w:pPr>
                    <w:adjustRightInd w:val="0"/>
                    <w:snapToGrid w:val="0"/>
                    <w:jc w:val="center"/>
                    <w:rPr>
                      <w:rFonts w:hint="eastAsia" w:eastAsia="宋体"/>
                      <w:color w:val="auto"/>
                      <w:kern w:val="0"/>
                      <w:lang w:val="en-US" w:eastAsia="zh-CN"/>
                    </w:rPr>
                  </w:pPr>
                  <w:r>
                    <w:rPr>
                      <w:rFonts w:hint="eastAsia"/>
                      <w:color w:val="auto"/>
                      <w:kern w:val="0"/>
                      <w:lang w:val="en-US" w:eastAsia="zh-CN"/>
                    </w:rPr>
                    <w:t>焊接</w:t>
                  </w:r>
                </w:p>
              </w:tc>
              <w:tc>
                <w:tcPr>
                  <w:tcW w:w="1245" w:type="pct"/>
                  <w:tcBorders>
                    <w:tl2br w:val="nil"/>
                    <w:tr2bl w:val="nil"/>
                  </w:tcBorders>
                  <w:shd w:val="clear" w:color="auto" w:fill="auto"/>
                  <w:vAlign w:val="center"/>
                </w:tcPr>
                <w:p w14:paraId="3A84F2E3">
                  <w:pPr>
                    <w:adjustRightInd w:val="0"/>
                    <w:snapToGrid w:val="0"/>
                    <w:jc w:val="center"/>
                    <w:rPr>
                      <w:color w:val="auto"/>
                      <w:kern w:val="0"/>
                    </w:rPr>
                  </w:pPr>
                  <w:r>
                    <w:rPr>
                      <w:color w:val="auto"/>
                      <w:kern w:val="0"/>
                    </w:rPr>
                    <w:t>桥丝焊接单元</w:t>
                  </w:r>
                </w:p>
              </w:tc>
              <w:tc>
                <w:tcPr>
                  <w:tcW w:w="1493" w:type="pct"/>
                  <w:tcBorders>
                    <w:tl2br w:val="nil"/>
                    <w:tr2bl w:val="nil"/>
                  </w:tcBorders>
                  <w:vAlign w:val="center"/>
                </w:tcPr>
                <w:p w14:paraId="3A84F2E4">
                  <w:pPr>
                    <w:adjustRightInd w:val="0"/>
                    <w:snapToGrid w:val="0"/>
                    <w:jc w:val="center"/>
                    <w:rPr>
                      <w:color w:val="auto"/>
                      <w:kern w:val="0"/>
                    </w:rPr>
                  </w:pPr>
                  <w:r>
                    <w:rPr>
                      <w:color w:val="auto"/>
                      <w:kern w:val="0"/>
                    </w:rPr>
                    <w:t>桥丝焊接，CH和HEADER焊接</w:t>
                  </w:r>
                </w:p>
              </w:tc>
              <w:tc>
                <w:tcPr>
                  <w:tcW w:w="532" w:type="pct"/>
                  <w:tcBorders>
                    <w:tl2br w:val="nil"/>
                    <w:tr2bl w:val="nil"/>
                  </w:tcBorders>
                  <w:shd w:val="clear" w:color="auto" w:fill="auto"/>
                  <w:vAlign w:val="center"/>
                </w:tcPr>
                <w:p w14:paraId="3A84F2E5">
                  <w:pPr>
                    <w:adjustRightInd w:val="0"/>
                    <w:snapToGrid w:val="0"/>
                    <w:jc w:val="center"/>
                    <w:rPr>
                      <w:color w:val="auto"/>
                      <w:kern w:val="0"/>
                    </w:rPr>
                  </w:pPr>
                  <w:r>
                    <w:rPr>
                      <w:color w:val="auto"/>
                      <w:kern w:val="0"/>
                    </w:rPr>
                    <w:t>10</w:t>
                  </w:r>
                </w:p>
              </w:tc>
              <w:tc>
                <w:tcPr>
                  <w:tcW w:w="532" w:type="pct"/>
                  <w:tcBorders>
                    <w:tl2br w:val="nil"/>
                    <w:tr2bl w:val="nil"/>
                  </w:tcBorders>
                  <w:shd w:val="clear" w:color="auto" w:fill="auto"/>
                  <w:vAlign w:val="center"/>
                </w:tcPr>
                <w:p w14:paraId="3A84F2E6">
                  <w:pPr>
                    <w:adjustRightInd w:val="0"/>
                    <w:snapToGrid w:val="0"/>
                    <w:jc w:val="center"/>
                    <w:rPr>
                      <w:color w:val="auto"/>
                      <w:kern w:val="0"/>
                    </w:rPr>
                  </w:pPr>
                  <w:r>
                    <w:rPr>
                      <w:color w:val="auto"/>
                      <w:kern w:val="0"/>
                    </w:rPr>
                    <w:t>10</w:t>
                  </w:r>
                </w:p>
              </w:tc>
              <w:tc>
                <w:tcPr>
                  <w:tcW w:w="544" w:type="pct"/>
                  <w:tcBorders>
                    <w:tl2br w:val="nil"/>
                    <w:tr2bl w:val="nil"/>
                  </w:tcBorders>
                  <w:shd w:val="clear" w:color="auto" w:fill="auto"/>
                  <w:vAlign w:val="center"/>
                </w:tcPr>
                <w:p w14:paraId="3A84F2E7">
                  <w:pPr>
                    <w:adjustRightInd w:val="0"/>
                    <w:snapToGrid w:val="0"/>
                    <w:jc w:val="center"/>
                    <w:rPr>
                      <w:color w:val="auto"/>
                      <w:kern w:val="0"/>
                    </w:rPr>
                  </w:pPr>
                  <w:r>
                    <w:rPr>
                      <w:color w:val="auto"/>
                      <w:kern w:val="0"/>
                    </w:rPr>
                    <w:t>0</w:t>
                  </w:r>
                </w:p>
              </w:tc>
            </w:tr>
            <w:tr w14:paraId="3A84F2E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E9">
                  <w:pPr>
                    <w:adjustRightInd w:val="0"/>
                    <w:snapToGrid w:val="0"/>
                    <w:jc w:val="center"/>
                    <w:rPr>
                      <w:rFonts w:hint="eastAsia" w:eastAsia="宋体"/>
                      <w:color w:val="auto"/>
                      <w:kern w:val="0"/>
                      <w:lang w:val="en-US" w:eastAsia="zh-CN"/>
                    </w:rPr>
                  </w:pPr>
                  <w:r>
                    <w:rPr>
                      <w:rFonts w:hint="eastAsia"/>
                      <w:color w:val="auto"/>
                      <w:kern w:val="0"/>
                      <w:lang w:val="en-US" w:eastAsia="zh-CN"/>
                    </w:rPr>
                    <w:t>组装焊接</w:t>
                  </w:r>
                </w:p>
              </w:tc>
              <w:tc>
                <w:tcPr>
                  <w:tcW w:w="1245" w:type="pct"/>
                  <w:tcBorders>
                    <w:tl2br w:val="nil"/>
                    <w:tr2bl w:val="nil"/>
                  </w:tcBorders>
                  <w:shd w:val="clear" w:color="auto" w:fill="auto"/>
                  <w:vAlign w:val="center"/>
                </w:tcPr>
                <w:p w14:paraId="3A84F2EA">
                  <w:pPr>
                    <w:adjustRightInd w:val="0"/>
                    <w:snapToGrid w:val="0"/>
                    <w:jc w:val="center"/>
                    <w:rPr>
                      <w:color w:val="auto"/>
                      <w:kern w:val="0"/>
                    </w:rPr>
                  </w:pPr>
                  <w:r>
                    <w:rPr>
                      <w:color w:val="auto"/>
                      <w:kern w:val="0"/>
                    </w:rPr>
                    <w:t>CAW单元</w:t>
                  </w:r>
                </w:p>
              </w:tc>
              <w:tc>
                <w:tcPr>
                  <w:tcW w:w="1493" w:type="pct"/>
                  <w:tcBorders>
                    <w:tl2br w:val="nil"/>
                    <w:tr2bl w:val="nil"/>
                  </w:tcBorders>
                  <w:vAlign w:val="center"/>
                </w:tcPr>
                <w:p w14:paraId="3A84F2EB">
                  <w:pPr>
                    <w:adjustRightInd w:val="0"/>
                    <w:snapToGrid w:val="0"/>
                    <w:jc w:val="center"/>
                    <w:rPr>
                      <w:color w:val="auto"/>
                      <w:kern w:val="0"/>
                    </w:rPr>
                  </w:pPr>
                  <w:r>
                    <w:rPr>
                      <w:color w:val="auto"/>
                      <w:kern w:val="0"/>
                    </w:rPr>
                    <w:t>CHA和CUP组装并焊接</w:t>
                  </w:r>
                </w:p>
              </w:tc>
              <w:tc>
                <w:tcPr>
                  <w:tcW w:w="532" w:type="pct"/>
                  <w:tcBorders>
                    <w:tl2br w:val="nil"/>
                    <w:tr2bl w:val="nil"/>
                  </w:tcBorders>
                  <w:shd w:val="clear" w:color="auto" w:fill="auto"/>
                  <w:vAlign w:val="center"/>
                </w:tcPr>
                <w:p w14:paraId="3A84F2EC">
                  <w:pPr>
                    <w:adjustRightInd w:val="0"/>
                    <w:snapToGrid w:val="0"/>
                    <w:jc w:val="center"/>
                    <w:rPr>
                      <w:color w:val="auto"/>
                      <w:kern w:val="0"/>
                    </w:rPr>
                  </w:pPr>
                  <w:r>
                    <w:rPr>
                      <w:color w:val="auto"/>
                      <w:kern w:val="0"/>
                    </w:rPr>
                    <w:t>10</w:t>
                  </w:r>
                </w:p>
              </w:tc>
              <w:tc>
                <w:tcPr>
                  <w:tcW w:w="532" w:type="pct"/>
                  <w:tcBorders>
                    <w:tl2br w:val="nil"/>
                    <w:tr2bl w:val="nil"/>
                  </w:tcBorders>
                  <w:shd w:val="clear" w:color="auto" w:fill="auto"/>
                  <w:vAlign w:val="center"/>
                </w:tcPr>
                <w:p w14:paraId="3A84F2ED">
                  <w:pPr>
                    <w:adjustRightInd w:val="0"/>
                    <w:snapToGrid w:val="0"/>
                    <w:jc w:val="center"/>
                    <w:rPr>
                      <w:color w:val="auto"/>
                      <w:kern w:val="0"/>
                    </w:rPr>
                  </w:pPr>
                  <w:r>
                    <w:rPr>
                      <w:color w:val="auto"/>
                      <w:kern w:val="0"/>
                    </w:rPr>
                    <w:t>10</w:t>
                  </w:r>
                </w:p>
              </w:tc>
              <w:tc>
                <w:tcPr>
                  <w:tcW w:w="544" w:type="pct"/>
                  <w:tcBorders>
                    <w:tl2br w:val="nil"/>
                    <w:tr2bl w:val="nil"/>
                  </w:tcBorders>
                  <w:shd w:val="clear" w:color="auto" w:fill="auto"/>
                  <w:vAlign w:val="center"/>
                </w:tcPr>
                <w:p w14:paraId="3A84F2EE">
                  <w:pPr>
                    <w:adjustRightInd w:val="0"/>
                    <w:snapToGrid w:val="0"/>
                    <w:jc w:val="center"/>
                    <w:rPr>
                      <w:color w:val="auto"/>
                      <w:kern w:val="0"/>
                    </w:rPr>
                  </w:pPr>
                  <w:r>
                    <w:rPr>
                      <w:color w:val="auto"/>
                      <w:kern w:val="0"/>
                    </w:rPr>
                    <w:t>0</w:t>
                  </w:r>
                </w:p>
              </w:tc>
            </w:tr>
            <w:tr w14:paraId="3A84F2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F0">
                  <w:pPr>
                    <w:adjustRightInd w:val="0"/>
                    <w:snapToGrid w:val="0"/>
                    <w:jc w:val="center"/>
                    <w:rPr>
                      <w:rFonts w:hint="eastAsia" w:eastAsia="宋体"/>
                      <w:color w:val="auto"/>
                      <w:kern w:val="0"/>
                      <w:lang w:val="en-US" w:eastAsia="zh-CN"/>
                    </w:rPr>
                  </w:pPr>
                  <w:r>
                    <w:rPr>
                      <w:rFonts w:hint="eastAsia"/>
                      <w:color w:val="auto"/>
                      <w:kern w:val="0"/>
                      <w:lang w:val="en-US" w:eastAsia="zh-CN"/>
                    </w:rPr>
                    <w:t>激光器</w:t>
                  </w:r>
                </w:p>
              </w:tc>
              <w:tc>
                <w:tcPr>
                  <w:tcW w:w="1245" w:type="pct"/>
                  <w:tcBorders>
                    <w:tl2br w:val="nil"/>
                    <w:tr2bl w:val="nil"/>
                  </w:tcBorders>
                  <w:shd w:val="clear" w:color="auto" w:fill="auto"/>
                  <w:vAlign w:val="center"/>
                </w:tcPr>
                <w:p w14:paraId="3A84F2F1">
                  <w:pPr>
                    <w:adjustRightInd w:val="0"/>
                    <w:snapToGrid w:val="0"/>
                    <w:jc w:val="center"/>
                    <w:rPr>
                      <w:color w:val="auto"/>
                      <w:kern w:val="0"/>
                    </w:rPr>
                  </w:pPr>
                  <w:r>
                    <w:rPr>
                      <w:color w:val="auto"/>
                      <w:kern w:val="0"/>
                    </w:rPr>
                    <w:t>光纤激光器（IPG）</w:t>
                  </w:r>
                </w:p>
              </w:tc>
              <w:tc>
                <w:tcPr>
                  <w:tcW w:w="1493" w:type="pct"/>
                  <w:tcBorders>
                    <w:tl2br w:val="nil"/>
                    <w:tr2bl w:val="nil"/>
                  </w:tcBorders>
                  <w:vAlign w:val="center"/>
                </w:tcPr>
                <w:p w14:paraId="3A84F2F2">
                  <w:pPr>
                    <w:adjustRightInd w:val="0"/>
                    <w:snapToGrid w:val="0"/>
                    <w:jc w:val="center"/>
                    <w:rPr>
                      <w:color w:val="auto"/>
                      <w:kern w:val="0"/>
                    </w:rPr>
                  </w:pPr>
                  <w:r>
                    <w:rPr>
                      <w:color w:val="auto"/>
                      <w:kern w:val="0"/>
                    </w:rPr>
                    <w:t>YLS-1000</w:t>
                  </w:r>
                </w:p>
              </w:tc>
              <w:tc>
                <w:tcPr>
                  <w:tcW w:w="532" w:type="pct"/>
                  <w:tcBorders>
                    <w:tl2br w:val="nil"/>
                    <w:tr2bl w:val="nil"/>
                  </w:tcBorders>
                  <w:shd w:val="clear" w:color="auto" w:fill="auto"/>
                  <w:vAlign w:val="center"/>
                </w:tcPr>
                <w:p w14:paraId="3A84F2F3">
                  <w:pPr>
                    <w:adjustRightInd w:val="0"/>
                    <w:snapToGrid w:val="0"/>
                    <w:jc w:val="center"/>
                    <w:rPr>
                      <w:color w:val="auto"/>
                      <w:kern w:val="0"/>
                    </w:rPr>
                  </w:pPr>
                  <w:r>
                    <w:rPr>
                      <w:color w:val="auto"/>
                      <w:kern w:val="0"/>
                    </w:rPr>
                    <w:t>13</w:t>
                  </w:r>
                </w:p>
              </w:tc>
              <w:tc>
                <w:tcPr>
                  <w:tcW w:w="532" w:type="pct"/>
                  <w:tcBorders>
                    <w:tl2br w:val="nil"/>
                    <w:tr2bl w:val="nil"/>
                  </w:tcBorders>
                  <w:shd w:val="clear" w:color="auto" w:fill="auto"/>
                  <w:vAlign w:val="center"/>
                </w:tcPr>
                <w:p w14:paraId="3A84F2F4">
                  <w:pPr>
                    <w:adjustRightInd w:val="0"/>
                    <w:snapToGrid w:val="0"/>
                    <w:jc w:val="center"/>
                    <w:rPr>
                      <w:color w:val="auto"/>
                      <w:kern w:val="0"/>
                    </w:rPr>
                  </w:pPr>
                  <w:r>
                    <w:rPr>
                      <w:color w:val="auto"/>
                      <w:kern w:val="0"/>
                    </w:rPr>
                    <w:t>13</w:t>
                  </w:r>
                </w:p>
              </w:tc>
              <w:tc>
                <w:tcPr>
                  <w:tcW w:w="544" w:type="pct"/>
                  <w:tcBorders>
                    <w:tl2br w:val="nil"/>
                    <w:tr2bl w:val="nil"/>
                  </w:tcBorders>
                  <w:shd w:val="clear" w:color="auto" w:fill="auto"/>
                  <w:vAlign w:val="center"/>
                </w:tcPr>
                <w:p w14:paraId="3A84F2F5">
                  <w:pPr>
                    <w:adjustRightInd w:val="0"/>
                    <w:snapToGrid w:val="0"/>
                    <w:jc w:val="center"/>
                    <w:rPr>
                      <w:color w:val="auto"/>
                      <w:kern w:val="0"/>
                    </w:rPr>
                  </w:pPr>
                  <w:r>
                    <w:rPr>
                      <w:color w:val="auto"/>
                      <w:kern w:val="0"/>
                    </w:rPr>
                    <w:t>0</w:t>
                  </w:r>
                </w:p>
              </w:tc>
            </w:tr>
            <w:tr w14:paraId="3A84F2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F7">
                  <w:pPr>
                    <w:adjustRightInd w:val="0"/>
                    <w:snapToGrid w:val="0"/>
                    <w:jc w:val="center"/>
                    <w:rPr>
                      <w:rFonts w:hint="eastAsia" w:eastAsia="宋体"/>
                      <w:color w:val="auto"/>
                      <w:kern w:val="0"/>
                      <w:lang w:val="en-US" w:eastAsia="zh-CN"/>
                    </w:rPr>
                  </w:pPr>
                  <w:r>
                    <w:rPr>
                      <w:rFonts w:hint="eastAsia"/>
                      <w:color w:val="auto"/>
                      <w:kern w:val="0"/>
                      <w:lang w:val="en-US" w:eastAsia="zh-CN"/>
                    </w:rPr>
                    <w:t>冷冻机</w:t>
                  </w:r>
                </w:p>
              </w:tc>
              <w:tc>
                <w:tcPr>
                  <w:tcW w:w="1245" w:type="pct"/>
                  <w:tcBorders>
                    <w:tl2br w:val="nil"/>
                    <w:tr2bl w:val="nil"/>
                  </w:tcBorders>
                  <w:shd w:val="clear" w:color="auto" w:fill="auto"/>
                  <w:vAlign w:val="center"/>
                </w:tcPr>
                <w:p w14:paraId="3A84F2F8">
                  <w:pPr>
                    <w:adjustRightInd w:val="0"/>
                    <w:snapToGrid w:val="0"/>
                    <w:jc w:val="center"/>
                    <w:rPr>
                      <w:color w:val="auto"/>
                      <w:kern w:val="0"/>
                    </w:rPr>
                  </w:pPr>
                  <w:r>
                    <w:rPr>
                      <w:color w:val="auto"/>
                      <w:kern w:val="0"/>
                    </w:rPr>
                    <w:t>光纤激光器冷冻机</w:t>
                  </w:r>
                </w:p>
              </w:tc>
              <w:tc>
                <w:tcPr>
                  <w:tcW w:w="1493" w:type="pct"/>
                  <w:tcBorders>
                    <w:tl2br w:val="nil"/>
                    <w:tr2bl w:val="nil"/>
                  </w:tcBorders>
                  <w:vAlign w:val="center"/>
                </w:tcPr>
                <w:p w14:paraId="3A84F2F9">
                  <w:pPr>
                    <w:adjustRightInd w:val="0"/>
                    <w:snapToGrid w:val="0"/>
                    <w:jc w:val="center"/>
                    <w:rPr>
                      <w:color w:val="auto"/>
                      <w:kern w:val="0"/>
                    </w:rPr>
                  </w:pPr>
                  <w:r>
                    <w:rPr>
                      <w:color w:val="auto"/>
                      <w:kern w:val="0"/>
                    </w:rPr>
                    <w:t>LCS20J01FB2M024</w:t>
                  </w:r>
                </w:p>
              </w:tc>
              <w:tc>
                <w:tcPr>
                  <w:tcW w:w="532" w:type="pct"/>
                  <w:tcBorders>
                    <w:tl2br w:val="nil"/>
                    <w:tr2bl w:val="nil"/>
                  </w:tcBorders>
                  <w:shd w:val="clear" w:color="auto" w:fill="auto"/>
                  <w:vAlign w:val="center"/>
                </w:tcPr>
                <w:p w14:paraId="3A84F2FA">
                  <w:pPr>
                    <w:adjustRightInd w:val="0"/>
                    <w:snapToGrid w:val="0"/>
                    <w:jc w:val="center"/>
                    <w:rPr>
                      <w:color w:val="auto"/>
                      <w:kern w:val="0"/>
                    </w:rPr>
                  </w:pPr>
                  <w:r>
                    <w:rPr>
                      <w:color w:val="auto"/>
                      <w:kern w:val="0"/>
                    </w:rPr>
                    <w:t>10</w:t>
                  </w:r>
                </w:p>
              </w:tc>
              <w:tc>
                <w:tcPr>
                  <w:tcW w:w="532" w:type="pct"/>
                  <w:tcBorders>
                    <w:tl2br w:val="nil"/>
                    <w:tr2bl w:val="nil"/>
                  </w:tcBorders>
                  <w:shd w:val="clear" w:color="auto" w:fill="auto"/>
                  <w:vAlign w:val="center"/>
                </w:tcPr>
                <w:p w14:paraId="3A84F2FB">
                  <w:pPr>
                    <w:adjustRightInd w:val="0"/>
                    <w:snapToGrid w:val="0"/>
                    <w:jc w:val="center"/>
                    <w:rPr>
                      <w:color w:val="auto"/>
                      <w:kern w:val="0"/>
                    </w:rPr>
                  </w:pPr>
                  <w:r>
                    <w:rPr>
                      <w:color w:val="auto"/>
                      <w:kern w:val="0"/>
                    </w:rPr>
                    <w:t>10</w:t>
                  </w:r>
                </w:p>
              </w:tc>
              <w:tc>
                <w:tcPr>
                  <w:tcW w:w="544" w:type="pct"/>
                  <w:tcBorders>
                    <w:tl2br w:val="nil"/>
                    <w:tr2bl w:val="nil"/>
                  </w:tcBorders>
                  <w:shd w:val="clear" w:color="auto" w:fill="auto"/>
                  <w:vAlign w:val="center"/>
                </w:tcPr>
                <w:p w14:paraId="3A84F2FC">
                  <w:pPr>
                    <w:adjustRightInd w:val="0"/>
                    <w:snapToGrid w:val="0"/>
                    <w:jc w:val="center"/>
                    <w:rPr>
                      <w:color w:val="auto"/>
                      <w:kern w:val="0"/>
                    </w:rPr>
                  </w:pPr>
                  <w:r>
                    <w:rPr>
                      <w:color w:val="auto"/>
                      <w:kern w:val="0"/>
                    </w:rPr>
                    <w:t>0</w:t>
                  </w:r>
                </w:p>
              </w:tc>
            </w:tr>
            <w:tr w14:paraId="3A84F3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2FE">
                  <w:pPr>
                    <w:adjustRightInd w:val="0"/>
                    <w:snapToGrid w:val="0"/>
                    <w:jc w:val="center"/>
                    <w:rPr>
                      <w:rFonts w:hint="eastAsia" w:eastAsia="宋体"/>
                      <w:color w:val="auto"/>
                      <w:kern w:val="0"/>
                      <w:lang w:val="en-US" w:eastAsia="zh-CN"/>
                    </w:rPr>
                  </w:pPr>
                  <w:r>
                    <w:rPr>
                      <w:rFonts w:hint="eastAsia"/>
                      <w:color w:val="auto"/>
                      <w:kern w:val="0"/>
                      <w:lang w:val="en-US" w:eastAsia="zh-CN"/>
                    </w:rPr>
                    <w:t>装药</w:t>
                  </w:r>
                </w:p>
              </w:tc>
              <w:tc>
                <w:tcPr>
                  <w:tcW w:w="1245" w:type="pct"/>
                  <w:tcBorders>
                    <w:tl2br w:val="nil"/>
                    <w:tr2bl w:val="nil"/>
                  </w:tcBorders>
                  <w:shd w:val="clear" w:color="auto" w:fill="auto"/>
                  <w:vAlign w:val="center"/>
                </w:tcPr>
                <w:p w14:paraId="3A84F2FF">
                  <w:pPr>
                    <w:adjustRightInd w:val="0"/>
                    <w:snapToGrid w:val="0"/>
                    <w:jc w:val="center"/>
                    <w:rPr>
                      <w:color w:val="auto"/>
                      <w:kern w:val="0"/>
                    </w:rPr>
                  </w:pPr>
                  <w:r>
                    <w:rPr>
                      <w:color w:val="auto"/>
                      <w:kern w:val="0"/>
                    </w:rPr>
                    <w:t>ZPP装药机</w:t>
                  </w:r>
                </w:p>
              </w:tc>
              <w:tc>
                <w:tcPr>
                  <w:tcW w:w="1493" w:type="pct"/>
                  <w:tcBorders>
                    <w:tl2br w:val="nil"/>
                    <w:tr2bl w:val="nil"/>
                  </w:tcBorders>
                  <w:vAlign w:val="center"/>
                </w:tcPr>
                <w:p w14:paraId="3A84F300">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301">
                  <w:pPr>
                    <w:adjustRightInd w:val="0"/>
                    <w:snapToGrid w:val="0"/>
                    <w:jc w:val="center"/>
                    <w:rPr>
                      <w:color w:val="auto"/>
                      <w:kern w:val="0"/>
                    </w:rPr>
                  </w:pPr>
                  <w:r>
                    <w:rPr>
                      <w:color w:val="auto"/>
                      <w:kern w:val="0"/>
                    </w:rPr>
                    <w:t>10</w:t>
                  </w:r>
                </w:p>
              </w:tc>
              <w:tc>
                <w:tcPr>
                  <w:tcW w:w="532" w:type="pct"/>
                  <w:tcBorders>
                    <w:tl2br w:val="nil"/>
                    <w:tr2bl w:val="nil"/>
                  </w:tcBorders>
                  <w:shd w:val="clear" w:color="auto" w:fill="auto"/>
                  <w:vAlign w:val="center"/>
                </w:tcPr>
                <w:p w14:paraId="3A84F302">
                  <w:pPr>
                    <w:adjustRightInd w:val="0"/>
                    <w:snapToGrid w:val="0"/>
                    <w:jc w:val="center"/>
                    <w:rPr>
                      <w:color w:val="auto"/>
                      <w:kern w:val="0"/>
                    </w:rPr>
                  </w:pPr>
                  <w:r>
                    <w:rPr>
                      <w:color w:val="auto"/>
                      <w:kern w:val="0"/>
                    </w:rPr>
                    <w:t>10</w:t>
                  </w:r>
                </w:p>
              </w:tc>
              <w:tc>
                <w:tcPr>
                  <w:tcW w:w="544" w:type="pct"/>
                  <w:tcBorders>
                    <w:tl2br w:val="nil"/>
                    <w:tr2bl w:val="nil"/>
                  </w:tcBorders>
                  <w:shd w:val="clear" w:color="auto" w:fill="auto"/>
                  <w:vAlign w:val="center"/>
                </w:tcPr>
                <w:p w14:paraId="3A84F303">
                  <w:pPr>
                    <w:adjustRightInd w:val="0"/>
                    <w:snapToGrid w:val="0"/>
                    <w:jc w:val="center"/>
                    <w:rPr>
                      <w:color w:val="auto"/>
                      <w:kern w:val="0"/>
                    </w:rPr>
                  </w:pPr>
                  <w:r>
                    <w:rPr>
                      <w:color w:val="auto"/>
                      <w:kern w:val="0"/>
                    </w:rPr>
                    <w:t>0</w:t>
                  </w:r>
                </w:p>
              </w:tc>
            </w:tr>
            <w:tr w14:paraId="3A84F30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05">
                  <w:pPr>
                    <w:adjustRightInd w:val="0"/>
                    <w:snapToGrid w:val="0"/>
                    <w:jc w:val="center"/>
                    <w:rPr>
                      <w:rFonts w:hint="eastAsia" w:eastAsia="宋体"/>
                      <w:color w:val="auto"/>
                      <w:kern w:val="0"/>
                      <w:lang w:val="en-US" w:eastAsia="zh-CN"/>
                    </w:rPr>
                  </w:pPr>
                  <w:r>
                    <w:rPr>
                      <w:rFonts w:hint="eastAsia"/>
                      <w:color w:val="auto"/>
                      <w:kern w:val="0"/>
                      <w:lang w:val="en-US" w:eastAsia="zh-CN"/>
                    </w:rPr>
                    <w:t>烘箱</w:t>
                  </w:r>
                </w:p>
              </w:tc>
              <w:tc>
                <w:tcPr>
                  <w:tcW w:w="1245" w:type="pct"/>
                  <w:tcBorders>
                    <w:tl2br w:val="nil"/>
                    <w:tr2bl w:val="nil"/>
                  </w:tcBorders>
                  <w:shd w:val="clear" w:color="auto" w:fill="auto"/>
                  <w:vAlign w:val="center"/>
                </w:tcPr>
                <w:p w14:paraId="3A84F306">
                  <w:pPr>
                    <w:adjustRightInd w:val="0"/>
                    <w:snapToGrid w:val="0"/>
                    <w:jc w:val="center"/>
                    <w:rPr>
                      <w:color w:val="auto"/>
                      <w:kern w:val="0"/>
                    </w:rPr>
                  </w:pPr>
                  <w:r>
                    <w:rPr>
                      <w:color w:val="auto"/>
                      <w:kern w:val="0"/>
                    </w:rPr>
                    <w:t>ZPP烘箱</w:t>
                  </w:r>
                </w:p>
              </w:tc>
              <w:tc>
                <w:tcPr>
                  <w:tcW w:w="1493" w:type="pct"/>
                  <w:tcBorders>
                    <w:tl2br w:val="nil"/>
                    <w:tr2bl w:val="nil"/>
                  </w:tcBorders>
                  <w:vAlign w:val="center"/>
                </w:tcPr>
                <w:p w14:paraId="3A84F307">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308">
                  <w:pPr>
                    <w:adjustRightInd w:val="0"/>
                    <w:snapToGrid w:val="0"/>
                    <w:jc w:val="center"/>
                    <w:rPr>
                      <w:color w:val="auto"/>
                      <w:kern w:val="0"/>
                    </w:rPr>
                  </w:pPr>
                  <w:r>
                    <w:rPr>
                      <w:color w:val="auto"/>
                      <w:kern w:val="0"/>
                    </w:rPr>
                    <w:t>10</w:t>
                  </w:r>
                </w:p>
              </w:tc>
              <w:tc>
                <w:tcPr>
                  <w:tcW w:w="532" w:type="pct"/>
                  <w:tcBorders>
                    <w:tl2br w:val="nil"/>
                    <w:tr2bl w:val="nil"/>
                  </w:tcBorders>
                  <w:shd w:val="clear" w:color="auto" w:fill="auto"/>
                  <w:vAlign w:val="center"/>
                </w:tcPr>
                <w:p w14:paraId="3A84F309">
                  <w:pPr>
                    <w:adjustRightInd w:val="0"/>
                    <w:snapToGrid w:val="0"/>
                    <w:jc w:val="center"/>
                    <w:rPr>
                      <w:color w:val="auto"/>
                      <w:kern w:val="0"/>
                    </w:rPr>
                  </w:pPr>
                  <w:r>
                    <w:rPr>
                      <w:color w:val="auto"/>
                      <w:kern w:val="0"/>
                    </w:rPr>
                    <w:t>10</w:t>
                  </w:r>
                </w:p>
              </w:tc>
              <w:tc>
                <w:tcPr>
                  <w:tcW w:w="544" w:type="pct"/>
                  <w:tcBorders>
                    <w:tl2br w:val="nil"/>
                    <w:tr2bl w:val="nil"/>
                  </w:tcBorders>
                  <w:shd w:val="clear" w:color="auto" w:fill="auto"/>
                  <w:vAlign w:val="center"/>
                </w:tcPr>
                <w:p w14:paraId="3A84F30A">
                  <w:pPr>
                    <w:adjustRightInd w:val="0"/>
                    <w:snapToGrid w:val="0"/>
                    <w:jc w:val="center"/>
                    <w:rPr>
                      <w:color w:val="auto"/>
                      <w:kern w:val="0"/>
                    </w:rPr>
                  </w:pPr>
                  <w:r>
                    <w:rPr>
                      <w:color w:val="auto"/>
                      <w:kern w:val="0"/>
                    </w:rPr>
                    <w:t>0</w:t>
                  </w:r>
                </w:p>
              </w:tc>
            </w:tr>
            <w:tr w14:paraId="3A84F31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0C">
                  <w:pPr>
                    <w:adjustRightInd w:val="0"/>
                    <w:snapToGrid w:val="0"/>
                    <w:jc w:val="center"/>
                    <w:rPr>
                      <w:rFonts w:hint="eastAsia" w:eastAsia="宋体"/>
                      <w:color w:val="auto"/>
                      <w:kern w:val="0"/>
                      <w:lang w:val="en-US" w:eastAsia="zh-CN"/>
                    </w:rPr>
                  </w:pPr>
                  <w:r>
                    <w:rPr>
                      <w:rFonts w:hint="eastAsia"/>
                      <w:color w:val="auto"/>
                      <w:kern w:val="0"/>
                      <w:lang w:val="en-US" w:eastAsia="zh-CN"/>
                    </w:rPr>
                    <w:t>装药</w:t>
                  </w:r>
                </w:p>
              </w:tc>
              <w:tc>
                <w:tcPr>
                  <w:tcW w:w="1245" w:type="pct"/>
                  <w:tcBorders>
                    <w:tl2br w:val="nil"/>
                    <w:tr2bl w:val="nil"/>
                  </w:tcBorders>
                  <w:shd w:val="clear" w:color="auto" w:fill="auto"/>
                  <w:vAlign w:val="center"/>
                </w:tcPr>
                <w:p w14:paraId="3A84F30D">
                  <w:pPr>
                    <w:adjustRightInd w:val="0"/>
                    <w:snapToGrid w:val="0"/>
                    <w:jc w:val="center"/>
                    <w:rPr>
                      <w:color w:val="auto"/>
                      <w:kern w:val="0"/>
                    </w:rPr>
                  </w:pPr>
                  <w:r>
                    <w:rPr>
                      <w:color w:val="auto"/>
                      <w:kern w:val="0"/>
                    </w:rPr>
                    <w:t>THPP装药机</w:t>
                  </w:r>
                </w:p>
              </w:tc>
              <w:tc>
                <w:tcPr>
                  <w:tcW w:w="1493" w:type="pct"/>
                  <w:tcBorders>
                    <w:tl2br w:val="nil"/>
                    <w:tr2bl w:val="nil"/>
                  </w:tcBorders>
                  <w:vAlign w:val="center"/>
                </w:tcPr>
                <w:p w14:paraId="3A84F30E">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30F">
                  <w:pPr>
                    <w:adjustRightInd w:val="0"/>
                    <w:snapToGrid w:val="0"/>
                    <w:jc w:val="center"/>
                    <w:rPr>
                      <w:color w:val="auto"/>
                      <w:kern w:val="0"/>
                    </w:rPr>
                  </w:pPr>
                  <w:r>
                    <w:rPr>
                      <w:color w:val="auto"/>
                      <w:kern w:val="0"/>
                    </w:rPr>
                    <w:t>10</w:t>
                  </w:r>
                </w:p>
              </w:tc>
              <w:tc>
                <w:tcPr>
                  <w:tcW w:w="532" w:type="pct"/>
                  <w:tcBorders>
                    <w:tl2br w:val="nil"/>
                    <w:tr2bl w:val="nil"/>
                  </w:tcBorders>
                  <w:shd w:val="clear" w:color="auto" w:fill="auto"/>
                  <w:vAlign w:val="center"/>
                </w:tcPr>
                <w:p w14:paraId="3A84F310">
                  <w:pPr>
                    <w:adjustRightInd w:val="0"/>
                    <w:snapToGrid w:val="0"/>
                    <w:jc w:val="center"/>
                    <w:rPr>
                      <w:color w:val="auto"/>
                      <w:kern w:val="0"/>
                    </w:rPr>
                  </w:pPr>
                  <w:r>
                    <w:rPr>
                      <w:color w:val="auto"/>
                      <w:kern w:val="0"/>
                    </w:rPr>
                    <w:t>10</w:t>
                  </w:r>
                </w:p>
              </w:tc>
              <w:tc>
                <w:tcPr>
                  <w:tcW w:w="544" w:type="pct"/>
                  <w:tcBorders>
                    <w:tl2br w:val="nil"/>
                    <w:tr2bl w:val="nil"/>
                  </w:tcBorders>
                  <w:shd w:val="clear" w:color="auto" w:fill="auto"/>
                  <w:vAlign w:val="center"/>
                </w:tcPr>
                <w:p w14:paraId="3A84F311">
                  <w:pPr>
                    <w:adjustRightInd w:val="0"/>
                    <w:snapToGrid w:val="0"/>
                    <w:jc w:val="center"/>
                    <w:rPr>
                      <w:color w:val="auto"/>
                      <w:kern w:val="0"/>
                    </w:rPr>
                  </w:pPr>
                  <w:r>
                    <w:rPr>
                      <w:color w:val="auto"/>
                      <w:kern w:val="0"/>
                    </w:rPr>
                    <w:t>0</w:t>
                  </w:r>
                </w:p>
              </w:tc>
            </w:tr>
            <w:tr w14:paraId="3A84F31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13">
                  <w:pPr>
                    <w:adjustRightInd w:val="0"/>
                    <w:snapToGrid w:val="0"/>
                    <w:jc w:val="center"/>
                    <w:rPr>
                      <w:rFonts w:hint="eastAsia" w:eastAsia="宋体"/>
                      <w:color w:val="auto"/>
                      <w:kern w:val="0"/>
                      <w:lang w:val="en-US" w:eastAsia="zh-CN"/>
                    </w:rPr>
                  </w:pPr>
                  <w:r>
                    <w:rPr>
                      <w:rFonts w:hint="eastAsia"/>
                      <w:color w:val="auto"/>
                      <w:kern w:val="0"/>
                      <w:lang w:val="en-US" w:eastAsia="zh-CN"/>
                    </w:rPr>
                    <w:t>烘箱</w:t>
                  </w:r>
                </w:p>
              </w:tc>
              <w:tc>
                <w:tcPr>
                  <w:tcW w:w="1245" w:type="pct"/>
                  <w:tcBorders>
                    <w:tl2br w:val="nil"/>
                    <w:tr2bl w:val="nil"/>
                  </w:tcBorders>
                  <w:shd w:val="clear" w:color="auto" w:fill="auto"/>
                  <w:vAlign w:val="center"/>
                </w:tcPr>
                <w:p w14:paraId="3A84F314">
                  <w:pPr>
                    <w:adjustRightInd w:val="0"/>
                    <w:snapToGrid w:val="0"/>
                    <w:jc w:val="center"/>
                    <w:rPr>
                      <w:color w:val="auto"/>
                      <w:kern w:val="0"/>
                    </w:rPr>
                  </w:pPr>
                  <w:r>
                    <w:rPr>
                      <w:color w:val="auto"/>
                      <w:kern w:val="0"/>
                    </w:rPr>
                    <w:t>THPP烘箱</w:t>
                  </w:r>
                </w:p>
              </w:tc>
              <w:tc>
                <w:tcPr>
                  <w:tcW w:w="1493" w:type="pct"/>
                  <w:tcBorders>
                    <w:tl2br w:val="nil"/>
                    <w:tr2bl w:val="nil"/>
                  </w:tcBorders>
                  <w:vAlign w:val="center"/>
                </w:tcPr>
                <w:p w14:paraId="3A84F315">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316">
                  <w:pPr>
                    <w:adjustRightInd w:val="0"/>
                    <w:snapToGrid w:val="0"/>
                    <w:jc w:val="center"/>
                    <w:rPr>
                      <w:color w:val="auto"/>
                      <w:kern w:val="0"/>
                    </w:rPr>
                  </w:pPr>
                  <w:r>
                    <w:rPr>
                      <w:color w:val="auto"/>
                      <w:kern w:val="0"/>
                    </w:rPr>
                    <w:t>10</w:t>
                  </w:r>
                </w:p>
              </w:tc>
              <w:tc>
                <w:tcPr>
                  <w:tcW w:w="532" w:type="pct"/>
                  <w:tcBorders>
                    <w:tl2br w:val="nil"/>
                    <w:tr2bl w:val="nil"/>
                  </w:tcBorders>
                  <w:shd w:val="clear" w:color="auto" w:fill="auto"/>
                  <w:vAlign w:val="center"/>
                </w:tcPr>
                <w:p w14:paraId="3A84F317">
                  <w:pPr>
                    <w:adjustRightInd w:val="0"/>
                    <w:snapToGrid w:val="0"/>
                    <w:jc w:val="center"/>
                    <w:rPr>
                      <w:color w:val="auto"/>
                      <w:kern w:val="0"/>
                    </w:rPr>
                  </w:pPr>
                  <w:r>
                    <w:rPr>
                      <w:color w:val="auto"/>
                      <w:kern w:val="0"/>
                    </w:rPr>
                    <w:t>10</w:t>
                  </w:r>
                </w:p>
              </w:tc>
              <w:tc>
                <w:tcPr>
                  <w:tcW w:w="544" w:type="pct"/>
                  <w:tcBorders>
                    <w:tl2br w:val="nil"/>
                    <w:tr2bl w:val="nil"/>
                  </w:tcBorders>
                  <w:shd w:val="clear" w:color="auto" w:fill="auto"/>
                  <w:vAlign w:val="center"/>
                </w:tcPr>
                <w:p w14:paraId="3A84F318">
                  <w:pPr>
                    <w:adjustRightInd w:val="0"/>
                    <w:snapToGrid w:val="0"/>
                    <w:jc w:val="center"/>
                    <w:rPr>
                      <w:color w:val="auto"/>
                      <w:kern w:val="0"/>
                    </w:rPr>
                  </w:pPr>
                  <w:r>
                    <w:rPr>
                      <w:color w:val="auto"/>
                      <w:kern w:val="0"/>
                    </w:rPr>
                    <w:t>0</w:t>
                  </w:r>
                </w:p>
              </w:tc>
            </w:tr>
            <w:tr w14:paraId="3A84F32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1A">
                  <w:pPr>
                    <w:adjustRightInd w:val="0"/>
                    <w:snapToGrid w:val="0"/>
                    <w:jc w:val="center"/>
                    <w:rPr>
                      <w:rFonts w:hint="eastAsia" w:eastAsia="宋体"/>
                      <w:color w:val="auto"/>
                      <w:kern w:val="0"/>
                      <w:lang w:val="en-US" w:eastAsia="zh-CN"/>
                    </w:rPr>
                  </w:pPr>
                  <w:r>
                    <w:rPr>
                      <w:rFonts w:hint="eastAsia"/>
                      <w:color w:val="auto"/>
                      <w:kern w:val="0"/>
                      <w:lang w:val="en-US" w:eastAsia="zh-CN"/>
                    </w:rPr>
                    <w:t>油加热</w:t>
                  </w:r>
                </w:p>
              </w:tc>
              <w:tc>
                <w:tcPr>
                  <w:tcW w:w="1245" w:type="pct"/>
                  <w:tcBorders>
                    <w:tl2br w:val="nil"/>
                    <w:tr2bl w:val="nil"/>
                  </w:tcBorders>
                  <w:shd w:val="clear" w:color="auto" w:fill="auto"/>
                  <w:vAlign w:val="center"/>
                </w:tcPr>
                <w:p w14:paraId="3A84F31B">
                  <w:pPr>
                    <w:adjustRightInd w:val="0"/>
                    <w:snapToGrid w:val="0"/>
                    <w:jc w:val="center"/>
                    <w:rPr>
                      <w:color w:val="auto"/>
                      <w:kern w:val="0"/>
                    </w:rPr>
                  </w:pPr>
                  <w:r>
                    <w:rPr>
                      <w:color w:val="auto"/>
                      <w:kern w:val="0"/>
                    </w:rPr>
                    <w:t>油加热器</w:t>
                  </w:r>
                </w:p>
              </w:tc>
              <w:tc>
                <w:tcPr>
                  <w:tcW w:w="1493" w:type="pct"/>
                  <w:tcBorders>
                    <w:tl2br w:val="nil"/>
                    <w:tr2bl w:val="nil"/>
                  </w:tcBorders>
                  <w:vAlign w:val="center"/>
                </w:tcPr>
                <w:p w14:paraId="3A84F31C">
                  <w:pPr>
                    <w:adjustRightInd w:val="0"/>
                    <w:snapToGrid w:val="0"/>
                    <w:jc w:val="center"/>
                    <w:rPr>
                      <w:color w:val="auto"/>
                      <w:kern w:val="0"/>
                    </w:rPr>
                  </w:pPr>
                  <w:r>
                    <w:rPr>
                      <w:color w:val="auto"/>
                      <w:kern w:val="0"/>
                    </w:rPr>
                    <w:t>RK-4870HC-HE-41D3X</w:t>
                  </w:r>
                </w:p>
              </w:tc>
              <w:tc>
                <w:tcPr>
                  <w:tcW w:w="532" w:type="pct"/>
                  <w:tcBorders>
                    <w:tl2br w:val="nil"/>
                    <w:tr2bl w:val="nil"/>
                  </w:tcBorders>
                  <w:shd w:val="clear" w:color="auto" w:fill="auto"/>
                  <w:vAlign w:val="center"/>
                </w:tcPr>
                <w:p w14:paraId="3A84F31D">
                  <w:pPr>
                    <w:adjustRightInd w:val="0"/>
                    <w:snapToGrid w:val="0"/>
                    <w:jc w:val="center"/>
                    <w:rPr>
                      <w:color w:val="auto"/>
                      <w:kern w:val="0"/>
                    </w:rPr>
                  </w:pPr>
                  <w:r>
                    <w:rPr>
                      <w:color w:val="auto"/>
                      <w:kern w:val="0"/>
                    </w:rPr>
                    <w:t>30</w:t>
                  </w:r>
                </w:p>
              </w:tc>
              <w:tc>
                <w:tcPr>
                  <w:tcW w:w="532" w:type="pct"/>
                  <w:tcBorders>
                    <w:tl2br w:val="nil"/>
                    <w:tr2bl w:val="nil"/>
                  </w:tcBorders>
                  <w:shd w:val="clear" w:color="auto" w:fill="auto"/>
                  <w:vAlign w:val="center"/>
                </w:tcPr>
                <w:p w14:paraId="3A84F31E">
                  <w:pPr>
                    <w:adjustRightInd w:val="0"/>
                    <w:snapToGrid w:val="0"/>
                    <w:jc w:val="center"/>
                    <w:rPr>
                      <w:color w:val="auto"/>
                      <w:kern w:val="0"/>
                    </w:rPr>
                  </w:pPr>
                  <w:r>
                    <w:rPr>
                      <w:color w:val="auto"/>
                      <w:kern w:val="0"/>
                    </w:rPr>
                    <w:t>30</w:t>
                  </w:r>
                </w:p>
              </w:tc>
              <w:tc>
                <w:tcPr>
                  <w:tcW w:w="544" w:type="pct"/>
                  <w:tcBorders>
                    <w:tl2br w:val="nil"/>
                    <w:tr2bl w:val="nil"/>
                  </w:tcBorders>
                  <w:shd w:val="clear" w:color="auto" w:fill="auto"/>
                  <w:vAlign w:val="center"/>
                </w:tcPr>
                <w:p w14:paraId="3A84F31F">
                  <w:pPr>
                    <w:adjustRightInd w:val="0"/>
                    <w:snapToGrid w:val="0"/>
                    <w:jc w:val="center"/>
                    <w:rPr>
                      <w:color w:val="auto"/>
                      <w:kern w:val="0"/>
                    </w:rPr>
                  </w:pPr>
                  <w:r>
                    <w:rPr>
                      <w:color w:val="auto"/>
                      <w:kern w:val="0"/>
                    </w:rPr>
                    <w:t>0</w:t>
                  </w:r>
                </w:p>
              </w:tc>
            </w:tr>
            <w:tr w14:paraId="3A84F32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21">
                  <w:pPr>
                    <w:adjustRightInd w:val="0"/>
                    <w:snapToGrid w:val="0"/>
                    <w:jc w:val="center"/>
                    <w:rPr>
                      <w:rFonts w:hint="eastAsia" w:eastAsia="宋体"/>
                      <w:color w:val="auto"/>
                      <w:kern w:val="0"/>
                      <w:lang w:val="en-US" w:eastAsia="zh-CN"/>
                    </w:rPr>
                  </w:pPr>
                  <w:r>
                    <w:rPr>
                      <w:rFonts w:hint="eastAsia"/>
                      <w:color w:val="auto"/>
                      <w:kern w:val="0"/>
                      <w:lang w:val="en-US" w:eastAsia="zh-CN"/>
                    </w:rPr>
                    <w:t>检测</w:t>
                  </w:r>
                </w:p>
              </w:tc>
              <w:tc>
                <w:tcPr>
                  <w:tcW w:w="1245" w:type="pct"/>
                  <w:tcBorders>
                    <w:tl2br w:val="nil"/>
                    <w:tr2bl w:val="nil"/>
                  </w:tcBorders>
                  <w:shd w:val="clear" w:color="auto" w:fill="auto"/>
                  <w:vAlign w:val="center"/>
                </w:tcPr>
                <w:p w14:paraId="3A84F322">
                  <w:pPr>
                    <w:adjustRightInd w:val="0"/>
                    <w:snapToGrid w:val="0"/>
                    <w:jc w:val="center"/>
                    <w:rPr>
                      <w:color w:val="auto"/>
                      <w:kern w:val="0"/>
                    </w:rPr>
                  </w:pPr>
                  <w:r>
                    <w:rPr>
                      <w:color w:val="auto"/>
                      <w:kern w:val="0"/>
                    </w:rPr>
                    <w:t>泄漏检测单元</w:t>
                  </w:r>
                </w:p>
              </w:tc>
              <w:tc>
                <w:tcPr>
                  <w:tcW w:w="1493" w:type="pct"/>
                  <w:tcBorders>
                    <w:tl2br w:val="nil"/>
                    <w:tr2bl w:val="nil"/>
                  </w:tcBorders>
                  <w:vAlign w:val="center"/>
                </w:tcPr>
                <w:p w14:paraId="3A84F323">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324">
                  <w:pPr>
                    <w:adjustRightInd w:val="0"/>
                    <w:snapToGrid w:val="0"/>
                    <w:jc w:val="center"/>
                    <w:rPr>
                      <w:color w:val="auto"/>
                      <w:kern w:val="0"/>
                    </w:rPr>
                  </w:pPr>
                  <w:r>
                    <w:rPr>
                      <w:color w:val="auto"/>
                      <w:kern w:val="0"/>
                    </w:rPr>
                    <w:t>10</w:t>
                  </w:r>
                </w:p>
              </w:tc>
              <w:tc>
                <w:tcPr>
                  <w:tcW w:w="532" w:type="pct"/>
                  <w:tcBorders>
                    <w:tl2br w:val="nil"/>
                    <w:tr2bl w:val="nil"/>
                  </w:tcBorders>
                  <w:shd w:val="clear" w:color="auto" w:fill="auto"/>
                  <w:vAlign w:val="center"/>
                </w:tcPr>
                <w:p w14:paraId="3A84F325">
                  <w:pPr>
                    <w:adjustRightInd w:val="0"/>
                    <w:snapToGrid w:val="0"/>
                    <w:jc w:val="center"/>
                    <w:rPr>
                      <w:color w:val="auto"/>
                      <w:kern w:val="0"/>
                    </w:rPr>
                  </w:pPr>
                  <w:r>
                    <w:rPr>
                      <w:color w:val="auto"/>
                      <w:kern w:val="0"/>
                    </w:rPr>
                    <w:t>10</w:t>
                  </w:r>
                </w:p>
              </w:tc>
              <w:tc>
                <w:tcPr>
                  <w:tcW w:w="544" w:type="pct"/>
                  <w:tcBorders>
                    <w:tl2br w:val="nil"/>
                    <w:tr2bl w:val="nil"/>
                  </w:tcBorders>
                  <w:shd w:val="clear" w:color="auto" w:fill="auto"/>
                  <w:vAlign w:val="center"/>
                </w:tcPr>
                <w:p w14:paraId="3A84F326">
                  <w:pPr>
                    <w:adjustRightInd w:val="0"/>
                    <w:snapToGrid w:val="0"/>
                    <w:jc w:val="center"/>
                    <w:rPr>
                      <w:color w:val="auto"/>
                      <w:kern w:val="0"/>
                    </w:rPr>
                  </w:pPr>
                  <w:r>
                    <w:rPr>
                      <w:color w:val="auto"/>
                      <w:kern w:val="0"/>
                    </w:rPr>
                    <w:t>0</w:t>
                  </w:r>
                </w:p>
              </w:tc>
            </w:tr>
            <w:tr w14:paraId="3A84F32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28">
                  <w:pPr>
                    <w:adjustRightInd w:val="0"/>
                    <w:snapToGrid w:val="0"/>
                    <w:jc w:val="center"/>
                    <w:rPr>
                      <w:rFonts w:hint="eastAsia" w:eastAsia="宋体"/>
                      <w:color w:val="auto"/>
                      <w:kern w:val="0"/>
                      <w:lang w:val="en-US" w:eastAsia="zh-CN"/>
                    </w:rPr>
                  </w:pPr>
                  <w:r>
                    <w:rPr>
                      <w:rFonts w:hint="eastAsia"/>
                      <w:color w:val="auto"/>
                      <w:kern w:val="0"/>
                      <w:lang w:val="en-US" w:eastAsia="zh-CN"/>
                    </w:rPr>
                    <w:t>检测</w:t>
                  </w:r>
                </w:p>
              </w:tc>
              <w:tc>
                <w:tcPr>
                  <w:tcW w:w="1245" w:type="pct"/>
                  <w:tcBorders>
                    <w:tl2br w:val="nil"/>
                    <w:tr2bl w:val="nil"/>
                  </w:tcBorders>
                  <w:shd w:val="clear" w:color="auto" w:fill="auto"/>
                  <w:vAlign w:val="center"/>
                </w:tcPr>
                <w:p w14:paraId="3A84F329">
                  <w:pPr>
                    <w:adjustRightInd w:val="0"/>
                    <w:snapToGrid w:val="0"/>
                    <w:jc w:val="center"/>
                    <w:rPr>
                      <w:color w:val="auto"/>
                      <w:kern w:val="0"/>
                    </w:rPr>
                  </w:pPr>
                  <w:r>
                    <w:rPr>
                      <w:color w:val="auto"/>
                      <w:kern w:val="0"/>
                    </w:rPr>
                    <w:t>FET/RTR检测单元</w:t>
                  </w:r>
                </w:p>
              </w:tc>
              <w:tc>
                <w:tcPr>
                  <w:tcW w:w="1493" w:type="pct"/>
                  <w:tcBorders>
                    <w:tl2br w:val="nil"/>
                    <w:tr2bl w:val="nil"/>
                  </w:tcBorders>
                  <w:vAlign w:val="center"/>
                </w:tcPr>
                <w:p w14:paraId="3A84F32A">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32B">
                  <w:pPr>
                    <w:adjustRightInd w:val="0"/>
                    <w:snapToGrid w:val="0"/>
                    <w:jc w:val="center"/>
                    <w:rPr>
                      <w:color w:val="auto"/>
                      <w:kern w:val="0"/>
                    </w:rPr>
                  </w:pPr>
                  <w:r>
                    <w:rPr>
                      <w:color w:val="auto"/>
                      <w:kern w:val="0"/>
                    </w:rPr>
                    <w:t>10</w:t>
                  </w:r>
                </w:p>
              </w:tc>
              <w:tc>
                <w:tcPr>
                  <w:tcW w:w="532" w:type="pct"/>
                  <w:tcBorders>
                    <w:tl2br w:val="nil"/>
                    <w:tr2bl w:val="nil"/>
                  </w:tcBorders>
                  <w:shd w:val="clear" w:color="auto" w:fill="auto"/>
                  <w:vAlign w:val="center"/>
                </w:tcPr>
                <w:p w14:paraId="3A84F32C">
                  <w:pPr>
                    <w:adjustRightInd w:val="0"/>
                    <w:snapToGrid w:val="0"/>
                    <w:jc w:val="center"/>
                    <w:rPr>
                      <w:color w:val="auto"/>
                      <w:kern w:val="0"/>
                    </w:rPr>
                  </w:pPr>
                  <w:r>
                    <w:rPr>
                      <w:color w:val="auto"/>
                      <w:kern w:val="0"/>
                    </w:rPr>
                    <w:t>10</w:t>
                  </w:r>
                </w:p>
              </w:tc>
              <w:tc>
                <w:tcPr>
                  <w:tcW w:w="544" w:type="pct"/>
                  <w:tcBorders>
                    <w:tl2br w:val="nil"/>
                    <w:tr2bl w:val="nil"/>
                  </w:tcBorders>
                  <w:shd w:val="clear" w:color="auto" w:fill="auto"/>
                  <w:vAlign w:val="center"/>
                </w:tcPr>
                <w:p w14:paraId="3A84F32D">
                  <w:pPr>
                    <w:adjustRightInd w:val="0"/>
                    <w:snapToGrid w:val="0"/>
                    <w:jc w:val="center"/>
                    <w:rPr>
                      <w:color w:val="auto"/>
                      <w:kern w:val="0"/>
                    </w:rPr>
                  </w:pPr>
                  <w:r>
                    <w:rPr>
                      <w:color w:val="auto"/>
                      <w:kern w:val="0"/>
                    </w:rPr>
                    <w:t>0</w:t>
                  </w:r>
                </w:p>
              </w:tc>
            </w:tr>
            <w:tr w14:paraId="3A84F3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6"/>
                  <w:tcBorders>
                    <w:tl2br w:val="nil"/>
                    <w:tr2bl w:val="nil"/>
                  </w:tcBorders>
                  <w:vAlign w:val="center"/>
                </w:tcPr>
                <w:p w14:paraId="3A84F32F">
                  <w:pPr>
                    <w:adjustRightInd w:val="0"/>
                    <w:snapToGrid w:val="0"/>
                    <w:jc w:val="center"/>
                    <w:rPr>
                      <w:b/>
                      <w:bCs/>
                      <w:color w:val="auto"/>
                      <w:kern w:val="0"/>
                    </w:rPr>
                  </w:pPr>
                  <w:r>
                    <w:rPr>
                      <w:b/>
                      <w:bCs/>
                      <w:color w:val="auto"/>
                      <w:kern w:val="0"/>
                    </w:rPr>
                    <w:t>销毁工房</w:t>
                  </w:r>
                </w:p>
              </w:tc>
            </w:tr>
            <w:tr w14:paraId="3A84F3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31">
                  <w:pPr>
                    <w:adjustRightInd w:val="0"/>
                    <w:snapToGrid w:val="0"/>
                    <w:jc w:val="center"/>
                    <w:rPr>
                      <w:rFonts w:hint="default" w:eastAsia="宋体"/>
                      <w:color w:val="auto"/>
                      <w:kern w:val="0"/>
                      <w:lang w:val="en-US" w:eastAsia="zh-CN"/>
                    </w:rPr>
                  </w:pPr>
                  <w:r>
                    <w:rPr>
                      <w:rFonts w:hint="eastAsia"/>
                      <w:color w:val="auto"/>
                      <w:kern w:val="0"/>
                      <w:lang w:val="en-US" w:eastAsia="zh-CN"/>
                    </w:rPr>
                    <w:t>输送物料</w:t>
                  </w:r>
                </w:p>
              </w:tc>
              <w:tc>
                <w:tcPr>
                  <w:tcW w:w="1245" w:type="pct"/>
                  <w:tcBorders>
                    <w:tl2br w:val="nil"/>
                    <w:tr2bl w:val="nil"/>
                  </w:tcBorders>
                  <w:shd w:val="clear" w:color="auto" w:fill="auto"/>
                  <w:vAlign w:val="center"/>
                </w:tcPr>
                <w:p w14:paraId="3A84F332">
                  <w:pPr>
                    <w:adjustRightInd w:val="0"/>
                    <w:snapToGrid w:val="0"/>
                    <w:jc w:val="center"/>
                    <w:rPr>
                      <w:color w:val="auto"/>
                      <w:kern w:val="0"/>
                    </w:rPr>
                  </w:pPr>
                  <w:r>
                    <w:rPr>
                      <w:color w:val="auto"/>
                      <w:kern w:val="0"/>
                    </w:rPr>
                    <w:t>传送带</w:t>
                  </w:r>
                </w:p>
              </w:tc>
              <w:tc>
                <w:tcPr>
                  <w:tcW w:w="1493" w:type="pct"/>
                  <w:tcBorders>
                    <w:tl2br w:val="nil"/>
                    <w:tr2bl w:val="nil"/>
                  </w:tcBorders>
                  <w:vAlign w:val="center"/>
                </w:tcPr>
                <w:p w14:paraId="3A84F333">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334">
                  <w:pPr>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335">
                  <w:pPr>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336">
                  <w:pPr>
                    <w:adjustRightInd w:val="0"/>
                    <w:snapToGrid w:val="0"/>
                    <w:jc w:val="center"/>
                    <w:rPr>
                      <w:color w:val="auto"/>
                      <w:kern w:val="0"/>
                    </w:rPr>
                  </w:pPr>
                  <w:r>
                    <w:rPr>
                      <w:color w:val="auto"/>
                      <w:kern w:val="0"/>
                    </w:rPr>
                    <w:t>0</w:t>
                  </w:r>
                </w:p>
              </w:tc>
            </w:tr>
            <w:tr w14:paraId="3A84F33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38">
                  <w:pPr>
                    <w:adjustRightInd w:val="0"/>
                    <w:snapToGrid w:val="0"/>
                    <w:jc w:val="center"/>
                    <w:rPr>
                      <w:rFonts w:hint="eastAsia" w:eastAsia="宋体"/>
                      <w:color w:val="auto"/>
                      <w:kern w:val="0"/>
                      <w:lang w:val="en-US" w:eastAsia="zh-CN"/>
                    </w:rPr>
                  </w:pPr>
                  <w:r>
                    <w:rPr>
                      <w:rFonts w:hint="eastAsia"/>
                      <w:color w:val="auto"/>
                      <w:kern w:val="0"/>
                      <w:lang w:val="en-US" w:eastAsia="zh-CN"/>
                    </w:rPr>
                    <w:t>焚烧</w:t>
                  </w:r>
                </w:p>
              </w:tc>
              <w:tc>
                <w:tcPr>
                  <w:tcW w:w="1245" w:type="pct"/>
                  <w:tcBorders>
                    <w:tl2br w:val="nil"/>
                    <w:tr2bl w:val="nil"/>
                  </w:tcBorders>
                  <w:shd w:val="clear" w:color="auto" w:fill="auto"/>
                  <w:vAlign w:val="center"/>
                </w:tcPr>
                <w:p w14:paraId="3A84F339">
                  <w:pPr>
                    <w:adjustRightInd w:val="0"/>
                    <w:snapToGrid w:val="0"/>
                    <w:jc w:val="center"/>
                    <w:rPr>
                      <w:color w:val="auto"/>
                      <w:kern w:val="0"/>
                    </w:rPr>
                  </w:pPr>
                  <w:r>
                    <w:rPr>
                      <w:color w:val="auto"/>
                      <w:kern w:val="0"/>
                    </w:rPr>
                    <w:t>焚烧炉</w:t>
                  </w:r>
                </w:p>
              </w:tc>
              <w:tc>
                <w:tcPr>
                  <w:tcW w:w="1493" w:type="pct"/>
                  <w:tcBorders>
                    <w:tl2br w:val="nil"/>
                    <w:tr2bl w:val="nil"/>
                  </w:tcBorders>
                  <w:vAlign w:val="center"/>
                </w:tcPr>
                <w:p w14:paraId="3A84F33A">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33B">
                  <w:pPr>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33C">
                  <w:pPr>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33D">
                  <w:pPr>
                    <w:adjustRightInd w:val="0"/>
                    <w:snapToGrid w:val="0"/>
                    <w:jc w:val="center"/>
                    <w:rPr>
                      <w:color w:val="auto"/>
                      <w:kern w:val="0"/>
                    </w:rPr>
                  </w:pPr>
                  <w:r>
                    <w:rPr>
                      <w:color w:val="auto"/>
                      <w:kern w:val="0"/>
                    </w:rPr>
                    <w:t>0</w:t>
                  </w:r>
                </w:p>
              </w:tc>
            </w:tr>
            <w:tr w14:paraId="3A84F34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3F">
                  <w:pPr>
                    <w:adjustRightInd w:val="0"/>
                    <w:snapToGrid w:val="0"/>
                    <w:jc w:val="center"/>
                    <w:rPr>
                      <w:rFonts w:hint="eastAsia" w:eastAsia="宋体"/>
                      <w:color w:val="auto"/>
                      <w:kern w:val="0"/>
                      <w:lang w:val="en-US" w:eastAsia="zh-CN"/>
                    </w:rPr>
                  </w:pPr>
                  <w:r>
                    <w:rPr>
                      <w:rFonts w:hint="eastAsia"/>
                      <w:color w:val="auto"/>
                      <w:kern w:val="0"/>
                      <w:lang w:val="en-US" w:eastAsia="zh-CN"/>
                    </w:rPr>
                    <w:t>除尘</w:t>
                  </w:r>
                </w:p>
              </w:tc>
              <w:tc>
                <w:tcPr>
                  <w:tcW w:w="1245" w:type="pct"/>
                  <w:tcBorders>
                    <w:tl2br w:val="nil"/>
                    <w:tr2bl w:val="nil"/>
                  </w:tcBorders>
                  <w:shd w:val="clear" w:color="auto" w:fill="auto"/>
                  <w:vAlign w:val="center"/>
                </w:tcPr>
                <w:p w14:paraId="3A84F340">
                  <w:pPr>
                    <w:adjustRightInd w:val="0"/>
                    <w:snapToGrid w:val="0"/>
                    <w:jc w:val="center"/>
                    <w:rPr>
                      <w:color w:val="auto"/>
                      <w:kern w:val="0"/>
                    </w:rPr>
                  </w:pPr>
                  <w:r>
                    <w:rPr>
                      <w:color w:val="auto"/>
                      <w:kern w:val="0"/>
                    </w:rPr>
                    <w:t>旋风除尘器</w:t>
                  </w:r>
                </w:p>
              </w:tc>
              <w:tc>
                <w:tcPr>
                  <w:tcW w:w="1493" w:type="pct"/>
                  <w:tcBorders>
                    <w:tl2br w:val="nil"/>
                    <w:tr2bl w:val="nil"/>
                  </w:tcBorders>
                  <w:vAlign w:val="center"/>
                </w:tcPr>
                <w:p w14:paraId="3A84F341">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342">
                  <w:pPr>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343">
                  <w:pPr>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344">
                  <w:pPr>
                    <w:adjustRightInd w:val="0"/>
                    <w:snapToGrid w:val="0"/>
                    <w:jc w:val="center"/>
                    <w:rPr>
                      <w:color w:val="auto"/>
                      <w:kern w:val="0"/>
                    </w:rPr>
                  </w:pPr>
                  <w:r>
                    <w:rPr>
                      <w:color w:val="auto"/>
                      <w:kern w:val="0"/>
                    </w:rPr>
                    <w:t>0</w:t>
                  </w:r>
                </w:p>
              </w:tc>
            </w:tr>
            <w:tr w14:paraId="3A84F34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46">
                  <w:pPr>
                    <w:adjustRightInd w:val="0"/>
                    <w:snapToGrid w:val="0"/>
                    <w:jc w:val="center"/>
                    <w:rPr>
                      <w:rFonts w:hint="default" w:eastAsia="宋体"/>
                      <w:color w:val="auto"/>
                      <w:kern w:val="0"/>
                      <w:lang w:val="en-US" w:eastAsia="zh-CN"/>
                    </w:rPr>
                  </w:pPr>
                  <w:r>
                    <w:rPr>
                      <w:rFonts w:hint="eastAsia"/>
                      <w:color w:val="auto"/>
                      <w:kern w:val="0"/>
                      <w:lang w:val="en-US" w:eastAsia="zh-CN"/>
                    </w:rPr>
                    <w:t>沉降</w:t>
                  </w:r>
                </w:p>
              </w:tc>
              <w:tc>
                <w:tcPr>
                  <w:tcW w:w="1245" w:type="pct"/>
                  <w:tcBorders>
                    <w:tl2br w:val="nil"/>
                    <w:tr2bl w:val="nil"/>
                  </w:tcBorders>
                  <w:shd w:val="clear" w:color="auto" w:fill="auto"/>
                  <w:vAlign w:val="center"/>
                </w:tcPr>
                <w:p w14:paraId="3A84F347">
                  <w:pPr>
                    <w:adjustRightInd w:val="0"/>
                    <w:snapToGrid w:val="0"/>
                    <w:jc w:val="center"/>
                    <w:rPr>
                      <w:color w:val="auto"/>
                      <w:kern w:val="0"/>
                    </w:rPr>
                  </w:pPr>
                  <w:r>
                    <w:rPr>
                      <w:color w:val="auto"/>
                      <w:kern w:val="0"/>
                    </w:rPr>
                    <w:t>沉降塔</w:t>
                  </w:r>
                </w:p>
              </w:tc>
              <w:tc>
                <w:tcPr>
                  <w:tcW w:w="1493" w:type="pct"/>
                  <w:tcBorders>
                    <w:tl2br w:val="nil"/>
                    <w:tr2bl w:val="nil"/>
                  </w:tcBorders>
                  <w:vAlign w:val="center"/>
                </w:tcPr>
                <w:p w14:paraId="3A84F348">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349">
                  <w:pPr>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34A">
                  <w:pPr>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34B">
                  <w:pPr>
                    <w:adjustRightInd w:val="0"/>
                    <w:snapToGrid w:val="0"/>
                    <w:jc w:val="center"/>
                    <w:rPr>
                      <w:color w:val="auto"/>
                      <w:kern w:val="0"/>
                    </w:rPr>
                  </w:pPr>
                  <w:r>
                    <w:rPr>
                      <w:color w:val="auto"/>
                      <w:kern w:val="0"/>
                    </w:rPr>
                    <w:t>0</w:t>
                  </w:r>
                </w:p>
              </w:tc>
            </w:tr>
            <w:tr w14:paraId="3A84F35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4D">
                  <w:pPr>
                    <w:adjustRightInd w:val="0"/>
                    <w:snapToGrid w:val="0"/>
                    <w:jc w:val="center"/>
                    <w:rPr>
                      <w:rFonts w:hint="eastAsia" w:eastAsia="宋体"/>
                      <w:color w:val="auto"/>
                      <w:kern w:val="0"/>
                      <w:lang w:val="en-US" w:eastAsia="zh-CN"/>
                    </w:rPr>
                  </w:pPr>
                  <w:r>
                    <w:rPr>
                      <w:rFonts w:hint="eastAsia"/>
                      <w:color w:val="auto"/>
                      <w:kern w:val="0"/>
                      <w:lang w:val="en-US" w:eastAsia="zh-CN"/>
                    </w:rPr>
                    <w:t>冷却</w:t>
                  </w:r>
                </w:p>
              </w:tc>
              <w:tc>
                <w:tcPr>
                  <w:tcW w:w="1245" w:type="pct"/>
                  <w:tcBorders>
                    <w:tl2br w:val="nil"/>
                    <w:tr2bl w:val="nil"/>
                  </w:tcBorders>
                  <w:shd w:val="clear" w:color="auto" w:fill="auto"/>
                  <w:vAlign w:val="center"/>
                </w:tcPr>
                <w:p w14:paraId="3A84F34E">
                  <w:pPr>
                    <w:adjustRightInd w:val="0"/>
                    <w:snapToGrid w:val="0"/>
                    <w:jc w:val="center"/>
                    <w:rPr>
                      <w:color w:val="auto"/>
                      <w:kern w:val="0"/>
                    </w:rPr>
                  </w:pPr>
                  <w:r>
                    <w:rPr>
                      <w:color w:val="auto"/>
                      <w:kern w:val="0"/>
                    </w:rPr>
                    <w:t>冷却塔</w:t>
                  </w:r>
                </w:p>
              </w:tc>
              <w:tc>
                <w:tcPr>
                  <w:tcW w:w="1493" w:type="pct"/>
                  <w:tcBorders>
                    <w:tl2br w:val="nil"/>
                    <w:tr2bl w:val="nil"/>
                  </w:tcBorders>
                  <w:vAlign w:val="center"/>
                </w:tcPr>
                <w:p w14:paraId="3A84F34F">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350">
                  <w:pPr>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351">
                  <w:pPr>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352">
                  <w:pPr>
                    <w:adjustRightInd w:val="0"/>
                    <w:snapToGrid w:val="0"/>
                    <w:jc w:val="center"/>
                    <w:rPr>
                      <w:color w:val="auto"/>
                      <w:kern w:val="0"/>
                    </w:rPr>
                  </w:pPr>
                  <w:r>
                    <w:rPr>
                      <w:color w:val="auto"/>
                      <w:kern w:val="0"/>
                    </w:rPr>
                    <w:t>0</w:t>
                  </w:r>
                </w:p>
              </w:tc>
            </w:tr>
            <w:tr w14:paraId="3A84F35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54">
                  <w:pPr>
                    <w:adjustRightInd w:val="0"/>
                    <w:snapToGrid w:val="0"/>
                    <w:jc w:val="center"/>
                    <w:rPr>
                      <w:rFonts w:hint="eastAsia" w:eastAsia="宋体"/>
                      <w:color w:val="auto"/>
                      <w:kern w:val="0"/>
                      <w:lang w:val="en-US" w:eastAsia="zh-CN"/>
                    </w:rPr>
                  </w:pPr>
                  <w:r>
                    <w:rPr>
                      <w:rFonts w:hint="eastAsia"/>
                      <w:color w:val="auto"/>
                      <w:kern w:val="0"/>
                      <w:lang w:val="en-US" w:eastAsia="zh-CN"/>
                    </w:rPr>
                    <w:t>水箱</w:t>
                  </w:r>
                </w:p>
              </w:tc>
              <w:tc>
                <w:tcPr>
                  <w:tcW w:w="1245" w:type="pct"/>
                  <w:tcBorders>
                    <w:tl2br w:val="nil"/>
                    <w:tr2bl w:val="nil"/>
                  </w:tcBorders>
                  <w:shd w:val="clear" w:color="auto" w:fill="auto"/>
                  <w:vAlign w:val="center"/>
                </w:tcPr>
                <w:p w14:paraId="3A84F355">
                  <w:pPr>
                    <w:adjustRightInd w:val="0"/>
                    <w:snapToGrid w:val="0"/>
                    <w:jc w:val="center"/>
                    <w:rPr>
                      <w:color w:val="auto"/>
                      <w:kern w:val="0"/>
                    </w:rPr>
                  </w:pPr>
                  <w:r>
                    <w:rPr>
                      <w:color w:val="auto"/>
                      <w:kern w:val="0"/>
                    </w:rPr>
                    <w:t>冷却水箱</w:t>
                  </w:r>
                </w:p>
              </w:tc>
              <w:tc>
                <w:tcPr>
                  <w:tcW w:w="1493" w:type="pct"/>
                  <w:tcBorders>
                    <w:tl2br w:val="nil"/>
                    <w:tr2bl w:val="nil"/>
                  </w:tcBorders>
                  <w:vAlign w:val="center"/>
                </w:tcPr>
                <w:p w14:paraId="3A84F356">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357">
                  <w:pPr>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358">
                  <w:pPr>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359">
                  <w:pPr>
                    <w:adjustRightInd w:val="0"/>
                    <w:snapToGrid w:val="0"/>
                    <w:jc w:val="center"/>
                    <w:rPr>
                      <w:color w:val="auto"/>
                      <w:kern w:val="0"/>
                    </w:rPr>
                  </w:pPr>
                  <w:r>
                    <w:rPr>
                      <w:color w:val="auto"/>
                      <w:kern w:val="0"/>
                    </w:rPr>
                    <w:t>0</w:t>
                  </w:r>
                </w:p>
              </w:tc>
            </w:tr>
            <w:tr w14:paraId="3A84F3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5B">
                  <w:pPr>
                    <w:adjustRightInd w:val="0"/>
                    <w:snapToGrid w:val="0"/>
                    <w:jc w:val="center"/>
                    <w:rPr>
                      <w:rFonts w:hint="default" w:eastAsia="宋体"/>
                      <w:color w:val="auto"/>
                      <w:kern w:val="0"/>
                      <w:lang w:val="en-US" w:eastAsia="zh-CN"/>
                    </w:rPr>
                  </w:pPr>
                  <w:r>
                    <w:rPr>
                      <w:rFonts w:hint="eastAsia"/>
                      <w:color w:val="auto"/>
                      <w:kern w:val="0"/>
                      <w:lang w:val="en-US" w:eastAsia="zh-CN"/>
                    </w:rPr>
                    <w:t>除尘</w:t>
                  </w:r>
                </w:p>
              </w:tc>
              <w:tc>
                <w:tcPr>
                  <w:tcW w:w="1245" w:type="pct"/>
                  <w:tcBorders>
                    <w:tl2br w:val="nil"/>
                    <w:tr2bl w:val="nil"/>
                  </w:tcBorders>
                  <w:shd w:val="clear" w:color="auto" w:fill="auto"/>
                  <w:vAlign w:val="center"/>
                </w:tcPr>
                <w:p w14:paraId="3A84F35C">
                  <w:pPr>
                    <w:adjustRightInd w:val="0"/>
                    <w:snapToGrid w:val="0"/>
                    <w:jc w:val="center"/>
                    <w:rPr>
                      <w:color w:val="auto"/>
                      <w:kern w:val="0"/>
                    </w:rPr>
                  </w:pPr>
                  <w:r>
                    <w:rPr>
                      <w:color w:val="auto"/>
                      <w:kern w:val="0"/>
                    </w:rPr>
                    <w:t>袋式除尘器</w:t>
                  </w:r>
                </w:p>
              </w:tc>
              <w:tc>
                <w:tcPr>
                  <w:tcW w:w="1493" w:type="pct"/>
                  <w:tcBorders>
                    <w:tl2br w:val="nil"/>
                    <w:tr2bl w:val="nil"/>
                  </w:tcBorders>
                  <w:vAlign w:val="center"/>
                </w:tcPr>
                <w:p w14:paraId="3A84F35D">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35E">
                  <w:pPr>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35F">
                  <w:pPr>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360">
                  <w:pPr>
                    <w:adjustRightInd w:val="0"/>
                    <w:snapToGrid w:val="0"/>
                    <w:jc w:val="center"/>
                    <w:rPr>
                      <w:color w:val="auto"/>
                      <w:kern w:val="0"/>
                    </w:rPr>
                  </w:pPr>
                  <w:r>
                    <w:rPr>
                      <w:color w:val="auto"/>
                      <w:kern w:val="0"/>
                    </w:rPr>
                    <w:t>0</w:t>
                  </w:r>
                </w:p>
              </w:tc>
            </w:tr>
            <w:tr w14:paraId="3A84F36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62">
                  <w:pPr>
                    <w:adjustRightInd w:val="0"/>
                    <w:snapToGrid w:val="0"/>
                    <w:jc w:val="center"/>
                    <w:rPr>
                      <w:rFonts w:hint="eastAsia" w:eastAsia="宋体"/>
                      <w:color w:val="auto"/>
                      <w:kern w:val="0"/>
                      <w:lang w:val="en-US" w:eastAsia="zh-CN"/>
                    </w:rPr>
                  </w:pPr>
                  <w:r>
                    <w:rPr>
                      <w:rFonts w:hint="eastAsia"/>
                      <w:color w:val="auto"/>
                      <w:kern w:val="0"/>
                      <w:lang w:val="en-US" w:eastAsia="zh-CN"/>
                    </w:rPr>
                    <w:t>风机</w:t>
                  </w:r>
                </w:p>
              </w:tc>
              <w:tc>
                <w:tcPr>
                  <w:tcW w:w="1245" w:type="pct"/>
                  <w:tcBorders>
                    <w:tl2br w:val="nil"/>
                    <w:tr2bl w:val="nil"/>
                  </w:tcBorders>
                  <w:shd w:val="clear" w:color="auto" w:fill="auto"/>
                  <w:vAlign w:val="center"/>
                </w:tcPr>
                <w:p w14:paraId="3A84F363">
                  <w:pPr>
                    <w:adjustRightInd w:val="0"/>
                    <w:snapToGrid w:val="0"/>
                    <w:jc w:val="center"/>
                    <w:rPr>
                      <w:color w:val="auto"/>
                      <w:kern w:val="0"/>
                    </w:rPr>
                  </w:pPr>
                  <w:r>
                    <w:rPr>
                      <w:color w:val="auto"/>
                      <w:kern w:val="0"/>
                    </w:rPr>
                    <w:t>接力风机</w:t>
                  </w:r>
                </w:p>
              </w:tc>
              <w:tc>
                <w:tcPr>
                  <w:tcW w:w="1493" w:type="pct"/>
                  <w:tcBorders>
                    <w:tl2br w:val="nil"/>
                    <w:tr2bl w:val="nil"/>
                  </w:tcBorders>
                  <w:vAlign w:val="center"/>
                </w:tcPr>
                <w:p w14:paraId="3A84F364">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365">
                  <w:pPr>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366">
                  <w:pPr>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367">
                  <w:pPr>
                    <w:adjustRightInd w:val="0"/>
                    <w:snapToGrid w:val="0"/>
                    <w:jc w:val="center"/>
                    <w:rPr>
                      <w:color w:val="auto"/>
                      <w:kern w:val="0"/>
                    </w:rPr>
                  </w:pPr>
                  <w:r>
                    <w:rPr>
                      <w:color w:val="auto"/>
                      <w:kern w:val="0"/>
                    </w:rPr>
                    <w:t>0</w:t>
                  </w:r>
                </w:p>
              </w:tc>
            </w:tr>
            <w:tr w14:paraId="3A84F36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69">
                  <w:pPr>
                    <w:adjustRightInd w:val="0"/>
                    <w:snapToGrid w:val="0"/>
                    <w:jc w:val="center"/>
                    <w:rPr>
                      <w:rFonts w:hint="eastAsia" w:eastAsia="宋体"/>
                      <w:color w:val="auto"/>
                      <w:kern w:val="0"/>
                      <w:lang w:val="en-US" w:eastAsia="zh-CN"/>
                    </w:rPr>
                  </w:pPr>
                  <w:r>
                    <w:rPr>
                      <w:rFonts w:hint="eastAsia"/>
                      <w:color w:val="auto"/>
                      <w:kern w:val="0"/>
                      <w:lang w:val="en-US" w:eastAsia="zh-CN"/>
                    </w:rPr>
                    <w:t>风机</w:t>
                  </w:r>
                </w:p>
              </w:tc>
              <w:tc>
                <w:tcPr>
                  <w:tcW w:w="1245" w:type="pct"/>
                  <w:tcBorders>
                    <w:tl2br w:val="nil"/>
                    <w:tr2bl w:val="nil"/>
                  </w:tcBorders>
                  <w:shd w:val="clear" w:color="auto" w:fill="auto"/>
                  <w:vAlign w:val="center"/>
                </w:tcPr>
                <w:p w14:paraId="3A84F36A">
                  <w:pPr>
                    <w:adjustRightInd w:val="0"/>
                    <w:snapToGrid w:val="0"/>
                    <w:jc w:val="center"/>
                    <w:rPr>
                      <w:color w:val="auto"/>
                      <w:kern w:val="0"/>
                    </w:rPr>
                  </w:pPr>
                  <w:r>
                    <w:rPr>
                      <w:color w:val="auto"/>
                      <w:kern w:val="0"/>
                    </w:rPr>
                    <w:t>变频风机</w:t>
                  </w:r>
                </w:p>
              </w:tc>
              <w:tc>
                <w:tcPr>
                  <w:tcW w:w="1493" w:type="pct"/>
                  <w:tcBorders>
                    <w:tl2br w:val="nil"/>
                    <w:tr2bl w:val="nil"/>
                  </w:tcBorders>
                  <w:vAlign w:val="center"/>
                </w:tcPr>
                <w:p w14:paraId="3A84F36B">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36C">
                  <w:pPr>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36D">
                  <w:pPr>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36E">
                  <w:pPr>
                    <w:adjustRightInd w:val="0"/>
                    <w:snapToGrid w:val="0"/>
                    <w:jc w:val="center"/>
                    <w:rPr>
                      <w:color w:val="auto"/>
                      <w:kern w:val="0"/>
                    </w:rPr>
                  </w:pPr>
                  <w:r>
                    <w:rPr>
                      <w:color w:val="auto"/>
                      <w:kern w:val="0"/>
                    </w:rPr>
                    <w:t>0</w:t>
                  </w:r>
                </w:p>
              </w:tc>
            </w:tr>
            <w:tr w14:paraId="3A84F37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70">
                  <w:pPr>
                    <w:adjustRightInd w:val="0"/>
                    <w:snapToGrid w:val="0"/>
                    <w:jc w:val="center"/>
                    <w:rPr>
                      <w:rFonts w:hint="eastAsia" w:eastAsia="宋体"/>
                      <w:color w:val="auto"/>
                      <w:kern w:val="0"/>
                      <w:lang w:val="en-US" w:eastAsia="zh-CN"/>
                    </w:rPr>
                  </w:pPr>
                  <w:r>
                    <w:rPr>
                      <w:rFonts w:hint="eastAsia"/>
                      <w:color w:val="auto"/>
                      <w:kern w:val="0"/>
                      <w:lang w:val="en-US" w:eastAsia="zh-CN"/>
                    </w:rPr>
                    <w:t>风机</w:t>
                  </w:r>
                </w:p>
              </w:tc>
              <w:tc>
                <w:tcPr>
                  <w:tcW w:w="1245" w:type="pct"/>
                  <w:tcBorders>
                    <w:tl2br w:val="nil"/>
                    <w:tr2bl w:val="nil"/>
                  </w:tcBorders>
                  <w:shd w:val="clear" w:color="auto" w:fill="auto"/>
                  <w:vAlign w:val="center"/>
                </w:tcPr>
                <w:p w14:paraId="3A84F371">
                  <w:pPr>
                    <w:adjustRightInd w:val="0"/>
                    <w:snapToGrid w:val="0"/>
                    <w:jc w:val="center"/>
                    <w:rPr>
                      <w:color w:val="auto"/>
                      <w:kern w:val="0"/>
                    </w:rPr>
                  </w:pPr>
                  <w:r>
                    <w:rPr>
                      <w:color w:val="auto"/>
                      <w:kern w:val="0"/>
                    </w:rPr>
                    <w:t>轴流风机</w:t>
                  </w:r>
                </w:p>
              </w:tc>
              <w:tc>
                <w:tcPr>
                  <w:tcW w:w="1493" w:type="pct"/>
                  <w:tcBorders>
                    <w:tl2br w:val="nil"/>
                    <w:tr2bl w:val="nil"/>
                  </w:tcBorders>
                  <w:vAlign w:val="center"/>
                </w:tcPr>
                <w:p w14:paraId="3A84F372">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373">
                  <w:pPr>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374">
                  <w:pPr>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375">
                  <w:pPr>
                    <w:adjustRightInd w:val="0"/>
                    <w:snapToGrid w:val="0"/>
                    <w:jc w:val="center"/>
                    <w:rPr>
                      <w:color w:val="auto"/>
                      <w:kern w:val="0"/>
                    </w:rPr>
                  </w:pPr>
                  <w:r>
                    <w:rPr>
                      <w:color w:val="auto"/>
                      <w:kern w:val="0"/>
                    </w:rPr>
                    <w:t>0</w:t>
                  </w:r>
                </w:p>
              </w:tc>
            </w:tr>
            <w:tr w14:paraId="3A84F37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77">
                  <w:pPr>
                    <w:adjustRightInd w:val="0"/>
                    <w:snapToGrid w:val="0"/>
                    <w:jc w:val="center"/>
                    <w:rPr>
                      <w:rFonts w:hint="eastAsia" w:eastAsia="宋体"/>
                      <w:color w:val="auto"/>
                      <w:kern w:val="0"/>
                      <w:lang w:val="en-US" w:eastAsia="zh-CN"/>
                    </w:rPr>
                  </w:pPr>
                  <w:r>
                    <w:rPr>
                      <w:rFonts w:hint="eastAsia"/>
                      <w:color w:val="auto"/>
                      <w:kern w:val="0"/>
                      <w:lang w:val="en-US" w:eastAsia="zh-CN"/>
                    </w:rPr>
                    <w:t>杀菌</w:t>
                  </w:r>
                </w:p>
              </w:tc>
              <w:tc>
                <w:tcPr>
                  <w:tcW w:w="1245" w:type="pct"/>
                  <w:tcBorders>
                    <w:tl2br w:val="nil"/>
                    <w:tr2bl w:val="nil"/>
                  </w:tcBorders>
                  <w:shd w:val="clear" w:color="auto" w:fill="auto"/>
                  <w:vAlign w:val="center"/>
                </w:tcPr>
                <w:p w14:paraId="3A84F378">
                  <w:pPr>
                    <w:adjustRightInd w:val="0"/>
                    <w:snapToGrid w:val="0"/>
                    <w:jc w:val="center"/>
                    <w:rPr>
                      <w:color w:val="auto"/>
                      <w:kern w:val="0"/>
                    </w:rPr>
                  </w:pPr>
                  <w:r>
                    <w:rPr>
                      <w:color w:val="auto"/>
                      <w:kern w:val="0"/>
                    </w:rPr>
                    <w:t>等离子杀菌器</w:t>
                  </w:r>
                </w:p>
              </w:tc>
              <w:tc>
                <w:tcPr>
                  <w:tcW w:w="1493" w:type="pct"/>
                  <w:tcBorders>
                    <w:tl2br w:val="nil"/>
                    <w:tr2bl w:val="nil"/>
                  </w:tcBorders>
                  <w:vAlign w:val="center"/>
                </w:tcPr>
                <w:p w14:paraId="3A84F379">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37A">
                  <w:pPr>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37B">
                  <w:pPr>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37C">
                  <w:pPr>
                    <w:adjustRightInd w:val="0"/>
                    <w:snapToGrid w:val="0"/>
                    <w:jc w:val="center"/>
                    <w:rPr>
                      <w:color w:val="auto"/>
                      <w:kern w:val="0"/>
                    </w:rPr>
                  </w:pPr>
                  <w:r>
                    <w:rPr>
                      <w:color w:val="auto"/>
                      <w:kern w:val="0"/>
                    </w:rPr>
                    <w:t>0</w:t>
                  </w:r>
                </w:p>
              </w:tc>
            </w:tr>
            <w:tr w14:paraId="3A84F38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7E">
                  <w:pPr>
                    <w:adjustRightInd w:val="0"/>
                    <w:snapToGrid w:val="0"/>
                    <w:jc w:val="center"/>
                    <w:rPr>
                      <w:rFonts w:hint="eastAsia" w:eastAsia="宋体"/>
                      <w:color w:val="auto"/>
                      <w:kern w:val="0"/>
                      <w:lang w:val="en-US" w:eastAsia="zh-CN"/>
                    </w:rPr>
                  </w:pPr>
                  <w:r>
                    <w:rPr>
                      <w:rFonts w:hint="eastAsia"/>
                      <w:color w:val="auto"/>
                      <w:kern w:val="0"/>
                      <w:lang w:val="en-US" w:eastAsia="zh-CN"/>
                    </w:rPr>
                    <w:t>储存柴油</w:t>
                  </w:r>
                </w:p>
              </w:tc>
              <w:tc>
                <w:tcPr>
                  <w:tcW w:w="1245" w:type="pct"/>
                  <w:tcBorders>
                    <w:tl2br w:val="nil"/>
                    <w:tr2bl w:val="nil"/>
                  </w:tcBorders>
                  <w:shd w:val="clear" w:color="auto" w:fill="auto"/>
                  <w:vAlign w:val="center"/>
                </w:tcPr>
                <w:p w14:paraId="3A84F37F">
                  <w:pPr>
                    <w:adjustRightInd w:val="0"/>
                    <w:snapToGrid w:val="0"/>
                    <w:jc w:val="center"/>
                    <w:rPr>
                      <w:color w:val="auto"/>
                      <w:kern w:val="0"/>
                    </w:rPr>
                  </w:pPr>
                  <w:r>
                    <w:rPr>
                      <w:color w:val="auto"/>
                      <w:kern w:val="0"/>
                    </w:rPr>
                    <w:t>柴油罐</w:t>
                  </w:r>
                </w:p>
              </w:tc>
              <w:tc>
                <w:tcPr>
                  <w:tcW w:w="1493" w:type="pct"/>
                  <w:tcBorders>
                    <w:tl2br w:val="nil"/>
                    <w:tr2bl w:val="nil"/>
                  </w:tcBorders>
                  <w:vAlign w:val="center"/>
                </w:tcPr>
                <w:p w14:paraId="3A84F380">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381">
                  <w:pPr>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382">
                  <w:pPr>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383">
                  <w:pPr>
                    <w:adjustRightInd w:val="0"/>
                    <w:snapToGrid w:val="0"/>
                    <w:jc w:val="center"/>
                    <w:rPr>
                      <w:color w:val="auto"/>
                      <w:kern w:val="0"/>
                    </w:rPr>
                  </w:pPr>
                  <w:r>
                    <w:rPr>
                      <w:color w:val="auto"/>
                      <w:kern w:val="0"/>
                    </w:rPr>
                    <w:t>0</w:t>
                  </w:r>
                </w:p>
              </w:tc>
            </w:tr>
            <w:tr w14:paraId="3A84F3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85">
                  <w:pPr>
                    <w:adjustRightInd w:val="0"/>
                    <w:snapToGrid w:val="0"/>
                    <w:jc w:val="center"/>
                    <w:rPr>
                      <w:rFonts w:hint="default" w:eastAsia="宋体"/>
                      <w:color w:val="auto"/>
                      <w:kern w:val="0"/>
                      <w:lang w:val="en-US" w:eastAsia="zh-CN"/>
                    </w:rPr>
                  </w:pPr>
                  <w:r>
                    <w:rPr>
                      <w:rFonts w:hint="eastAsia"/>
                      <w:color w:val="auto"/>
                      <w:kern w:val="0"/>
                      <w:lang w:val="en-US" w:eastAsia="zh-CN"/>
                    </w:rPr>
                    <w:t>柴油输送</w:t>
                  </w:r>
                </w:p>
              </w:tc>
              <w:tc>
                <w:tcPr>
                  <w:tcW w:w="1245" w:type="pct"/>
                  <w:tcBorders>
                    <w:tl2br w:val="nil"/>
                    <w:tr2bl w:val="nil"/>
                  </w:tcBorders>
                  <w:shd w:val="clear" w:color="auto" w:fill="auto"/>
                  <w:vAlign w:val="center"/>
                </w:tcPr>
                <w:p w14:paraId="3A84F386">
                  <w:pPr>
                    <w:adjustRightInd w:val="0"/>
                    <w:snapToGrid w:val="0"/>
                    <w:jc w:val="center"/>
                    <w:rPr>
                      <w:color w:val="auto"/>
                      <w:kern w:val="0"/>
                    </w:rPr>
                  </w:pPr>
                  <w:r>
                    <w:rPr>
                      <w:color w:val="auto"/>
                      <w:kern w:val="0"/>
                    </w:rPr>
                    <w:t>柴油泵</w:t>
                  </w:r>
                </w:p>
              </w:tc>
              <w:tc>
                <w:tcPr>
                  <w:tcW w:w="1493" w:type="pct"/>
                  <w:tcBorders>
                    <w:tl2br w:val="nil"/>
                    <w:tr2bl w:val="nil"/>
                  </w:tcBorders>
                  <w:vAlign w:val="center"/>
                </w:tcPr>
                <w:p w14:paraId="3A84F387">
                  <w:pPr>
                    <w:adjustRightInd w:val="0"/>
                    <w:snapToGrid w:val="0"/>
                    <w:jc w:val="center"/>
                    <w:rPr>
                      <w:color w:val="auto"/>
                      <w:kern w:val="0"/>
                    </w:rPr>
                  </w:pPr>
                  <w:r>
                    <w:rPr>
                      <w:color w:val="auto"/>
                      <w:kern w:val="0"/>
                    </w:rPr>
                    <w:t>/</w:t>
                  </w:r>
                </w:p>
              </w:tc>
              <w:tc>
                <w:tcPr>
                  <w:tcW w:w="532" w:type="pct"/>
                  <w:tcBorders>
                    <w:tl2br w:val="nil"/>
                    <w:tr2bl w:val="nil"/>
                  </w:tcBorders>
                  <w:shd w:val="clear" w:color="auto" w:fill="auto"/>
                  <w:vAlign w:val="center"/>
                </w:tcPr>
                <w:p w14:paraId="3A84F388">
                  <w:pPr>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389">
                  <w:pPr>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38A">
                  <w:pPr>
                    <w:adjustRightInd w:val="0"/>
                    <w:snapToGrid w:val="0"/>
                    <w:jc w:val="center"/>
                    <w:rPr>
                      <w:color w:val="auto"/>
                      <w:kern w:val="0"/>
                    </w:rPr>
                  </w:pPr>
                  <w:r>
                    <w:rPr>
                      <w:color w:val="auto"/>
                      <w:kern w:val="0"/>
                    </w:rPr>
                    <w:t>0</w:t>
                  </w:r>
                </w:p>
              </w:tc>
            </w:tr>
            <w:tr w14:paraId="3A84F3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6"/>
                  <w:tcBorders>
                    <w:tl2br w:val="nil"/>
                    <w:tr2bl w:val="nil"/>
                  </w:tcBorders>
                  <w:vAlign w:val="center"/>
                </w:tcPr>
                <w:p w14:paraId="3A84F38C">
                  <w:pPr>
                    <w:adjustRightInd w:val="0"/>
                    <w:snapToGrid w:val="0"/>
                    <w:jc w:val="center"/>
                    <w:rPr>
                      <w:b/>
                      <w:bCs/>
                      <w:color w:val="auto"/>
                      <w:kern w:val="0"/>
                    </w:rPr>
                  </w:pPr>
                  <w:r>
                    <w:rPr>
                      <w:b/>
                      <w:bCs/>
                      <w:color w:val="auto"/>
                      <w:kern w:val="0"/>
                    </w:rPr>
                    <w:t>动力中心</w:t>
                  </w:r>
                </w:p>
              </w:tc>
            </w:tr>
            <w:tr w14:paraId="3A84F3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vMerge w:val="restart"/>
                  <w:tcBorders>
                    <w:tl2br w:val="nil"/>
                    <w:tr2bl w:val="nil"/>
                  </w:tcBorders>
                  <w:shd w:val="clear" w:color="auto" w:fill="auto"/>
                  <w:vAlign w:val="center"/>
                </w:tcPr>
                <w:p w14:paraId="3A84F38E">
                  <w:pPr>
                    <w:adjustRightInd w:val="0"/>
                    <w:snapToGrid w:val="0"/>
                    <w:jc w:val="center"/>
                    <w:rPr>
                      <w:color w:val="auto"/>
                      <w:kern w:val="0"/>
                    </w:rPr>
                  </w:pPr>
                  <w:r>
                    <w:rPr>
                      <w:rFonts w:hint="eastAsia"/>
                      <w:color w:val="auto"/>
                      <w:kern w:val="0"/>
                    </w:rPr>
                    <w:t>公辅</w:t>
                  </w:r>
                </w:p>
              </w:tc>
              <w:tc>
                <w:tcPr>
                  <w:tcW w:w="1245" w:type="pct"/>
                  <w:tcBorders>
                    <w:tl2br w:val="nil"/>
                    <w:tr2bl w:val="nil"/>
                  </w:tcBorders>
                  <w:shd w:val="clear" w:color="auto" w:fill="auto"/>
                  <w:vAlign w:val="center"/>
                </w:tcPr>
                <w:p w14:paraId="3A84F38F">
                  <w:pPr>
                    <w:adjustRightInd w:val="0"/>
                    <w:snapToGrid w:val="0"/>
                    <w:jc w:val="center"/>
                    <w:rPr>
                      <w:color w:val="auto"/>
                      <w:kern w:val="0"/>
                    </w:rPr>
                  </w:pPr>
                  <w:r>
                    <w:rPr>
                      <w:color w:val="auto"/>
                      <w:kern w:val="0"/>
                    </w:rPr>
                    <w:t>变压器</w:t>
                  </w:r>
                </w:p>
              </w:tc>
              <w:tc>
                <w:tcPr>
                  <w:tcW w:w="1493" w:type="pct"/>
                  <w:tcBorders>
                    <w:tl2br w:val="nil"/>
                    <w:tr2bl w:val="nil"/>
                  </w:tcBorders>
                  <w:vAlign w:val="center"/>
                </w:tcPr>
                <w:p w14:paraId="3A84F390">
                  <w:pPr>
                    <w:adjustRightInd w:val="0"/>
                    <w:snapToGrid w:val="0"/>
                    <w:jc w:val="center"/>
                    <w:rPr>
                      <w:color w:val="auto"/>
                      <w:kern w:val="0"/>
                    </w:rPr>
                  </w:pPr>
                  <w:r>
                    <w:rPr>
                      <w:color w:val="auto"/>
                      <w:kern w:val="0"/>
                    </w:rPr>
                    <w:t>10KV</w:t>
                  </w:r>
                </w:p>
              </w:tc>
              <w:tc>
                <w:tcPr>
                  <w:tcW w:w="532" w:type="pct"/>
                  <w:tcBorders>
                    <w:tl2br w:val="nil"/>
                    <w:tr2bl w:val="nil"/>
                  </w:tcBorders>
                  <w:shd w:val="clear" w:color="auto" w:fill="auto"/>
                  <w:vAlign w:val="center"/>
                </w:tcPr>
                <w:p w14:paraId="3A84F391">
                  <w:pPr>
                    <w:adjustRightInd w:val="0"/>
                    <w:snapToGrid w:val="0"/>
                    <w:jc w:val="center"/>
                    <w:rPr>
                      <w:color w:val="auto"/>
                      <w:kern w:val="0"/>
                    </w:rPr>
                  </w:pPr>
                  <w:r>
                    <w:rPr>
                      <w:color w:val="auto"/>
                      <w:kern w:val="0"/>
                    </w:rPr>
                    <w:t>12</w:t>
                  </w:r>
                </w:p>
              </w:tc>
              <w:tc>
                <w:tcPr>
                  <w:tcW w:w="532" w:type="pct"/>
                  <w:tcBorders>
                    <w:tl2br w:val="nil"/>
                    <w:tr2bl w:val="nil"/>
                  </w:tcBorders>
                  <w:shd w:val="clear" w:color="auto" w:fill="auto"/>
                  <w:vAlign w:val="center"/>
                </w:tcPr>
                <w:p w14:paraId="3A84F392">
                  <w:pPr>
                    <w:adjustRightInd w:val="0"/>
                    <w:snapToGrid w:val="0"/>
                    <w:jc w:val="center"/>
                    <w:rPr>
                      <w:color w:val="auto"/>
                      <w:kern w:val="0"/>
                    </w:rPr>
                  </w:pPr>
                  <w:r>
                    <w:rPr>
                      <w:color w:val="auto"/>
                      <w:kern w:val="0"/>
                    </w:rPr>
                    <w:t>12</w:t>
                  </w:r>
                </w:p>
              </w:tc>
              <w:tc>
                <w:tcPr>
                  <w:tcW w:w="544" w:type="pct"/>
                  <w:tcBorders>
                    <w:tl2br w:val="nil"/>
                    <w:tr2bl w:val="nil"/>
                  </w:tcBorders>
                  <w:shd w:val="clear" w:color="auto" w:fill="auto"/>
                  <w:vAlign w:val="center"/>
                </w:tcPr>
                <w:p w14:paraId="3A84F393">
                  <w:pPr>
                    <w:adjustRightInd w:val="0"/>
                    <w:snapToGrid w:val="0"/>
                    <w:jc w:val="center"/>
                    <w:rPr>
                      <w:color w:val="auto"/>
                      <w:kern w:val="0"/>
                    </w:rPr>
                  </w:pPr>
                  <w:r>
                    <w:rPr>
                      <w:color w:val="auto"/>
                      <w:kern w:val="0"/>
                    </w:rPr>
                    <w:t>0</w:t>
                  </w:r>
                </w:p>
              </w:tc>
            </w:tr>
            <w:tr w14:paraId="3A84F39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vMerge w:val="continue"/>
                  <w:tcBorders>
                    <w:tl2br w:val="nil"/>
                    <w:tr2bl w:val="nil"/>
                  </w:tcBorders>
                  <w:shd w:val="clear" w:color="auto" w:fill="auto"/>
                  <w:vAlign w:val="center"/>
                </w:tcPr>
                <w:p w14:paraId="3A84F395">
                  <w:pPr>
                    <w:adjustRightInd w:val="0"/>
                    <w:snapToGrid w:val="0"/>
                    <w:jc w:val="center"/>
                    <w:rPr>
                      <w:color w:val="auto"/>
                      <w:kern w:val="0"/>
                    </w:rPr>
                  </w:pPr>
                </w:p>
              </w:tc>
              <w:tc>
                <w:tcPr>
                  <w:tcW w:w="1245" w:type="pct"/>
                  <w:tcBorders>
                    <w:tl2br w:val="nil"/>
                    <w:tr2bl w:val="nil"/>
                  </w:tcBorders>
                  <w:shd w:val="clear" w:color="auto" w:fill="auto"/>
                  <w:vAlign w:val="center"/>
                </w:tcPr>
                <w:p w14:paraId="3A84F396">
                  <w:pPr>
                    <w:adjustRightInd w:val="0"/>
                    <w:snapToGrid w:val="0"/>
                    <w:jc w:val="center"/>
                    <w:rPr>
                      <w:color w:val="auto"/>
                      <w:kern w:val="0"/>
                    </w:rPr>
                  </w:pPr>
                  <w:r>
                    <w:rPr>
                      <w:color w:val="auto"/>
                      <w:kern w:val="0"/>
                    </w:rPr>
                    <w:t>变压器</w:t>
                  </w:r>
                </w:p>
              </w:tc>
              <w:tc>
                <w:tcPr>
                  <w:tcW w:w="1493" w:type="pct"/>
                  <w:tcBorders>
                    <w:tl2br w:val="nil"/>
                    <w:tr2bl w:val="nil"/>
                  </w:tcBorders>
                  <w:vAlign w:val="center"/>
                </w:tcPr>
                <w:p w14:paraId="3A84F397">
                  <w:pPr>
                    <w:adjustRightInd w:val="0"/>
                    <w:snapToGrid w:val="0"/>
                    <w:jc w:val="center"/>
                    <w:rPr>
                      <w:color w:val="auto"/>
                      <w:kern w:val="0"/>
                    </w:rPr>
                  </w:pPr>
                  <w:r>
                    <w:rPr>
                      <w:color w:val="auto"/>
                      <w:kern w:val="0"/>
                    </w:rPr>
                    <w:t>35KV</w:t>
                  </w:r>
                </w:p>
              </w:tc>
              <w:tc>
                <w:tcPr>
                  <w:tcW w:w="532" w:type="pct"/>
                  <w:tcBorders>
                    <w:tl2br w:val="nil"/>
                    <w:tr2bl w:val="nil"/>
                  </w:tcBorders>
                  <w:shd w:val="clear" w:color="auto" w:fill="auto"/>
                  <w:vAlign w:val="center"/>
                </w:tcPr>
                <w:p w14:paraId="3A84F398">
                  <w:pPr>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399">
                  <w:pPr>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39A">
                  <w:pPr>
                    <w:adjustRightInd w:val="0"/>
                    <w:snapToGrid w:val="0"/>
                    <w:jc w:val="center"/>
                    <w:rPr>
                      <w:color w:val="auto"/>
                      <w:kern w:val="0"/>
                    </w:rPr>
                  </w:pPr>
                  <w:r>
                    <w:rPr>
                      <w:color w:val="auto"/>
                      <w:kern w:val="0"/>
                    </w:rPr>
                    <w:t>0</w:t>
                  </w:r>
                </w:p>
              </w:tc>
            </w:tr>
            <w:tr w14:paraId="3A84F39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6"/>
                  <w:tcBorders>
                    <w:tl2br w:val="nil"/>
                    <w:tr2bl w:val="nil"/>
                  </w:tcBorders>
                  <w:vAlign w:val="center"/>
                </w:tcPr>
                <w:p w14:paraId="3A84F39C">
                  <w:pPr>
                    <w:adjustRightInd w:val="0"/>
                    <w:snapToGrid w:val="0"/>
                    <w:jc w:val="center"/>
                    <w:rPr>
                      <w:b/>
                      <w:bCs/>
                      <w:color w:val="auto"/>
                      <w:kern w:val="0"/>
                    </w:rPr>
                  </w:pPr>
                  <w:r>
                    <w:rPr>
                      <w:b/>
                      <w:bCs/>
                      <w:color w:val="auto"/>
                      <w:kern w:val="0"/>
                    </w:rPr>
                    <w:t>气体发生器装配工房302</w:t>
                  </w:r>
                </w:p>
              </w:tc>
            </w:tr>
            <w:tr w14:paraId="3A84F3A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9E">
                  <w:pPr>
                    <w:adjustRightInd w:val="0"/>
                    <w:snapToGrid w:val="0"/>
                    <w:jc w:val="center"/>
                    <w:rPr>
                      <w:color w:val="auto"/>
                      <w:kern w:val="0"/>
                    </w:rPr>
                  </w:pPr>
                  <w:r>
                    <w:rPr>
                      <w:rFonts w:hint="eastAsia"/>
                      <w:color w:val="auto"/>
                      <w:kern w:val="0"/>
                    </w:rPr>
                    <w:t>清洗</w:t>
                  </w:r>
                </w:p>
              </w:tc>
              <w:tc>
                <w:tcPr>
                  <w:tcW w:w="1245" w:type="pct"/>
                  <w:tcBorders>
                    <w:tl2br w:val="nil"/>
                    <w:tr2bl w:val="nil"/>
                  </w:tcBorders>
                  <w:shd w:val="clear" w:color="auto" w:fill="auto"/>
                  <w:vAlign w:val="center"/>
                </w:tcPr>
                <w:p w14:paraId="3A84F39F">
                  <w:pPr>
                    <w:adjustRightInd w:val="0"/>
                    <w:snapToGrid w:val="0"/>
                    <w:jc w:val="center"/>
                    <w:rPr>
                      <w:color w:val="auto"/>
                      <w:kern w:val="0"/>
                    </w:rPr>
                  </w:pPr>
                  <w:r>
                    <w:rPr>
                      <w:color w:val="auto"/>
                      <w:kern w:val="0"/>
                    </w:rPr>
                    <w:t>清洗机</w:t>
                  </w:r>
                </w:p>
              </w:tc>
              <w:tc>
                <w:tcPr>
                  <w:tcW w:w="1493" w:type="pct"/>
                  <w:tcBorders>
                    <w:tl2br w:val="nil"/>
                    <w:tr2bl w:val="nil"/>
                  </w:tcBorders>
                  <w:vAlign w:val="center"/>
                </w:tcPr>
                <w:p w14:paraId="3A84F3A0">
                  <w:pPr>
                    <w:adjustRightInd w:val="0"/>
                    <w:snapToGrid w:val="0"/>
                    <w:jc w:val="center"/>
                    <w:rPr>
                      <w:color w:val="auto"/>
                      <w:kern w:val="0"/>
                    </w:rPr>
                  </w:pPr>
                  <w:r>
                    <w:rPr>
                      <w:color w:val="auto"/>
                      <w:kern w:val="0"/>
                    </w:rPr>
                    <w:t>定制</w:t>
                  </w:r>
                </w:p>
              </w:tc>
              <w:tc>
                <w:tcPr>
                  <w:tcW w:w="532" w:type="pct"/>
                  <w:tcBorders>
                    <w:tl2br w:val="nil"/>
                    <w:tr2bl w:val="nil"/>
                  </w:tcBorders>
                  <w:shd w:val="clear" w:color="auto" w:fill="auto"/>
                  <w:vAlign w:val="center"/>
                </w:tcPr>
                <w:p w14:paraId="3A84F3A1">
                  <w:pPr>
                    <w:adjustRightInd w:val="0"/>
                    <w:snapToGrid w:val="0"/>
                    <w:jc w:val="center"/>
                    <w:rPr>
                      <w:color w:val="auto"/>
                      <w:kern w:val="0"/>
                    </w:rPr>
                  </w:pPr>
                  <w:r>
                    <w:rPr>
                      <w:color w:val="auto"/>
                      <w:kern w:val="0"/>
                    </w:rPr>
                    <w:t>6</w:t>
                  </w:r>
                </w:p>
              </w:tc>
              <w:tc>
                <w:tcPr>
                  <w:tcW w:w="532" w:type="pct"/>
                  <w:tcBorders>
                    <w:tl2br w:val="nil"/>
                    <w:tr2bl w:val="nil"/>
                  </w:tcBorders>
                  <w:shd w:val="clear" w:color="auto" w:fill="auto"/>
                  <w:vAlign w:val="center"/>
                </w:tcPr>
                <w:p w14:paraId="3A84F3A2">
                  <w:pPr>
                    <w:adjustRightInd w:val="0"/>
                    <w:snapToGrid w:val="0"/>
                    <w:jc w:val="center"/>
                    <w:rPr>
                      <w:color w:val="auto"/>
                      <w:kern w:val="0"/>
                    </w:rPr>
                  </w:pPr>
                  <w:r>
                    <w:rPr>
                      <w:color w:val="auto"/>
                      <w:kern w:val="0"/>
                    </w:rPr>
                    <w:t>6</w:t>
                  </w:r>
                </w:p>
              </w:tc>
              <w:tc>
                <w:tcPr>
                  <w:tcW w:w="544" w:type="pct"/>
                  <w:tcBorders>
                    <w:tl2br w:val="nil"/>
                    <w:tr2bl w:val="nil"/>
                  </w:tcBorders>
                  <w:shd w:val="clear" w:color="auto" w:fill="auto"/>
                  <w:vAlign w:val="center"/>
                </w:tcPr>
                <w:p w14:paraId="3A84F3A3">
                  <w:pPr>
                    <w:adjustRightInd w:val="0"/>
                    <w:snapToGrid w:val="0"/>
                    <w:jc w:val="center"/>
                    <w:rPr>
                      <w:color w:val="auto"/>
                      <w:kern w:val="0"/>
                    </w:rPr>
                  </w:pPr>
                  <w:r>
                    <w:rPr>
                      <w:color w:val="auto"/>
                      <w:kern w:val="0"/>
                    </w:rPr>
                    <w:t>0</w:t>
                  </w:r>
                </w:p>
              </w:tc>
            </w:tr>
            <w:tr w14:paraId="3A84F3A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6"/>
                  <w:tcBorders>
                    <w:tl2br w:val="nil"/>
                    <w:tr2bl w:val="nil"/>
                  </w:tcBorders>
                  <w:vAlign w:val="center"/>
                </w:tcPr>
                <w:p w14:paraId="3A84F3A5">
                  <w:pPr>
                    <w:adjustRightInd w:val="0"/>
                    <w:snapToGrid w:val="0"/>
                    <w:jc w:val="center"/>
                    <w:rPr>
                      <w:b/>
                      <w:bCs/>
                      <w:color w:val="auto"/>
                      <w:kern w:val="0"/>
                    </w:rPr>
                  </w:pPr>
                  <w:r>
                    <w:rPr>
                      <w:b/>
                      <w:bCs/>
                      <w:color w:val="auto"/>
                      <w:kern w:val="0"/>
                    </w:rPr>
                    <w:t>产气药压片间</w:t>
                  </w:r>
                </w:p>
              </w:tc>
            </w:tr>
            <w:tr w14:paraId="3A84F3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A7">
                  <w:pPr>
                    <w:widowControl/>
                    <w:adjustRightInd w:val="0"/>
                    <w:snapToGrid w:val="0"/>
                    <w:jc w:val="center"/>
                    <w:rPr>
                      <w:color w:val="auto"/>
                      <w:kern w:val="0"/>
                    </w:rPr>
                  </w:pPr>
                  <w:r>
                    <w:rPr>
                      <w:color w:val="auto"/>
                      <w:kern w:val="0"/>
                    </w:rPr>
                    <w:t>压片</w:t>
                  </w:r>
                </w:p>
              </w:tc>
              <w:tc>
                <w:tcPr>
                  <w:tcW w:w="1245" w:type="pct"/>
                  <w:tcBorders>
                    <w:tl2br w:val="nil"/>
                    <w:tr2bl w:val="nil"/>
                  </w:tcBorders>
                  <w:shd w:val="clear" w:color="auto" w:fill="auto"/>
                  <w:vAlign w:val="center"/>
                </w:tcPr>
                <w:p w14:paraId="3A84F3A8">
                  <w:pPr>
                    <w:widowControl/>
                    <w:adjustRightInd w:val="0"/>
                    <w:snapToGrid w:val="0"/>
                    <w:jc w:val="center"/>
                    <w:rPr>
                      <w:color w:val="auto"/>
                      <w:kern w:val="0"/>
                    </w:rPr>
                  </w:pPr>
                  <w:r>
                    <w:rPr>
                      <w:color w:val="auto"/>
                      <w:kern w:val="0"/>
                    </w:rPr>
                    <w:t>压片机</w:t>
                  </w:r>
                </w:p>
              </w:tc>
              <w:tc>
                <w:tcPr>
                  <w:tcW w:w="1493" w:type="pct"/>
                  <w:tcBorders>
                    <w:tl2br w:val="nil"/>
                    <w:tr2bl w:val="nil"/>
                  </w:tcBorders>
                  <w:vAlign w:val="center"/>
                </w:tcPr>
                <w:p w14:paraId="3A84F3A9">
                  <w:pPr>
                    <w:widowControl/>
                    <w:adjustRightInd w:val="0"/>
                    <w:snapToGrid w:val="0"/>
                    <w:jc w:val="center"/>
                    <w:rPr>
                      <w:color w:val="auto"/>
                      <w:kern w:val="0"/>
                    </w:rPr>
                  </w:pPr>
                  <w:r>
                    <w:rPr>
                      <w:color w:val="auto"/>
                      <w:kern w:val="0"/>
                    </w:rPr>
                    <w:t>菲特压片机</w:t>
                  </w:r>
                </w:p>
              </w:tc>
              <w:tc>
                <w:tcPr>
                  <w:tcW w:w="532" w:type="pct"/>
                  <w:tcBorders>
                    <w:tl2br w:val="nil"/>
                    <w:tr2bl w:val="nil"/>
                  </w:tcBorders>
                  <w:shd w:val="clear" w:color="auto" w:fill="auto"/>
                  <w:vAlign w:val="center"/>
                </w:tcPr>
                <w:p w14:paraId="3A84F3AA">
                  <w:pPr>
                    <w:widowControl/>
                    <w:adjustRightInd w:val="0"/>
                    <w:snapToGrid w:val="0"/>
                    <w:jc w:val="center"/>
                    <w:rPr>
                      <w:color w:val="auto"/>
                      <w:kern w:val="0"/>
                    </w:rPr>
                  </w:pPr>
                  <w:r>
                    <w:rPr>
                      <w:color w:val="auto"/>
                      <w:kern w:val="0"/>
                    </w:rPr>
                    <w:t>3</w:t>
                  </w:r>
                </w:p>
              </w:tc>
              <w:tc>
                <w:tcPr>
                  <w:tcW w:w="532" w:type="pct"/>
                  <w:tcBorders>
                    <w:tl2br w:val="nil"/>
                    <w:tr2bl w:val="nil"/>
                  </w:tcBorders>
                  <w:shd w:val="clear" w:color="auto" w:fill="auto"/>
                  <w:vAlign w:val="center"/>
                </w:tcPr>
                <w:p w14:paraId="3A84F3AB">
                  <w:pPr>
                    <w:widowControl/>
                    <w:adjustRightInd w:val="0"/>
                    <w:snapToGrid w:val="0"/>
                    <w:jc w:val="center"/>
                    <w:rPr>
                      <w:color w:val="auto"/>
                      <w:kern w:val="0"/>
                    </w:rPr>
                  </w:pPr>
                  <w:r>
                    <w:rPr>
                      <w:color w:val="auto"/>
                      <w:kern w:val="0"/>
                    </w:rPr>
                    <w:t>3</w:t>
                  </w:r>
                </w:p>
              </w:tc>
              <w:tc>
                <w:tcPr>
                  <w:tcW w:w="544" w:type="pct"/>
                  <w:tcBorders>
                    <w:tl2br w:val="nil"/>
                    <w:tr2bl w:val="nil"/>
                  </w:tcBorders>
                  <w:shd w:val="clear" w:color="auto" w:fill="auto"/>
                  <w:vAlign w:val="center"/>
                </w:tcPr>
                <w:p w14:paraId="3A84F3AC">
                  <w:pPr>
                    <w:adjustRightInd w:val="0"/>
                    <w:snapToGrid w:val="0"/>
                    <w:jc w:val="center"/>
                    <w:rPr>
                      <w:color w:val="auto"/>
                      <w:kern w:val="0"/>
                    </w:rPr>
                  </w:pPr>
                  <w:r>
                    <w:rPr>
                      <w:color w:val="auto"/>
                      <w:kern w:val="0"/>
                    </w:rPr>
                    <w:t>0</w:t>
                  </w:r>
                </w:p>
              </w:tc>
            </w:tr>
            <w:tr w14:paraId="3A84F3B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AE">
                  <w:pPr>
                    <w:widowControl/>
                    <w:adjustRightInd w:val="0"/>
                    <w:snapToGrid w:val="0"/>
                    <w:jc w:val="center"/>
                    <w:rPr>
                      <w:color w:val="auto"/>
                      <w:kern w:val="0"/>
                    </w:rPr>
                  </w:pPr>
                  <w:r>
                    <w:rPr>
                      <w:color w:val="auto"/>
                      <w:kern w:val="0"/>
                    </w:rPr>
                    <w:t>压片</w:t>
                  </w:r>
                </w:p>
              </w:tc>
              <w:tc>
                <w:tcPr>
                  <w:tcW w:w="1245" w:type="pct"/>
                  <w:tcBorders>
                    <w:tl2br w:val="nil"/>
                    <w:tr2bl w:val="nil"/>
                  </w:tcBorders>
                  <w:shd w:val="clear" w:color="auto" w:fill="auto"/>
                  <w:vAlign w:val="center"/>
                </w:tcPr>
                <w:p w14:paraId="3A84F3AF">
                  <w:pPr>
                    <w:widowControl/>
                    <w:adjustRightInd w:val="0"/>
                    <w:snapToGrid w:val="0"/>
                    <w:jc w:val="center"/>
                    <w:rPr>
                      <w:color w:val="auto"/>
                      <w:kern w:val="0"/>
                    </w:rPr>
                  </w:pPr>
                  <w:r>
                    <w:rPr>
                      <w:color w:val="auto"/>
                      <w:kern w:val="0"/>
                    </w:rPr>
                    <w:t>混合器</w:t>
                  </w:r>
                </w:p>
              </w:tc>
              <w:tc>
                <w:tcPr>
                  <w:tcW w:w="1493" w:type="pct"/>
                  <w:tcBorders>
                    <w:tl2br w:val="nil"/>
                    <w:tr2bl w:val="nil"/>
                  </w:tcBorders>
                  <w:vAlign w:val="center"/>
                </w:tcPr>
                <w:p w14:paraId="3A84F3B0">
                  <w:pPr>
                    <w:widowControl/>
                    <w:adjustRightInd w:val="0"/>
                    <w:snapToGrid w:val="0"/>
                    <w:jc w:val="center"/>
                    <w:rPr>
                      <w:color w:val="auto"/>
                      <w:kern w:val="0"/>
                    </w:rPr>
                  </w:pPr>
                  <w:r>
                    <w:rPr>
                      <w:color w:val="auto"/>
                      <w:kern w:val="0"/>
                    </w:rPr>
                    <w:t>A&amp;J搅拌机</w:t>
                  </w:r>
                </w:p>
              </w:tc>
              <w:tc>
                <w:tcPr>
                  <w:tcW w:w="532" w:type="pct"/>
                  <w:tcBorders>
                    <w:tl2br w:val="nil"/>
                    <w:tr2bl w:val="nil"/>
                  </w:tcBorders>
                  <w:shd w:val="clear" w:color="auto" w:fill="auto"/>
                  <w:vAlign w:val="center"/>
                </w:tcPr>
                <w:p w14:paraId="3A84F3B1">
                  <w:pPr>
                    <w:widowControl/>
                    <w:adjustRightInd w:val="0"/>
                    <w:snapToGrid w:val="0"/>
                    <w:jc w:val="center"/>
                    <w:rPr>
                      <w:color w:val="auto"/>
                      <w:kern w:val="0"/>
                    </w:rPr>
                  </w:pPr>
                  <w:r>
                    <w:rPr>
                      <w:color w:val="auto"/>
                      <w:kern w:val="0"/>
                    </w:rPr>
                    <w:t>3</w:t>
                  </w:r>
                </w:p>
              </w:tc>
              <w:tc>
                <w:tcPr>
                  <w:tcW w:w="532" w:type="pct"/>
                  <w:tcBorders>
                    <w:tl2br w:val="nil"/>
                    <w:tr2bl w:val="nil"/>
                  </w:tcBorders>
                  <w:shd w:val="clear" w:color="auto" w:fill="auto"/>
                  <w:vAlign w:val="center"/>
                </w:tcPr>
                <w:p w14:paraId="3A84F3B2">
                  <w:pPr>
                    <w:widowControl/>
                    <w:adjustRightInd w:val="0"/>
                    <w:snapToGrid w:val="0"/>
                    <w:jc w:val="center"/>
                    <w:rPr>
                      <w:color w:val="auto"/>
                      <w:kern w:val="0"/>
                    </w:rPr>
                  </w:pPr>
                  <w:r>
                    <w:rPr>
                      <w:color w:val="auto"/>
                      <w:kern w:val="0"/>
                    </w:rPr>
                    <w:t>3</w:t>
                  </w:r>
                </w:p>
              </w:tc>
              <w:tc>
                <w:tcPr>
                  <w:tcW w:w="544" w:type="pct"/>
                  <w:tcBorders>
                    <w:tl2br w:val="nil"/>
                    <w:tr2bl w:val="nil"/>
                  </w:tcBorders>
                  <w:shd w:val="clear" w:color="auto" w:fill="auto"/>
                  <w:vAlign w:val="center"/>
                </w:tcPr>
                <w:p w14:paraId="3A84F3B3">
                  <w:pPr>
                    <w:adjustRightInd w:val="0"/>
                    <w:snapToGrid w:val="0"/>
                    <w:jc w:val="center"/>
                    <w:rPr>
                      <w:color w:val="auto"/>
                      <w:kern w:val="0"/>
                    </w:rPr>
                  </w:pPr>
                  <w:r>
                    <w:rPr>
                      <w:color w:val="auto"/>
                      <w:kern w:val="0"/>
                    </w:rPr>
                    <w:t>0</w:t>
                  </w:r>
                </w:p>
              </w:tc>
            </w:tr>
            <w:tr w14:paraId="3A84F3B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B5">
                  <w:pPr>
                    <w:widowControl/>
                    <w:adjustRightInd w:val="0"/>
                    <w:snapToGrid w:val="0"/>
                    <w:jc w:val="center"/>
                    <w:rPr>
                      <w:color w:val="auto"/>
                      <w:kern w:val="0"/>
                    </w:rPr>
                  </w:pPr>
                  <w:r>
                    <w:rPr>
                      <w:color w:val="auto"/>
                      <w:kern w:val="0"/>
                    </w:rPr>
                    <w:t>压片</w:t>
                  </w:r>
                </w:p>
              </w:tc>
              <w:tc>
                <w:tcPr>
                  <w:tcW w:w="1245" w:type="pct"/>
                  <w:tcBorders>
                    <w:tl2br w:val="nil"/>
                    <w:tr2bl w:val="nil"/>
                  </w:tcBorders>
                  <w:shd w:val="clear" w:color="auto" w:fill="auto"/>
                  <w:vAlign w:val="center"/>
                </w:tcPr>
                <w:p w14:paraId="3A84F3B6">
                  <w:pPr>
                    <w:widowControl/>
                    <w:adjustRightInd w:val="0"/>
                    <w:snapToGrid w:val="0"/>
                    <w:jc w:val="center"/>
                    <w:rPr>
                      <w:color w:val="auto"/>
                      <w:kern w:val="0"/>
                    </w:rPr>
                  </w:pPr>
                  <w:r>
                    <w:rPr>
                      <w:color w:val="auto"/>
                      <w:kern w:val="0"/>
                    </w:rPr>
                    <w:t>气动振动器</w:t>
                  </w:r>
                </w:p>
              </w:tc>
              <w:tc>
                <w:tcPr>
                  <w:tcW w:w="1493" w:type="pct"/>
                  <w:tcBorders>
                    <w:tl2br w:val="nil"/>
                    <w:tr2bl w:val="nil"/>
                  </w:tcBorders>
                  <w:vAlign w:val="center"/>
                </w:tcPr>
                <w:p w14:paraId="3A84F3B7">
                  <w:pPr>
                    <w:widowControl/>
                    <w:adjustRightInd w:val="0"/>
                    <w:snapToGrid w:val="0"/>
                    <w:jc w:val="center"/>
                    <w:rPr>
                      <w:color w:val="auto"/>
                      <w:kern w:val="0"/>
                    </w:rPr>
                  </w:pPr>
                  <w:r>
                    <w:rPr>
                      <w:color w:val="auto"/>
                      <w:kern w:val="0"/>
                    </w:rPr>
                    <w:t>PIAB吸盘振动器</w:t>
                  </w:r>
                </w:p>
              </w:tc>
              <w:tc>
                <w:tcPr>
                  <w:tcW w:w="532" w:type="pct"/>
                  <w:tcBorders>
                    <w:tl2br w:val="nil"/>
                    <w:tr2bl w:val="nil"/>
                  </w:tcBorders>
                  <w:shd w:val="clear" w:color="auto" w:fill="auto"/>
                  <w:vAlign w:val="center"/>
                </w:tcPr>
                <w:p w14:paraId="3A84F3B8">
                  <w:pPr>
                    <w:widowControl/>
                    <w:adjustRightInd w:val="0"/>
                    <w:snapToGrid w:val="0"/>
                    <w:jc w:val="center"/>
                    <w:rPr>
                      <w:color w:val="auto"/>
                      <w:kern w:val="0"/>
                    </w:rPr>
                  </w:pPr>
                  <w:r>
                    <w:rPr>
                      <w:color w:val="auto"/>
                      <w:kern w:val="0"/>
                    </w:rPr>
                    <w:t>3</w:t>
                  </w:r>
                </w:p>
              </w:tc>
              <w:tc>
                <w:tcPr>
                  <w:tcW w:w="532" w:type="pct"/>
                  <w:tcBorders>
                    <w:tl2br w:val="nil"/>
                    <w:tr2bl w:val="nil"/>
                  </w:tcBorders>
                  <w:shd w:val="clear" w:color="auto" w:fill="auto"/>
                  <w:vAlign w:val="center"/>
                </w:tcPr>
                <w:p w14:paraId="3A84F3B9">
                  <w:pPr>
                    <w:widowControl/>
                    <w:adjustRightInd w:val="0"/>
                    <w:snapToGrid w:val="0"/>
                    <w:jc w:val="center"/>
                    <w:rPr>
                      <w:color w:val="auto"/>
                      <w:kern w:val="0"/>
                    </w:rPr>
                  </w:pPr>
                  <w:r>
                    <w:rPr>
                      <w:color w:val="auto"/>
                      <w:kern w:val="0"/>
                    </w:rPr>
                    <w:t>3</w:t>
                  </w:r>
                </w:p>
              </w:tc>
              <w:tc>
                <w:tcPr>
                  <w:tcW w:w="544" w:type="pct"/>
                  <w:tcBorders>
                    <w:tl2br w:val="nil"/>
                    <w:tr2bl w:val="nil"/>
                  </w:tcBorders>
                  <w:shd w:val="clear" w:color="auto" w:fill="auto"/>
                  <w:vAlign w:val="center"/>
                </w:tcPr>
                <w:p w14:paraId="3A84F3BA">
                  <w:pPr>
                    <w:adjustRightInd w:val="0"/>
                    <w:snapToGrid w:val="0"/>
                    <w:jc w:val="center"/>
                    <w:rPr>
                      <w:color w:val="auto"/>
                      <w:kern w:val="0"/>
                    </w:rPr>
                  </w:pPr>
                  <w:r>
                    <w:rPr>
                      <w:color w:val="auto"/>
                      <w:kern w:val="0"/>
                    </w:rPr>
                    <w:t>0</w:t>
                  </w:r>
                </w:p>
              </w:tc>
            </w:tr>
            <w:tr w14:paraId="3A84F3C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BC">
                  <w:pPr>
                    <w:widowControl/>
                    <w:adjustRightInd w:val="0"/>
                    <w:snapToGrid w:val="0"/>
                    <w:jc w:val="center"/>
                    <w:rPr>
                      <w:color w:val="auto"/>
                      <w:kern w:val="0"/>
                    </w:rPr>
                  </w:pPr>
                  <w:r>
                    <w:rPr>
                      <w:color w:val="auto"/>
                      <w:kern w:val="0"/>
                    </w:rPr>
                    <w:t>除尘</w:t>
                  </w:r>
                </w:p>
              </w:tc>
              <w:tc>
                <w:tcPr>
                  <w:tcW w:w="1245" w:type="pct"/>
                  <w:tcBorders>
                    <w:tl2br w:val="nil"/>
                    <w:tr2bl w:val="nil"/>
                  </w:tcBorders>
                  <w:shd w:val="clear" w:color="auto" w:fill="auto"/>
                  <w:vAlign w:val="center"/>
                </w:tcPr>
                <w:p w14:paraId="3A84F3BD">
                  <w:pPr>
                    <w:widowControl/>
                    <w:adjustRightInd w:val="0"/>
                    <w:snapToGrid w:val="0"/>
                    <w:jc w:val="center"/>
                    <w:rPr>
                      <w:color w:val="auto"/>
                      <w:kern w:val="0"/>
                    </w:rPr>
                  </w:pPr>
                  <w:r>
                    <w:rPr>
                      <w:color w:val="auto"/>
                      <w:kern w:val="0"/>
                    </w:rPr>
                    <w:t>湿式除尘器</w:t>
                  </w:r>
                </w:p>
              </w:tc>
              <w:tc>
                <w:tcPr>
                  <w:tcW w:w="1493" w:type="pct"/>
                  <w:tcBorders>
                    <w:tl2br w:val="nil"/>
                    <w:tr2bl w:val="nil"/>
                  </w:tcBorders>
                  <w:vAlign w:val="center"/>
                </w:tcPr>
                <w:p w14:paraId="3A84F3BE">
                  <w:pPr>
                    <w:widowControl/>
                    <w:adjustRightInd w:val="0"/>
                    <w:snapToGrid w:val="0"/>
                    <w:jc w:val="center"/>
                    <w:rPr>
                      <w:color w:val="auto"/>
                      <w:kern w:val="0"/>
                    </w:rPr>
                  </w:pPr>
                  <w:r>
                    <w:rPr>
                      <w:color w:val="auto"/>
                      <w:kern w:val="0"/>
                    </w:rPr>
                    <w:t>埃美柯除尘机</w:t>
                  </w:r>
                </w:p>
              </w:tc>
              <w:tc>
                <w:tcPr>
                  <w:tcW w:w="532" w:type="pct"/>
                  <w:tcBorders>
                    <w:tl2br w:val="nil"/>
                    <w:tr2bl w:val="nil"/>
                  </w:tcBorders>
                  <w:shd w:val="clear" w:color="auto" w:fill="auto"/>
                  <w:vAlign w:val="center"/>
                </w:tcPr>
                <w:p w14:paraId="3A84F3BF">
                  <w:pPr>
                    <w:widowControl/>
                    <w:adjustRightInd w:val="0"/>
                    <w:snapToGrid w:val="0"/>
                    <w:jc w:val="center"/>
                    <w:rPr>
                      <w:color w:val="auto"/>
                      <w:kern w:val="0"/>
                    </w:rPr>
                  </w:pPr>
                  <w:r>
                    <w:rPr>
                      <w:color w:val="auto"/>
                      <w:kern w:val="0"/>
                    </w:rPr>
                    <w:t>3</w:t>
                  </w:r>
                </w:p>
              </w:tc>
              <w:tc>
                <w:tcPr>
                  <w:tcW w:w="532" w:type="pct"/>
                  <w:tcBorders>
                    <w:tl2br w:val="nil"/>
                    <w:tr2bl w:val="nil"/>
                  </w:tcBorders>
                  <w:shd w:val="clear" w:color="auto" w:fill="auto"/>
                  <w:vAlign w:val="center"/>
                </w:tcPr>
                <w:p w14:paraId="3A84F3C0">
                  <w:pPr>
                    <w:widowControl/>
                    <w:adjustRightInd w:val="0"/>
                    <w:snapToGrid w:val="0"/>
                    <w:jc w:val="center"/>
                    <w:rPr>
                      <w:color w:val="auto"/>
                      <w:kern w:val="0"/>
                    </w:rPr>
                  </w:pPr>
                  <w:r>
                    <w:rPr>
                      <w:color w:val="auto"/>
                      <w:kern w:val="0"/>
                    </w:rPr>
                    <w:t>3</w:t>
                  </w:r>
                </w:p>
              </w:tc>
              <w:tc>
                <w:tcPr>
                  <w:tcW w:w="544" w:type="pct"/>
                  <w:tcBorders>
                    <w:tl2br w:val="nil"/>
                    <w:tr2bl w:val="nil"/>
                  </w:tcBorders>
                  <w:shd w:val="clear" w:color="auto" w:fill="auto"/>
                  <w:vAlign w:val="center"/>
                </w:tcPr>
                <w:p w14:paraId="3A84F3C1">
                  <w:pPr>
                    <w:adjustRightInd w:val="0"/>
                    <w:snapToGrid w:val="0"/>
                    <w:jc w:val="center"/>
                    <w:rPr>
                      <w:color w:val="auto"/>
                      <w:kern w:val="0"/>
                    </w:rPr>
                  </w:pPr>
                  <w:r>
                    <w:rPr>
                      <w:color w:val="auto"/>
                      <w:kern w:val="0"/>
                    </w:rPr>
                    <w:t>0</w:t>
                  </w:r>
                </w:p>
              </w:tc>
            </w:tr>
            <w:tr w14:paraId="3A84F3C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C3">
                  <w:pPr>
                    <w:widowControl/>
                    <w:adjustRightInd w:val="0"/>
                    <w:snapToGrid w:val="0"/>
                    <w:jc w:val="center"/>
                    <w:rPr>
                      <w:color w:val="auto"/>
                      <w:kern w:val="0"/>
                    </w:rPr>
                  </w:pPr>
                  <w:r>
                    <w:rPr>
                      <w:color w:val="auto"/>
                      <w:kern w:val="0"/>
                    </w:rPr>
                    <w:t>包装</w:t>
                  </w:r>
                </w:p>
              </w:tc>
              <w:tc>
                <w:tcPr>
                  <w:tcW w:w="1245" w:type="pct"/>
                  <w:tcBorders>
                    <w:tl2br w:val="nil"/>
                    <w:tr2bl w:val="nil"/>
                  </w:tcBorders>
                  <w:shd w:val="clear" w:color="auto" w:fill="auto"/>
                  <w:vAlign w:val="center"/>
                </w:tcPr>
                <w:p w14:paraId="3A84F3C4">
                  <w:pPr>
                    <w:widowControl/>
                    <w:adjustRightInd w:val="0"/>
                    <w:snapToGrid w:val="0"/>
                    <w:jc w:val="center"/>
                    <w:rPr>
                      <w:color w:val="auto"/>
                      <w:kern w:val="0"/>
                    </w:rPr>
                  </w:pPr>
                  <w:r>
                    <w:rPr>
                      <w:color w:val="auto"/>
                      <w:kern w:val="0"/>
                    </w:rPr>
                    <w:t>天秤</w:t>
                  </w:r>
                </w:p>
              </w:tc>
              <w:tc>
                <w:tcPr>
                  <w:tcW w:w="1493" w:type="pct"/>
                  <w:tcBorders>
                    <w:tl2br w:val="nil"/>
                    <w:tr2bl w:val="nil"/>
                  </w:tcBorders>
                  <w:vAlign w:val="center"/>
                </w:tcPr>
                <w:p w14:paraId="3A84F3C5">
                  <w:pPr>
                    <w:widowControl/>
                    <w:adjustRightInd w:val="0"/>
                    <w:snapToGrid w:val="0"/>
                    <w:jc w:val="center"/>
                    <w:rPr>
                      <w:color w:val="auto"/>
                      <w:kern w:val="0"/>
                    </w:rPr>
                  </w:pPr>
                  <w:r>
                    <w:rPr>
                      <w:color w:val="auto"/>
                      <w:kern w:val="0"/>
                    </w:rPr>
                    <w:t>赛多利斯天平</w:t>
                  </w:r>
                </w:p>
              </w:tc>
              <w:tc>
                <w:tcPr>
                  <w:tcW w:w="532" w:type="pct"/>
                  <w:tcBorders>
                    <w:tl2br w:val="nil"/>
                    <w:tr2bl w:val="nil"/>
                  </w:tcBorders>
                  <w:shd w:val="clear" w:color="auto" w:fill="auto"/>
                  <w:vAlign w:val="center"/>
                </w:tcPr>
                <w:p w14:paraId="3A84F3C6">
                  <w:pPr>
                    <w:widowControl/>
                    <w:adjustRightInd w:val="0"/>
                    <w:snapToGrid w:val="0"/>
                    <w:jc w:val="center"/>
                    <w:rPr>
                      <w:color w:val="auto"/>
                      <w:kern w:val="0"/>
                    </w:rPr>
                  </w:pPr>
                  <w:r>
                    <w:rPr>
                      <w:color w:val="auto"/>
                      <w:kern w:val="0"/>
                    </w:rPr>
                    <w:t>15</w:t>
                  </w:r>
                </w:p>
              </w:tc>
              <w:tc>
                <w:tcPr>
                  <w:tcW w:w="532" w:type="pct"/>
                  <w:tcBorders>
                    <w:tl2br w:val="nil"/>
                    <w:tr2bl w:val="nil"/>
                  </w:tcBorders>
                  <w:shd w:val="clear" w:color="auto" w:fill="auto"/>
                  <w:vAlign w:val="center"/>
                </w:tcPr>
                <w:p w14:paraId="3A84F3C7">
                  <w:pPr>
                    <w:widowControl/>
                    <w:adjustRightInd w:val="0"/>
                    <w:snapToGrid w:val="0"/>
                    <w:jc w:val="center"/>
                    <w:rPr>
                      <w:color w:val="auto"/>
                      <w:kern w:val="0"/>
                    </w:rPr>
                  </w:pPr>
                  <w:r>
                    <w:rPr>
                      <w:color w:val="auto"/>
                      <w:kern w:val="0"/>
                    </w:rPr>
                    <w:t>15</w:t>
                  </w:r>
                </w:p>
              </w:tc>
              <w:tc>
                <w:tcPr>
                  <w:tcW w:w="544" w:type="pct"/>
                  <w:tcBorders>
                    <w:tl2br w:val="nil"/>
                    <w:tr2bl w:val="nil"/>
                  </w:tcBorders>
                  <w:shd w:val="clear" w:color="auto" w:fill="auto"/>
                  <w:vAlign w:val="center"/>
                </w:tcPr>
                <w:p w14:paraId="3A84F3C8">
                  <w:pPr>
                    <w:adjustRightInd w:val="0"/>
                    <w:snapToGrid w:val="0"/>
                    <w:jc w:val="center"/>
                    <w:rPr>
                      <w:color w:val="auto"/>
                      <w:kern w:val="0"/>
                    </w:rPr>
                  </w:pPr>
                  <w:r>
                    <w:rPr>
                      <w:color w:val="auto"/>
                      <w:kern w:val="0"/>
                    </w:rPr>
                    <w:t>0</w:t>
                  </w:r>
                </w:p>
              </w:tc>
            </w:tr>
            <w:tr w14:paraId="3A84F3D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CA">
                  <w:pPr>
                    <w:widowControl/>
                    <w:adjustRightInd w:val="0"/>
                    <w:snapToGrid w:val="0"/>
                    <w:jc w:val="center"/>
                    <w:rPr>
                      <w:color w:val="auto"/>
                      <w:kern w:val="0"/>
                    </w:rPr>
                  </w:pPr>
                  <w:r>
                    <w:rPr>
                      <w:color w:val="auto"/>
                      <w:kern w:val="0"/>
                    </w:rPr>
                    <w:t>包装</w:t>
                  </w:r>
                </w:p>
              </w:tc>
              <w:tc>
                <w:tcPr>
                  <w:tcW w:w="1245" w:type="pct"/>
                  <w:tcBorders>
                    <w:tl2br w:val="nil"/>
                    <w:tr2bl w:val="nil"/>
                  </w:tcBorders>
                  <w:shd w:val="clear" w:color="auto" w:fill="auto"/>
                  <w:vAlign w:val="center"/>
                </w:tcPr>
                <w:p w14:paraId="3A84F3CB">
                  <w:pPr>
                    <w:widowControl/>
                    <w:adjustRightInd w:val="0"/>
                    <w:snapToGrid w:val="0"/>
                    <w:jc w:val="center"/>
                    <w:rPr>
                      <w:color w:val="auto"/>
                      <w:kern w:val="0"/>
                    </w:rPr>
                  </w:pPr>
                  <w:r>
                    <w:rPr>
                      <w:color w:val="auto"/>
                      <w:kern w:val="0"/>
                    </w:rPr>
                    <w:t>标签打印机</w:t>
                  </w:r>
                </w:p>
              </w:tc>
              <w:tc>
                <w:tcPr>
                  <w:tcW w:w="1493" w:type="pct"/>
                  <w:tcBorders>
                    <w:tl2br w:val="nil"/>
                    <w:tr2bl w:val="nil"/>
                  </w:tcBorders>
                  <w:vAlign w:val="center"/>
                </w:tcPr>
                <w:p w14:paraId="3A84F3CC">
                  <w:pPr>
                    <w:widowControl/>
                    <w:adjustRightInd w:val="0"/>
                    <w:snapToGrid w:val="0"/>
                    <w:jc w:val="center"/>
                    <w:rPr>
                      <w:color w:val="auto"/>
                      <w:kern w:val="0"/>
                    </w:rPr>
                  </w:pPr>
                  <w:r>
                    <w:rPr>
                      <w:color w:val="auto"/>
                      <w:kern w:val="0"/>
                    </w:rPr>
                    <w:t>斑马打印机</w:t>
                  </w:r>
                </w:p>
              </w:tc>
              <w:tc>
                <w:tcPr>
                  <w:tcW w:w="532" w:type="pct"/>
                  <w:tcBorders>
                    <w:tl2br w:val="nil"/>
                    <w:tr2bl w:val="nil"/>
                  </w:tcBorders>
                  <w:shd w:val="clear" w:color="auto" w:fill="auto"/>
                  <w:vAlign w:val="center"/>
                </w:tcPr>
                <w:p w14:paraId="3A84F3CD">
                  <w:pPr>
                    <w:widowControl/>
                    <w:adjustRightInd w:val="0"/>
                    <w:snapToGrid w:val="0"/>
                    <w:jc w:val="center"/>
                    <w:rPr>
                      <w:color w:val="auto"/>
                      <w:kern w:val="0"/>
                    </w:rPr>
                  </w:pPr>
                  <w:r>
                    <w:rPr>
                      <w:color w:val="auto"/>
                      <w:kern w:val="0"/>
                    </w:rPr>
                    <w:t>3</w:t>
                  </w:r>
                </w:p>
              </w:tc>
              <w:tc>
                <w:tcPr>
                  <w:tcW w:w="532" w:type="pct"/>
                  <w:tcBorders>
                    <w:tl2br w:val="nil"/>
                    <w:tr2bl w:val="nil"/>
                  </w:tcBorders>
                  <w:shd w:val="clear" w:color="auto" w:fill="auto"/>
                  <w:vAlign w:val="center"/>
                </w:tcPr>
                <w:p w14:paraId="3A84F3CE">
                  <w:pPr>
                    <w:widowControl/>
                    <w:adjustRightInd w:val="0"/>
                    <w:snapToGrid w:val="0"/>
                    <w:jc w:val="center"/>
                    <w:rPr>
                      <w:color w:val="auto"/>
                      <w:kern w:val="0"/>
                    </w:rPr>
                  </w:pPr>
                  <w:r>
                    <w:rPr>
                      <w:color w:val="auto"/>
                      <w:kern w:val="0"/>
                    </w:rPr>
                    <w:t>3</w:t>
                  </w:r>
                </w:p>
              </w:tc>
              <w:tc>
                <w:tcPr>
                  <w:tcW w:w="544" w:type="pct"/>
                  <w:tcBorders>
                    <w:tl2br w:val="nil"/>
                    <w:tr2bl w:val="nil"/>
                  </w:tcBorders>
                  <w:shd w:val="clear" w:color="auto" w:fill="auto"/>
                  <w:vAlign w:val="center"/>
                </w:tcPr>
                <w:p w14:paraId="3A84F3CF">
                  <w:pPr>
                    <w:adjustRightInd w:val="0"/>
                    <w:snapToGrid w:val="0"/>
                    <w:jc w:val="center"/>
                    <w:rPr>
                      <w:color w:val="auto"/>
                      <w:kern w:val="0"/>
                    </w:rPr>
                  </w:pPr>
                  <w:r>
                    <w:rPr>
                      <w:color w:val="auto"/>
                      <w:kern w:val="0"/>
                    </w:rPr>
                    <w:t>0</w:t>
                  </w:r>
                </w:p>
              </w:tc>
            </w:tr>
            <w:tr w14:paraId="3A84F3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D1">
                  <w:pPr>
                    <w:widowControl/>
                    <w:adjustRightInd w:val="0"/>
                    <w:snapToGrid w:val="0"/>
                    <w:jc w:val="center"/>
                    <w:rPr>
                      <w:color w:val="auto"/>
                      <w:kern w:val="0"/>
                    </w:rPr>
                  </w:pPr>
                  <w:r>
                    <w:rPr>
                      <w:color w:val="auto"/>
                      <w:kern w:val="0"/>
                    </w:rPr>
                    <w:t>包装</w:t>
                  </w:r>
                </w:p>
              </w:tc>
              <w:tc>
                <w:tcPr>
                  <w:tcW w:w="1245" w:type="pct"/>
                  <w:tcBorders>
                    <w:tl2br w:val="nil"/>
                    <w:tr2bl w:val="nil"/>
                  </w:tcBorders>
                  <w:shd w:val="clear" w:color="auto" w:fill="auto"/>
                  <w:vAlign w:val="center"/>
                </w:tcPr>
                <w:p w14:paraId="3A84F3D2">
                  <w:pPr>
                    <w:widowControl/>
                    <w:adjustRightInd w:val="0"/>
                    <w:snapToGrid w:val="0"/>
                    <w:jc w:val="center"/>
                    <w:rPr>
                      <w:color w:val="auto"/>
                      <w:kern w:val="0"/>
                    </w:rPr>
                  </w:pPr>
                  <w:r>
                    <w:rPr>
                      <w:color w:val="auto"/>
                      <w:kern w:val="0"/>
                    </w:rPr>
                    <w:t>药片测试仪</w:t>
                  </w:r>
                </w:p>
              </w:tc>
              <w:tc>
                <w:tcPr>
                  <w:tcW w:w="1493" w:type="pct"/>
                  <w:tcBorders>
                    <w:tl2br w:val="nil"/>
                    <w:tr2bl w:val="nil"/>
                  </w:tcBorders>
                  <w:vAlign w:val="center"/>
                </w:tcPr>
                <w:p w14:paraId="3A84F3D3">
                  <w:pPr>
                    <w:widowControl/>
                    <w:adjustRightInd w:val="0"/>
                    <w:snapToGrid w:val="0"/>
                    <w:jc w:val="center"/>
                    <w:rPr>
                      <w:color w:val="auto"/>
                      <w:kern w:val="0"/>
                    </w:rPr>
                  </w:pPr>
                  <w:r>
                    <w:rPr>
                      <w:color w:val="auto"/>
                      <w:kern w:val="0"/>
                    </w:rPr>
                    <w:t>8M测试仪</w:t>
                  </w:r>
                </w:p>
              </w:tc>
              <w:tc>
                <w:tcPr>
                  <w:tcW w:w="532" w:type="pct"/>
                  <w:tcBorders>
                    <w:tl2br w:val="nil"/>
                    <w:tr2bl w:val="nil"/>
                  </w:tcBorders>
                  <w:shd w:val="clear" w:color="auto" w:fill="auto"/>
                  <w:vAlign w:val="center"/>
                </w:tcPr>
                <w:p w14:paraId="3A84F3D4">
                  <w:pPr>
                    <w:widowControl/>
                    <w:adjustRightInd w:val="0"/>
                    <w:snapToGrid w:val="0"/>
                    <w:jc w:val="center"/>
                    <w:rPr>
                      <w:color w:val="auto"/>
                      <w:kern w:val="0"/>
                    </w:rPr>
                  </w:pPr>
                  <w:r>
                    <w:rPr>
                      <w:color w:val="auto"/>
                      <w:kern w:val="0"/>
                    </w:rPr>
                    <w:t>3</w:t>
                  </w:r>
                </w:p>
              </w:tc>
              <w:tc>
                <w:tcPr>
                  <w:tcW w:w="532" w:type="pct"/>
                  <w:tcBorders>
                    <w:tl2br w:val="nil"/>
                    <w:tr2bl w:val="nil"/>
                  </w:tcBorders>
                  <w:shd w:val="clear" w:color="auto" w:fill="auto"/>
                  <w:vAlign w:val="center"/>
                </w:tcPr>
                <w:p w14:paraId="3A84F3D5">
                  <w:pPr>
                    <w:widowControl/>
                    <w:adjustRightInd w:val="0"/>
                    <w:snapToGrid w:val="0"/>
                    <w:jc w:val="center"/>
                    <w:rPr>
                      <w:color w:val="auto"/>
                      <w:kern w:val="0"/>
                    </w:rPr>
                  </w:pPr>
                  <w:r>
                    <w:rPr>
                      <w:color w:val="auto"/>
                      <w:kern w:val="0"/>
                    </w:rPr>
                    <w:t>3</w:t>
                  </w:r>
                </w:p>
              </w:tc>
              <w:tc>
                <w:tcPr>
                  <w:tcW w:w="544" w:type="pct"/>
                  <w:tcBorders>
                    <w:tl2br w:val="nil"/>
                    <w:tr2bl w:val="nil"/>
                  </w:tcBorders>
                  <w:shd w:val="clear" w:color="auto" w:fill="auto"/>
                  <w:vAlign w:val="center"/>
                </w:tcPr>
                <w:p w14:paraId="3A84F3D6">
                  <w:pPr>
                    <w:adjustRightInd w:val="0"/>
                    <w:snapToGrid w:val="0"/>
                    <w:jc w:val="center"/>
                    <w:rPr>
                      <w:color w:val="auto"/>
                      <w:kern w:val="0"/>
                    </w:rPr>
                  </w:pPr>
                  <w:r>
                    <w:rPr>
                      <w:color w:val="auto"/>
                      <w:kern w:val="0"/>
                    </w:rPr>
                    <w:t>0</w:t>
                  </w:r>
                </w:p>
              </w:tc>
            </w:tr>
            <w:tr w14:paraId="3A84F3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D8">
                  <w:pPr>
                    <w:widowControl/>
                    <w:adjustRightInd w:val="0"/>
                    <w:snapToGrid w:val="0"/>
                    <w:jc w:val="center"/>
                    <w:rPr>
                      <w:color w:val="auto"/>
                      <w:kern w:val="0"/>
                    </w:rPr>
                  </w:pPr>
                  <w:r>
                    <w:rPr>
                      <w:color w:val="auto"/>
                      <w:kern w:val="0"/>
                    </w:rPr>
                    <w:t>包装</w:t>
                  </w:r>
                </w:p>
              </w:tc>
              <w:tc>
                <w:tcPr>
                  <w:tcW w:w="1245" w:type="pct"/>
                  <w:tcBorders>
                    <w:tl2br w:val="nil"/>
                    <w:tr2bl w:val="nil"/>
                  </w:tcBorders>
                  <w:shd w:val="clear" w:color="auto" w:fill="auto"/>
                  <w:vAlign w:val="center"/>
                </w:tcPr>
                <w:p w14:paraId="3A84F3D9">
                  <w:pPr>
                    <w:widowControl/>
                    <w:adjustRightInd w:val="0"/>
                    <w:snapToGrid w:val="0"/>
                    <w:jc w:val="center"/>
                    <w:rPr>
                      <w:color w:val="auto"/>
                      <w:kern w:val="0"/>
                    </w:rPr>
                  </w:pPr>
                  <w:r>
                    <w:rPr>
                      <w:color w:val="auto"/>
                      <w:kern w:val="0"/>
                    </w:rPr>
                    <w:t>脆性测试仪</w:t>
                  </w:r>
                </w:p>
              </w:tc>
              <w:tc>
                <w:tcPr>
                  <w:tcW w:w="1493" w:type="pct"/>
                  <w:tcBorders>
                    <w:tl2br w:val="nil"/>
                    <w:tr2bl w:val="nil"/>
                  </w:tcBorders>
                  <w:vAlign w:val="center"/>
                </w:tcPr>
                <w:p w14:paraId="3A84F3DA">
                  <w:pPr>
                    <w:widowControl/>
                    <w:adjustRightInd w:val="0"/>
                    <w:snapToGrid w:val="0"/>
                    <w:jc w:val="center"/>
                    <w:rPr>
                      <w:color w:val="auto"/>
                      <w:kern w:val="0"/>
                    </w:rPr>
                  </w:pPr>
                  <w:r>
                    <w:rPr>
                      <w:color w:val="auto"/>
                      <w:kern w:val="0"/>
                    </w:rPr>
                    <w:t>CS-1测试仪</w:t>
                  </w:r>
                </w:p>
              </w:tc>
              <w:tc>
                <w:tcPr>
                  <w:tcW w:w="532" w:type="pct"/>
                  <w:tcBorders>
                    <w:tl2br w:val="nil"/>
                    <w:tr2bl w:val="nil"/>
                  </w:tcBorders>
                  <w:shd w:val="clear" w:color="auto" w:fill="auto"/>
                  <w:vAlign w:val="center"/>
                </w:tcPr>
                <w:p w14:paraId="3A84F3DB">
                  <w:pPr>
                    <w:widowControl/>
                    <w:adjustRightInd w:val="0"/>
                    <w:snapToGrid w:val="0"/>
                    <w:jc w:val="center"/>
                    <w:rPr>
                      <w:color w:val="auto"/>
                      <w:kern w:val="0"/>
                    </w:rPr>
                  </w:pPr>
                  <w:r>
                    <w:rPr>
                      <w:color w:val="auto"/>
                      <w:kern w:val="0"/>
                    </w:rPr>
                    <w:t>3</w:t>
                  </w:r>
                </w:p>
              </w:tc>
              <w:tc>
                <w:tcPr>
                  <w:tcW w:w="532" w:type="pct"/>
                  <w:tcBorders>
                    <w:tl2br w:val="nil"/>
                    <w:tr2bl w:val="nil"/>
                  </w:tcBorders>
                  <w:shd w:val="clear" w:color="auto" w:fill="auto"/>
                  <w:vAlign w:val="center"/>
                </w:tcPr>
                <w:p w14:paraId="3A84F3DC">
                  <w:pPr>
                    <w:widowControl/>
                    <w:adjustRightInd w:val="0"/>
                    <w:snapToGrid w:val="0"/>
                    <w:jc w:val="center"/>
                    <w:rPr>
                      <w:color w:val="auto"/>
                      <w:kern w:val="0"/>
                    </w:rPr>
                  </w:pPr>
                  <w:r>
                    <w:rPr>
                      <w:color w:val="auto"/>
                      <w:kern w:val="0"/>
                    </w:rPr>
                    <w:t>3</w:t>
                  </w:r>
                </w:p>
              </w:tc>
              <w:tc>
                <w:tcPr>
                  <w:tcW w:w="544" w:type="pct"/>
                  <w:tcBorders>
                    <w:tl2br w:val="nil"/>
                    <w:tr2bl w:val="nil"/>
                  </w:tcBorders>
                  <w:shd w:val="clear" w:color="auto" w:fill="auto"/>
                  <w:vAlign w:val="center"/>
                </w:tcPr>
                <w:p w14:paraId="3A84F3DD">
                  <w:pPr>
                    <w:adjustRightInd w:val="0"/>
                    <w:snapToGrid w:val="0"/>
                    <w:jc w:val="center"/>
                    <w:rPr>
                      <w:color w:val="auto"/>
                      <w:kern w:val="0"/>
                    </w:rPr>
                  </w:pPr>
                  <w:r>
                    <w:rPr>
                      <w:color w:val="auto"/>
                      <w:kern w:val="0"/>
                    </w:rPr>
                    <w:t>0</w:t>
                  </w:r>
                </w:p>
              </w:tc>
            </w:tr>
            <w:tr w14:paraId="3A84F3E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DF">
                  <w:pPr>
                    <w:widowControl/>
                    <w:adjustRightInd w:val="0"/>
                    <w:snapToGrid w:val="0"/>
                    <w:jc w:val="center"/>
                    <w:rPr>
                      <w:color w:val="auto"/>
                      <w:kern w:val="0"/>
                    </w:rPr>
                  </w:pPr>
                  <w:r>
                    <w:rPr>
                      <w:color w:val="auto"/>
                      <w:kern w:val="0"/>
                    </w:rPr>
                    <w:t>包装</w:t>
                  </w:r>
                </w:p>
              </w:tc>
              <w:tc>
                <w:tcPr>
                  <w:tcW w:w="1245" w:type="pct"/>
                  <w:tcBorders>
                    <w:tl2br w:val="nil"/>
                    <w:tr2bl w:val="nil"/>
                  </w:tcBorders>
                  <w:shd w:val="clear" w:color="auto" w:fill="auto"/>
                  <w:vAlign w:val="center"/>
                </w:tcPr>
                <w:p w14:paraId="3A84F3E0">
                  <w:pPr>
                    <w:widowControl/>
                    <w:adjustRightInd w:val="0"/>
                    <w:snapToGrid w:val="0"/>
                    <w:jc w:val="center"/>
                    <w:rPr>
                      <w:color w:val="auto"/>
                      <w:kern w:val="0"/>
                    </w:rPr>
                  </w:pPr>
                  <w:r>
                    <w:rPr>
                      <w:color w:val="auto"/>
                      <w:kern w:val="0"/>
                    </w:rPr>
                    <w:t>传输带</w:t>
                  </w:r>
                </w:p>
              </w:tc>
              <w:tc>
                <w:tcPr>
                  <w:tcW w:w="1493" w:type="pct"/>
                  <w:tcBorders>
                    <w:tl2br w:val="nil"/>
                    <w:tr2bl w:val="nil"/>
                  </w:tcBorders>
                  <w:vAlign w:val="center"/>
                </w:tcPr>
                <w:p w14:paraId="3A84F3E1">
                  <w:pPr>
                    <w:widowControl/>
                    <w:adjustRightInd w:val="0"/>
                    <w:snapToGrid w:val="0"/>
                    <w:jc w:val="center"/>
                    <w:rPr>
                      <w:color w:val="auto"/>
                      <w:kern w:val="0"/>
                    </w:rPr>
                  </w:pPr>
                  <w:r>
                    <w:rPr>
                      <w:color w:val="auto"/>
                      <w:kern w:val="0"/>
                    </w:rPr>
                    <w:t>菲特传输带</w:t>
                  </w:r>
                </w:p>
              </w:tc>
              <w:tc>
                <w:tcPr>
                  <w:tcW w:w="532" w:type="pct"/>
                  <w:tcBorders>
                    <w:tl2br w:val="nil"/>
                    <w:tr2bl w:val="nil"/>
                  </w:tcBorders>
                  <w:shd w:val="clear" w:color="auto" w:fill="auto"/>
                  <w:vAlign w:val="center"/>
                </w:tcPr>
                <w:p w14:paraId="3A84F3E2">
                  <w:pPr>
                    <w:widowControl/>
                    <w:adjustRightInd w:val="0"/>
                    <w:snapToGrid w:val="0"/>
                    <w:jc w:val="center"/>
                    <w:rPr>
                      <w:color w:val="auto"/>
                      <w:kern w:val="0"/>
                    </w:rPr>
                  </w:pPr>
                  <w:r>
                    <w:rPr>
                      <w:color w:val="auto"/>
                      <w:kern w:val="0"/>
                    </w:rPr>
                    <w:t>6</w:t>
                  </w:r>
                </w:p>
              </w:tc>
              <w:tc>
                <w:tcPr>
                  <w:tcW w:w="532" w:type="pct"/>
                  <w:tcBorders>
                    <w:tl2br w:val="nil"/>
                    <w:tr2bl w:val="nil"/>
                  </w:tcBorders>
                  <w:shd w:val="clear" w:color="auto" w:fill="auto"/>
                  <w:vAlign w:val="center"/>
                </w:tcPr>
                <w:p w14:paraId="3A84F3E3">
                  <w:pPr>
                    <w:widowControl/>
                    <w:adjustRightInd w:val="0"/>
                    <w:snapToGrid w:val="0"/>
                    <w:jc w:val="center"/>
                    <w:rPr>
                      <w:color w:val="auto"/>
                      <w:kern w:val="0"/>
                    </w:rPr>
                  </w:pPr>
                  <w:r>
                    <w:rPr>
                      <w:color w:val="auto"/>
                      <w:kern w:val="0"/>
                    </w:rPr>
                    <w:t>6</w:t>
                  </w:r>
                </w:p>
              </w:tc>
              <w:tc>
                <w:tcPr>
                  <w:tcW w:w="544" w:type="pct"/>
                  <w:tcBorders>
                    <w:tl2br w:val="nil"/>
                    <w:tr2bl w:val="nil"/>
                  </w:tcBorders>
                  <w:shd w:val="clear" w:color="auto" w:fill="auto"/>
                  <w:vAlign w:val="center"/>
                </w:tcPr>
                <w:p w14:paraId="3A84F3E4">
                  <w:pPr>
                    <w:adjustRightInd w:val="0"/>
                    <w:snapToGrid w:val="0"/>
                    <w:jc w:val="center"/>
                    <w:rPr>
                      <w:color w:val="auto"/>
                      <w:kern w:val="0"/>
                    </w:rPr>
                  </w:pPr>
                  <w:r>
                    <w:rPr>
                      <w:color w:val="auto"/>
                      <w:kern w:val="0"/>
                    </w:rPr>
                    <w:t>0</w:t>
                  </w:r>
                </w:p>
              </w:tc>
            </w:tr>
            <w:tr w14:paraId="3A84F3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E6">
                  <w:pPr>
                    <w:widowControl/>
                    <w:adjustRightInd w:val="0"/>
                    <w:snapToGrid w:val="0"/>
                    <w:jc w:val="center"/>
                    <w:rPr>
                      <w:color w:val="auto"/>
                      <w:kern w:val="0"/>
                    </w:rPr>
                  </w:pPr>
                  <w:r>
                    <w:rPr>
                      <w:color w:val="auto"/>
                      <w:kern w:val="0"/>
                    </w:rPr>
                    <w:t>包装</w:t>
                  </w:r>
                </w:p>
              </w:tc>
              <w:tc>
                <w:tcPr>
                  <w:tcW w:w="1245" w:type="pct"/>
                  <w:tcBorders>
                    <w:tl2br w:val="nil"/>
                    <w:tr2bl w:val="nil"/>
                  </w:tcBorders>
                  <w:shd w:val="clear" w:color="auto" w:fill="auto"/>
                  <w:vAlign w:val="center"/>
                </w:tcPr>
                <w:p w14:paraId="3A84F3E7">
                  <w:pPr>
                    <w:widowControl/>
                    <w:adjustRightInd w:val="0"/>
                    <w:snapToGrid w:val="0"/>
                    <w:jc w:val="center"/>
                    <w:rPr>
                      <w:color w:val="auto"/>
                      <w:kern w:val="0"/>
                    </w:rPr>
                  </w:pPr>
                  <w:r>
                    <w:rPr>
                      <w:color w:val="auto"/>
                      <w:kern w:val="0"/>
                    </w:rPr>
                    <w:t>药片厚度检测线</w:t>
                  </w:r>
                </w:p>
              </w:tc>
              <w:tc>
                <w:tcPr>
                  <w:tcW w:w="1493" w:type="pct"/>
                  <w:tcBorders>
                    <w:tl2br w:val="nil"/>
                    <w:tr2bl w:val="nil"/>
                  </w:tcBorders>
                  <w:vAlign w:val="center"/>
                </w:tcPr>
                <w:p w14:paraId="3A84F3E8">
                  <w:pPr>
                    <w:widowControl/>
                    <w:adjustRightInd w:val="0"/>
                    <w:snapToGrid w:val="0"/>
                    <w:jc w:val="center"/>
                    <w:rPr>
                      <w:color w:val="auto"/>
                      <w:kern w:val="0"/>
                    </w:rPr>
                  </w:pPr>
                  <w:r>
                    <w:rPr>
                      <w:color w:val="auto"/>
                      <w:kern w:val="0"/>
                    </w:rPr>
                    <w:t>三丰测试仪</w:t>
                  </w:r>
                </w:p>
              </w:tc>
              <w:tc>
                <w:tcPr>
                  <w:tcW w:w="532" w:type="pct"/>
                  <w:tcBorders>
                    <w:tl2br w:val="nil"/>
                    <w:tr2bl w:val="nil"/>
                  </w:tcBorders>
                  <w:shd w:val="clear" w:color="auto" w:fill="auto"/>
                  <w:vAlign w:val="center"/>
                </w:tcPr>
                <w:p w14:paraId="3A84F3E9">
                  <w:pPr>
                    <w:widowControl/>
                    <w:adjustRightInd w:val="0"/>
                    <w:snapToGrid w:val="0"/>
                    <w:jc w:val="center"/>
                    <w:rPr>
                      <w:color w:val="auto"/>
                      <w:kern w:val="0"/>
                    </w:rPr>
                  </w:pPr>
                  <w:r>
                    <w:rPr>
                      <w:color w:val="auto"/>
                      <w:kern w:val="0"/>
                    </w:rPr>
                    <w:t>6</w:t>
                  </w:r>
                </w:p>
              </w:tc>
              <w:tc>
                <w:tcPr>
                  <w:tcW w:w="532" w:type="pct"/>
                  <w:tcBorders>
                    <w:tl2br w:val="nil"/>
                    <w:tr2bl w:val="nil"/>
                  </w:tcBorders>
                  <w:shd w:val="clear" w:color="auto" w:fill="auto"/>
                  <w:vAlign w:val="center"/>
                </w:tcPr>
                <w:p w14:paraId="3A84F3EA">
                  <w:pPr>
                    <w:widowControl/>
                    <w:adjustRightInd w:val="0"/>
                    <w:snapToGrid w:val="0"/>
                    <w:jc w:val="center"/>
                    <w:rPr>
                      <w:color w:val="auto"/>
                      <w:kern w:val="0"/>
                    </w:rPr>
                  </w:pPr>
                  <w:r>
                    <w:rPr>
                      <w:color w:val="auto"/>
                      <w:kern w:val="0"/>
                    </w:rPr>
                    <w:t>6</w:t>
                  </w:r>
                </w:p>
              </w:tc>
              <w:tc>
                <w:tcPr>
                  <w:tcW w:w="544" w:type="pct"/>
                  <w:tcBorders>
                    <w:tl2br w:val="nil"/>
                    <w:tr2bl w:val="nil"/>
                  </w:tcBorders>
                  <w:shd w:val="clear" w:color="auto" w:fill="auto"/>
                  <w:vAlign w:val="center"/>
                </w:tcPr>
                <w:p w14:paraId="3A84F3EB">
                  <w:pPr>
                    <w:adjustRightInd w:val="0"/>
                    <w:snapToGrid w:val="0"/>
                    <w:jc w:val="center"/>
                    <w:rPr>
                      <w:color w:val="auto"/>
                      <w:kern w:val="0"/>
                    </w:rPr>
                  </w:pPr>
                  <w:r>
                    <w:rPr>
                      <w:color w:val="auto"/>
                      <w:kern w:val="0"/>
                    </w:rPr>
                    <w:t>0</w:t>
                  </w:r>
                </w:p>
              </w:tc>
            </w:tr>
            <w:tr w14:paraId="3A84F3E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6"/>
                  <w:tcBorders>
                    <w:tl2br w:val="nil"/>
                    <w:tr2bl w:val="nil"/>
                  </w:tcBorders>
                  <w:shd w:val="clear" w:color="auto" w:fill="auto"/>
                  <w:vAlign w:val="center"/>
                </w:tcPr>
                <w:p w14:paraId="3A84F3ED">
                  <w:pPr>
                    <w:adjustRightInd w:val="0"/>
                    <w:snapToGrid w:val="0"/>
                    <w:jc w:val="center"/>
                    <w:rPr>
                      <w:color w:val="auto"/>
                      <w:kern w:val="0"/>
                    </w:rPr>
                  </w:pPr>
                  <w:r>
                    <w:rPr>
                      <w:b/>
                      <w:bCs/>
                      <w:color w:val="auto"/>
                      <w:kern w:val="0"/>
                    </w:rPr>
                    <w:t>气体发生器生产线</w:t>
                  </w:r>
                </w:p>
              </w:tc>
            </w:tr>
            <w:tr w14:paraId="3A84F3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6"/>
                  <w:tcBorders>
                    <w:tl2br w:val="nil"/>
                    <w:tr2bl w:val="nil"/>
                  </w:tcBorders>
                  <w:shd w:val="clear" w:color="auto" w:fill="auto"/>
                  <w:vAlign w:val="center"/>
                </w:tcPr>
                <w:p w14:paraId="3A84F3EF">
                  <w:pPr>
                    <w:adjustRightInd w:val="0"/>
                    <w:snapToGrid w:val="0"/>
                    <w:jc w:val="center"/>
                    <w:rPr>
                      <w:color w:val="auto"/>
                      <w:kern w:val="0"/>
                    </w:rPr>
                  </w:pPr>
                  <w:r>
                    <w:rPr>
                      <w:rFonts w:hint="eastAsia" w:ascii="宋体" w:hAnsi="宋体" w:cs="宋体"/>
                      <w:b/>
                      <w:bCs/>
                      <w:color w:val="auto"/>
                      <w:kern w:val="0"/>
                    </w:rPr>
                    <w:t>①</w:t>
                  </w:r>
                  <w:r>
                    <w:rPr>
                      <w:b/>
                      <w:bCs/>
                      <w:color w:val="auto"/>
                      <w:kern w:val="0"/>
                    </w:rPr>
                    <w:t>ACH</w:t>
                  </w:r>
                </w:p>
              </w:tc>
            </w:tr>
            <w:tr w14:paraId="3A84F3F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F1">
                  <w:pPr>
                    <w:widowControl/>
                    <w:adjustRightInd w:val="0"/>
                    <w:snapToGrid w:val="0"/>
                    <w:jc w:val="center"/>
                    <w:rPr>
                      <w:color w:val="auto"/>
                      <w:kern w:val="0"/>
                    </w:rPr>
                  </w:pPr>
                  <w:r>
                    <w:rPr>
                      <w:color w:val="auto"/>
                      <w:kern w:val="0"/>
                    </w:rPr>
                    <w:t>贴标签</w:t>
                  </w:r>
                </w:p>
              </w:tc>
              <w:tc>
                <w:tcPr>
                  <w:tcW w:w="1245" w:type="pct"/>
                  <w:tcBorders>
                    <w:tl2br w:val="nil"/>
                    <w:tr2bl w:val="nil"/>
                  </w:tcBorders>
                  <w:shd w:val="clear" w:color="auto" w:fill="auto"/>
                  <w:vAlign w:val="center"/>
                </w:tcPr>
                <w:p w14:paraId="3A84F3F2">
                  <w:pPr>
                    <w:widowControl/>
                    <w:adjustRightInd w:val="0"/>
                    <w:snapToGrid w:val="0"/>
                    <w:jc w:val="center"/>
                    <w:rPr>
                      <w:color w:val="auto"/>
                      <w:kern w:val="0"/>
                    </w:rPr>
                  </w:pPr>
                  <w:r>
                    <w:rPr>
                      <w:color w:val="auto"/>
                      <w:kern w:val="0"/>
                    </w:rPr>
                    <w:t>标签机</w:t>
                  </w:r>
                </w:p>
              </w:tc>
              <w:tc>
                <w:tcPr>
                  <w:tcW w:w="1493" w:type="pct"/>
                  <w:tcBorders>
                    <w:tl2br w:val="nil"/>
                    <w:tr2bl w:val="nil"/>
                  </w:tcBorders>
                  <w:vAlign w:val="center"/>
                </w:tcPr>
                <w:p w14:paraId="3A84F3F3">
                  <w:pPr>
                    <w:widowControl/>
                    <w:adjustRightInd w:val="0"/>
                    <w:snapToGrid w:val="0"/>
                    <w:jc w:val="center"/>
                    <w:rPr>
                      <w:color w:val="auto"/>
                      <w:kern w:val="0"/>
                    </w:rPr>
                  </w:pPr>
                  <w:r>
                    <w:rPr>
                      <w:color w:val="auto"/>
                      <w:kern w:val="0"/>
                    </w:rPr>
                    <w:t>7099</w:t>
                  </w:r>
                </w:p>
              </w:tc>
              <w:tc>
                <w:tcPr>
                  <w:tcW w:w="532" w:type="pct"/>
                  <w:tcBorders>
                    <w:tl2br w:val="nil"/>
                    <w:tr2bl w:val="nil"/>
                  </w:tcBorders>
                  <w:shd w:val="clear" w:color="auto" w:fill="auto"/>
                  <w:vAlign w:val="center"/>
                </w:tcPr>
                <w:p w14:paraId="3A84F3F4">
                  <w:pPr>
                    <w:widowControl/>
                    <w:adjustRightInd w:val="0"/>
                    <w:snapToGrid w:val="0"/>
                    <w:jc w:val="center"/>
                    <w:rPr>
                      <w:color w:val="auto"/>
                      <w:kern w:val="0"/>
                    </w:rPr>
                  </w:pPr>
                  <w:r>
                    <w:rPr>
                      <w:color w:val="auto"/>
                      <w:kern w:val="0"/>
                    </w:rPr>
                    <w:t>25</w:t>
                  </w:r>
                </w:p>
              </w:tc>
              <w:tc>
                <w:tcPr>
                  <w:tcW w:w="532" w:type="pct"/>
                  <w:tcBorders>
                    <w:tl2br w:val="nil"/>
                    <w:tr2bl w:val="nil"/>
                  </w:tcBorders>
                  <w:shd w:val="clear" w:color="auto" w:fill="auto"/>
                  <w:vAlign w:val="center"/>
                </w:tcPr>
                <w:p w14:paraId="3A84F3F5">
                  <w:pPr>
                    <w:widowControl/>
                    <w:adjustRightInd w:val="0"/>
                    <w:snapToGrid w:val="0"/>
                    <w:jc w:val="center"/>
                    <w:rPr>
                      <w:color w:val="auto"/>
                      <w:kern w:val="0"/>
                    </w:rPr>
                  </w:pPr>
                  <w:r>
                    <w:rPr>
                      <w:color w:val="auto"/>
                      <w:kern w:val="0"/>
                    </w:rPr>
                    <w:t>25</w:t>
                  </w:r>
                </w:p>
              </w:tc>
              <w:tc>
                <w:tcPr>
                  <w:tcW w:w="544" w:type="pct"/>
                  <w:tcBorders>
                    <w:tl2br w:val="nil"/>
                    <w:tr2bl w:val="nil"/>
                  </w:tcBorders>
                  <w:shd w:val="clear" w:color="auto" w:fill="auto"/>
                  <w:vAlign w:val="center"/>
                </w:tcPr>
                <w:p w14:paraId="3A84F3F6">
                  <w:pPr>
                    <w:adjustRightInd w:val="0"/>
                    <w:snapToGrid w:val="0"/>
                    <w:jc w:val="center"/>
                    <w:rPr>
                      <w:color w:val="auto"/>
                      <w:kern w:val="0"/>
                    </w:rPr>
                  </w:pPr>
                  <w:r>
                    <w:rPr>
                      <w:color w:val="auto"/>
                      <w:kern w:val="0"/>
                    </w:rPr>
                    <w:t>0</w:t>
                  </w:r>
                </w:p>
              </w:tc>
            </w:tr>
            <w:tr w14:paraId="3A84F3F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F8">
                  <w:pPr>
                    <w:widowControl/>
                    <w:adjustRightInd w:val="0"/>
                    <w:snapToGrid w:val="0"/>
                    <w:jc w:val="center"/>
                    <w:rPr>
                      <w:color w:val="auto"/>
                      <w:kern w:val="0"/>
                    </w:rPr>
                  </w:pPr>
                  <w:r>
                    <w:rPr>
                      <w:color w:val="auto"/>
                      <w:kern w:val="0"/>
                    </w:rPr>
                    <w:t>惯性焊</w:t>
                  </w:r>
                </w:p>
              </w:tc>
              <w:tc>
                <w:tcPr>
                  <w:tcW w:w="1245" w:type="pct"/>
                  <w:tcBorders>
                    <w:tl2br w:val="nil"/>
                    <w:tr2bl w:val="nil"/>
                  </w:tcBorders>
                  <w:shd w:val="clear" w:color="auto" w:fill="auto"/>
                  <w:vAlign w:val="center"/>
                </w:tcPr>
                <w:p w14:paraId="3A84F3F9">
                  <w:pPr>
                    <w:adjustRightInd w:val="0"/>
                    <w:snapToGrid w:val="0"/>
                    <w:jc w:val="center"/>
                    <w:rPr>
                      <w:color w:val="auto"/>
                      <w:kern w:val="0"/>
                    </w:rPr>
                  </w:pPr>
                  <w:r>
                    <w:rPr>
                      <w:color w:val="auto"/>
                      <w:kern w:val="0"/>
                    </w:rPr>
                    <w:t>惯性焊</w:t>
                  </w:r>
                </w:p>
              </w:tc>
              <w:tc>
                <w:tcPr>
                  <w:tcW w:w="1493" w:type="pct"/>
                  <w:tcBorders>
                    <w:tl2br w:val="nil"/>
                    <w:tr2bl w:val="nil"/>
                  </w:tcBorders>
                  <w:vAlign w:val="center"/>
                </w:tcPr>
                <w:p w14:paraId="3A84F3FA">
                  <w:pPr>
                    <w:adjustRightInd w:val="0"/>
                    <w:snapToGrid w:val="0"/>
                    <w:jc w:val="center"/>
                    <w:rPr>
                      <w:color w:val="auto"/>
                      <w:kern w:val="0"/>
                    </w:rPr>
                  </w:pPr>
                  <w:r>
                    <w:rPr>
                      <w:color w:val="auto"/>
                      <w:kern w:val="0"/>
                    </w:rPr>
                    <w:t>FWB</w:t>
                  </w:r>
                </w:p>
              </w:tc>
              <w:tc>
                <w:tcPr>
                  <w:tcW w:w="532" w:type="pct"/>
                  <w:tcBorders>
                    <w:tl2br w:val="nil"/>
                    <w:tr2bl w:val="nil"/>
                  </w:tcBorders>
                  <w:shd w:val="clear" w:color="auto" w:fill="auto"/>
                  <w:vAlign w:val="center"/>
                </w:tcPr>
                <w:p w14:paraId="3A84F3FB">
                  <w:pPr>
                    <w:adjustRightInd w:val="0"/>
                    <w:snapToGrid w:val="0"/>
                    <w:jc w:val="center"/>
                    <w:rPr>
                      <w:color w:val="auto"/>
                      <w:kern w:val="0"/>
                    </w:rPr>
                  </w:pPr>
                  <w:r>
                    <w:rPr>
                      <w:color w:val="auto"/>
                      <w:kern w:val="0"/>
                    </w:rPr>
                    <w:t>50</w:t>
                  </w:r>
                </w:p>
              </w:tc>
              <w:tc>
                <w:tcPr>
                  <w:tcW w:w="532" w:type="pct"/>
                  <w:tcBorders>
                    <w:tl2br w:val="nil"/>
                    <w:tr2bl w:val="nil"/>
                  </w:tcBorders>
                  <w:shd w:val="clear" w:color="auto" w:fill="auto"/>
                  <w:vAlign w:val="center"/>
                </w:tcPr>
                <w:p w14:paraId="3A84F3FC">
                  <w:pPr>
                    <w:adjustRightInd w:val="0"/>
                    <w:snapToGrid w:val="0"/>
                    <w:jc w:val="center"/>
                    <w:rPr>
                      <w:color w:val="auto"/>
                      <w:kern w:val="0"/>
                    </w:rPr>
                  </w:pPr>
                  <w:r>
                    <w:rPr>
                      <w:color w:val="auto"/>
                      <w:kern w:val="0"/>
                    </w:rPr>
                    <w:t>50</w:t>
                  </w:r>
                </w:p>
              </w:tc>
              <w:tc>
                <w:tcPr>
                  <w:tcW w:w="544" w:type="pct"/>
                  <w:tcBorders>
                    <w:tl2br w:val="nil"/>
                    <w:tr2bl w:val="nil"/>
                  </w:tcBorders>
                  <w:shd w:val="clear" w:color="auto" w:fill="auto"/>
                  <w:vAlign w:val="center"/>
                </w:tcPr>
                <w:p w14:paraId="3A84F3FD">
                  <w:pPr>
                    <w:adjustRightInd w:val="0"/>
                    <w:snapToGrid w:val="0"/>
                    <w:jc w:val="center"/>
                    <w:rPr>
                      <w:color w:val="auto"/>
                      <w:kern w:val="0"/>
                    </w:rPr>
                  </w:pPr>
                  <w:r>
                    <w:rPr>
                      <w:color w:val="auto"/>
                      <w:kern w:val="0"/>
                    </w:rPr>
                    <w:t>0</w:t>
                  </w:r>
                </w:p>
              </w:tc>
            </w:tr>
            <w:tr w14:paraId="3A84F40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3FF">
                  <w:pPr>
                    <w:widowControl/>
                    <w:adjustRightInd w:val="0"/>
                    <w:snapToGrid w:val="0"/>
                    <w:jc w:val="center"/>
                    <w:rPr>
                      <w:color w:val="auto"/>
                      <w:kern w:val="0"/>
                    </w:rPr>
                  </w:pPr>
                  <w:r>
                    <w:rPr>
                      <w:color w:val="auto"/>
                      <w:kern w:val="0"/>
                    </w:rPr>
                    <w:t>充气机</w:t>
                  </w:r>
                </w:p>
              </w:tc>
              <w:tc>
                <w:tcPr>
                  <w:tcW w:w="1245" w:type="pct"/>
                  <w:tcBorders>
                    <w:tl2br w:val="nil"/>
                    <w:tr2bl w:val="nil"/>
                  </w:tcBorders>
                  <w:shd w:val="clear" w:color="auto" w:fill="auto"/>
                  <w:vAlign w:val="center"/>
                </w:tcPr>
                <w:p w14:paraId="3A84F400">
                  <w:pPr>
                    <w:widowControl/>
                    <w:adjustRightInd w:val="0"/>
                    <w:snapToGrid w:val="0"/>
                    <w:jc w:val="center"/>
                    <w:rPr>
                      <w:color w:val="auto"/>
                      <w:kern w:val="0"/>
                    </w:rPr>
                  </w:pPr>
                  <w:r>
                    <w:rPr>
                      <w:color w:val="auto"/>
                      <w:kern w:val="0"/>
                    </w:rPr>
                    <w:t>充气机</w:t>
                  </w:r>
                </w:p>
              </w:tc>
              <w:tc>
                <w:tcPr>
                  <w:tcW w:w="1493" w:type="pct"/>
                  <w:tcBorders>
                    <w:tl2br w:val="nil"/>
                    <w:tr2bl w:val="nil"/>
                  </w:tcBorders>
                  <w:vAlign w:val="center"/>
                </w:tcPr>
                <w:p w14:paraId="3A84F401">
                  <w:pPr>
                    <w:widowControl/>
                    <w:adjustRightInd w:val="0"/>
                    <w:snapToGrid w:val="0"/>
                    <w:jc w:val="center"/>
                    <w:rPr>
                      <w:color w:val="auto"/>
                      <w:kern w:val="0"/>
                    </w:rPr>
                  </w:pPr>
                  <w:r>
                    <w:rPr>
                      <w:color w:val="auto"/>
                      <w:kern w:val="0"/>
                    </w:rPr>
                    <w:t>M-19094</w:t>
                  </w:r>
                </w:p>
              </w:tc>
              <w:tc>
                <w:tcPr>
                  <w:tcW w:w="532" w:type="pct"/>
                  <w:tcBorders>
                    <w:tl2br w:val="nil"/>
                    <w:tr2bl w:val="nil"/>
                  </w:tcBorders>
                  <w:shd w:val="clear" w:color="auto" w:fill="auto"/>
                  <w:vAlign w:val="center"/>
                </w:tcPr>
                <w:p w14:paraId="3A84F402">
                  <w:pPr>
                    <w:widowControl/>
                    <w:adjustRightInd w:val="0"/>
                    <w:snapToGrid w:val="0"/>
                    <w:jc w:val="center"/>
                    <w:rPr>
                      <w:color w:val="auto"/>
                      <w:kern w:val="0"/>
                    </w:rPr>
                  </w:pPr>
                  <w:r>
                    <w:rPr>
                      <w:color w:val="auto"/>
                      <w:kern w:val="0"/>
                    </w:rPr>
                    <w:t>50</w:t>
                  </w:r>
                </w:p>
              </w:tc>
              <w:tc>
                <w:tcPr>
                  <w:tcW w:w="532" w:type="pct"/>
                  <w:tcBorders>
                    <w:tl2br w:val="nil"/>
                    <w:tr2bl w:val="nil"/>
                  </w:tcBorders>
                  <w:shd w:val="clear" w:color="auto" w:fill="auto"/>
                  <w:vAlign w:val="center"/>
                </w:tcPr>
                <w:p w14:paraId="3A84F403">
                  <w:pPr>
                    <w:widowControl/>
                    <w:adjustRightInd w:val="0"/>
                    <w:snapToGrid w:val="0"/>
                    <w:jc w:val="center"/>
                    <w:rPr>
                      <w:color w:val="auto"/>
                      <w:kern w:val="0"/>
                    </w:rPr>
                  </w:pPr>
                  <w:r>
                    <w:rPr>
                      <w:color w:val="auto"/>
                      <w:kern w:val="0"/>
                    </w:rPr>
                    <w:t>50</w:t>
                  </w:r>
                </w:p>
              </w:tc>
              <w:tc>
                <w:tcPr>
                  <w:tcW w:w="544" w:type="pct"/>
                  <w:tcBorders>
                    <w:tl2br w:val="nil"/>
                    <w:tr2bl w:val="nil"/>
                  </w:tcBorders>
                  <w:shd w:val="clear" w:color="auto" w:fill="auto"/>
                  <w:vAlign w:val="center"/>
                </w:tcPr>
                <w:p w14:paraId="3A84F404">
                  <w:pPr>
                    <w:adjustRightInd w:val="0"/>
                    <w:snapToGrid w:val="0"/>
                    <w:jc w:val="center"/>
                    <w:rPr>
                      <w:color w:val="auto"/>
                      <w:kern w:val="0"/>
                    </w:rPr>
                  </w:pPr>
                  <w:r>
                    <w:rPr>
                      <w:color w:val="auto"/>
                      <w:kern w:val="0"/>
                    </w:rPr>
                    <w:t>0</w:t>
                  </w:r>
                </w:p>
              </w:tc>
            </w:tr>
            <w:tr w14:paraId="3A84F4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06">
                  <w:pPr>
                    <w:widowControl/>
                    <w:adjustRightInd w:val="0"/>
                    <w:snapToGrid w:val="0"/>
                    <w:jc w:val="center"/>
                    <w:rPr>
                      <w:color w:val="auto"/>
                      <w:kern w:val="0"/>
                    </w:rPr>
                  </w:pPr>
                  <w:r>
                    <w:rPr>
                      <w:color w:val="auto"/>
                      <w:kern w:val="0"/>
                    </w:rPr>
                    <w:t>气密检测</w:t>
                  </w:r>
                </w:p>
              </w:tc>
              <w:tc>
                <w:tcPr>
                  <w:tcW w:w="1245" w:type="pct"/>
                  <w:tcBorders>
                    <w:tl2br w:val="nil"/>
                    <w:tr2bl w:val="nil"/>
                  </w:tcBorders>
                  <w:shd w:val="clear" w:color="auto" w:fill="auto"/>
                  <w:vAlign w:val="center"/>
                </w:tcPr>
                <w:p w14:paraId="3A84F407">
                  <w:pPr>
                    <w:widowControl/>
                    <w:adjustRightInd w:val="0"/>
                    <w:snapToGrid w:val="0"/>
                    <w:jc w:val="center"/>
                    <w:rPr>
                      <w:color w:val="auto"/>
                      <w:kern w:val="0"/>
                    </w:rPr>
                  </w:pPr>
                  <w:r>
                    <w:rPr>
                      <w:color w:val="auto"/>
                      <w:kern w:val="0"/>
                    </w:rPr>
                    <w:t>气密检测</w:t>
                  </w:r>
                </w:p>
              </w:tc>
              <w:tc>
                <w:tcPr>
                  <w:tcW w:w="1493" w:type="pct"/>
                  <w:tcBorders>
                    <w:tl2br w:val="nil"/>
                    <w:tr2bl w:val="nil"/>
                  </w:tcBorders>
                  <w:vAlign w:val="center"/>
                </w:tcPr>
                <w:p w14:paraId="3A84F408">
                  <w:pPr>
                    <w:widowControl/>
                    <w:adjustRightInd w:val="0"/>
                    <w:snapToGrid w:val="0"/>
                    <w:jc w:val="center"/>
                    <w:rPr>
                      <w:color w:val="auto"/>
                      <w:kern w:val="0"/>
                    </w:rPr>
                  </w:pPr>
                  <w:r>
                    <w:rPr>
                      <w:color w:val="auto"/>
                      <w:kern w:val="0"/>
                    </w:rPr>
                    <w:t>7105</w:t>
                  </w:r>
                </w:p>
              </w:tc>
              <w:tc>
                <w:tcPr>
                  <w:tcW w:w="532" w:type="pct"/>
                  <w:tcBorders>
                    <w:tl2br w:val="nil"/>
                    <w:tr2bl w:val="nil"/>
                  </w:tcBorders>
                  <w:shd w:val="clear" w:color="auto" w:fill="auto"/>
                  <w:vAlign w:val="center"/>
                </w:tcPr>
                <w:p w14:paraId="3A84F409">
                  <w:pPr>
                    <w:widowControl/>
                    <w:adjustRightInd w:val="0"/>
                    <w:snapToGrid w:val="0"/>
                    <w:jc w:val="center"/>
                    <w:rPr>
                      <w:color w:val="auto"/>
                      <w:kern w:val="0"/>
                    </w:rPr>
                  </w:pPr>
                  <w:r>
                    <w:rPr>
                      <w:color w:val="auto"/>
                      <w:kern w:val="0"/>
                    </w:rPr>
                    <w:t>25</w:t>
                  </w:r>
                </w:p>
              </w:tc>
              <w:tc>
                <w:tcPr>
                  <w:tcW w:w="532" w:type="pct"/>
                  <w:tcBorders>
                    <w:tl2br w:val="nil"/>
                    <w:tr2bl w:val="nil"/>
                  </w:tcBorders>
                  <w:shd w:val="clear" w:color="auto" w:fill="auto"/>
                  <w:vAlign w:val="center"/>
                </w:tcPr>
                <w:p w14:paraId="3A84F40A">
                  <w:pPr>
                    <w:widowControl/>
                    <w:adjustRightInd w:val="0"/>
                    <w:snapToGrid w:val="0"/>
                    <w:jc w:val="center"/>
                    <w:rPr>
                      <w:color w:val="auto"/>
                      <w:kern w:val="0"/>
                    </w:rPr>
                  </w:pPr>
                  <w:r>
                    <w:rPr>
                      <w:color w:val="auto"/>
                      <w:kern w:val="0"/>
                    </w:rPr>
                    <w:t>25</w:t>
                  </w:r>
                </w:p>
              </w:tc>
              <w:tc>
                <w:tcPr>
                  <w:tcW w:w="544" w:type="pct"/>
                  <w:tcBorders>
                    <w:tl2br w:val="nil"/>
                    <w:tr2bl w:val="nil"/>
                  </w:tcBorders>
                  <w:shd w:val="clear" w:color="auto" w:fill="auto"/>
                  <w:vAlign w:val="center"/>
                </w:tcPr>
                <w:p w14:paraId="3A84F40B">
                  <w:pPr>
                    <w:adjustRightInd w:val="0"/>
                    <w:snapToGrid w:val="0"/>
                    <w:jc w:val="center"/>
                    <w:rPr>
                      <w:color w:val="auto"/>
                      <w:kern w:val="0"/>
                    </w:rPr>
                  </w:pPr>
                  <w:r>
                    <w:rPr>
                      <w:color w:val="auto"/>
                      <w:kern w:val="0"/>
                    </w:rPr>
                    <w:t>0</w:t>
                  </w:r>
                </w:p>
              </w:tc>
            </w:tr>
            <w:tr w14:paraId="3A84F41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0D">
                  <w:pPr>
                    <w:widowControl/>
                    <w:adjustRightInd w:val="0"/>
                    <w:snapToGrid w:val="0"/>
                    <w:jc w:val="center"/>
                    <w:rPr>
                      <w:color w:val="auto"/>
                      <w:kern w:val="0"/>
                    </w:rPr>
                  </w:pPr>
                  <w:r>
                    <w:rPr>
                      <w:color w:val="auto"/>
                      <w:kern w:val="0"/>
                    </w:rPr>
                    <w:t>压接</w:t>
                  </w:r>
                </w:p>
              </w:tc>
              <w:tc>
                <w:tcPr>
                  <w:tcW w:w="1245" w:type="pct"/>
                  <w:tcBorders>
                    <w:tl2br w:val="nil"/>
                    <w:tr2bl w:val="nil"/>
                  </w:tcBorders>
                  <w:shd w:val="clear" w:color="auto" w:fill="auto"/>
                  <w:vAlign w:val="center"/>
                </w:tcPr>
                <w:p w14:paraId="3A84F40E">
                  <w:pPr>
                    <w:widowControl/>
                    <w:adjustRightInd w:val="0"/>
                    <w:snapToGrid w:val="0"/>
                    <w:jc w:val="center"/>
                    <w:rPr>
                      <w:color w:val="auto"/>
                      <w:kern w:val="0"/>
                    </w:rPr>
                  </w:pPr>
                  <w:r>
                    <w:rPr>
                      <w:color w:val="auto"/>
                      <w:kern w:val="0"/>
                    </w:rPr>
                    <w:t>压接</w:t>
                  </w:r>
                </w:p>
              </w:tc>
              <w:tc>
                <w:tcPr>
                  <w:tcW w:w="1493" w:type="pct"/>
                  <w:tcBorders>
                    <w:tl2br w:val="nil"/>
                    <w:tr2bl w:val="nil"/>
                  </w:tcBorders>
                  <w:vAlign w:val="center"/>
                </w:tcPr>
                <w:p w14:paraId="3A84F40F">
                  <w:pPr>
                    <w:widowControl/>
                    <w:adjustRightInd w:val="0"/>
                    <w:snapToGrid w:val="0"/>
                    <w:jc w:val="center"/>
                    <w:rPr>
                      <w:color w:val="auto"/>
                      <w:kern w:val="0"/>
                    </w:rPr>
                  </w:pPr>
                  <w:r>
                    <w:rPr>
                      <w:color w:val="auto"/>
                      <w:kern w:val="0"/>
                    </w:rPr>
                    <w:t>6910</w:t>
                  </w:r>
                </w:p>
              </w:tc>
              <w:tc>
                <w:tcPr>
                  <w:tcW w:w="532" w:type="pct"/>
                  <w:tcBorders>
                    <w:tl2br w:val="nil"/>
                    <w:tr2bl w:val="nil"/>
                  </w:tcBorders>
                  <w:shd w:val="clear" w:color="auto" w:fill="auto"/>
                  <w:vAlign w:val="center"/>
                </w:tcPr>
                <w:p w14:paraId="3A84F410">
                  <w:pPr>
                    <w:widowControl/>
                    <w:adjustRightInd w:val="0"/>
                    <w:snapToGrid w:val="0"/>
                    <w:jc w:val="center"/>
                    <w:rPr>
                      <w:color w:val="auto"/>
                      <w:kern w:val="0"/>
                    </w:rPr>
                  </w:pPr>
                  <w:r>
                    <w:rPr>
                      <w:color w:val="auto"/>
                      <w:kern w:val="0"/>
                    </w:rPr>
                    <w:t>25</w:t>
                  </w:r>
                </w:p>
              </w:tc>
              <w:tc>
                <w:tcPr>
                  <w:tcW w:w="532" w:type="pct"/>
                  <w:tcBorders>
                    <w:tl2br w:val="nil"/>
                    <w:tr2bl w:val="nil"/>
                  </w:tcBorders>
                  <w:shd w:val="clear" w:color="auto" w:fill="auto"/>
                  <w:vAlign w:val="center"/>
                </w:tcPr>
                <w:p w14:paraId="3A84F411">
                  <w:pPr>
                    <w:widowControl/>
                    <w:adjustRightInd w:val="0"/>
                    <w:snapToGrid w:val="0"/>
                    <w:jc w:val="center"/>
                    <w:rPr>
                      <w:color w:val="auto"/>
                      <w:kern w:val="0"/>
                    </w:rPr>
                  </w:pPr>
                  <w:r>
                    <w:rPr>
                      <w:color w:val="auto"/>
                      <w:kern w:val="0"/>
                    </w:rPr>
                    <w:t>25</w:t>
                  </w:r>
                </w:p>
              </w:tc>
              <w:tc>
                <w:tcPr>
                  <w:tcW w:w="544" w:type="pct"/>
                  <w:tcBorders>
                    <w:tl2br w:val="nil"/>
                    <w:tr2bl w:val="nil"/>
                  </w:tcBorders>
                  <w:shd w:val="clear" w:color="auto" w:fill="auto"/>
                  <w:vAlign w:val="center"/>
                </w:tcPr>
                <w:p w14:paraId="3A84F412">
                  <w:pPr>
                    <w:adjustRightInd w:val="0"/>
                    <w:snapToGrid w:val="0"/>
                    <w:jc w:val="center"/>
                    <w:rPr>
                      <w:color w:val="auto"/>
                      <w:kern w:val="0"/>
                    </w:rPr>
                  </w:pPr>
                  <w:r>
                    <w:rPr>
                      <w:color w:val="auto"/>
                      <w:kern w:val="0"/>
                    </w:rPr>
                    <w:t>0</w:t>
                  </w:r>
                </w:p>
              </w:tc>
            </w:tr>
            <w:tr w14:paraId="3A84F41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14">
                  <w:pPr>
                    <w:widowControl/>
                    <w:adjustRightInd w:val="0"/>
                    <w:snapToGrid w:val="0"/>
                    <w:jc w:val="center"/>
                    <w:rPr>
                      <w:color w:val="auto"/>
                      <w:kern w:val="0"/>
                    </w:rPr>
                  </w:pPr>
                  <w:r>
                    <w:rPr>
                      <w:color w:val="auto"/>
                      <w:kern w:val="0"/>
                    </w:rPr>
                    <w:t>电子检测</w:t>
                  </w:r>
                </w:p>
              </w:tc>
              <w:tc>
                <w:tcPr>
                  <w:tcW w:w="1245" w:type="pct"/>
                  <w:tcBorders>
                    <w:tl2br w:val="nil"/>
                    <w:tr2bl w:val="nil"/>
                  </w:tcBorders>
                  <w:shd w:val="clear" w:color="auto" w:fill="auto"/>
                  <w:vAlign w:val="center"/>
                </w:tcPr>
                <w:p w14:paraId="3A84F415">
                  <w:pPr>
                    <w:widowControl/>
                    <w:adjustRightInd w:val="0"/>
                    <w:snapToGrid w:val="0"/>
                    <w:jc w:val="center"/>
                    <w:rPr>
                      <w:color w:val="auto"/>
                      <w:kern w:val="0"/>
                    </w:rPr>
                  </w:pPr>
                  <w:r>
                    <w:rPr>
                      <w:color w:val="auto"/>
                      <w:kern w:val="0"/>
                    </w:rPr>
                    <w:t>电子检测</w:t>
                  </w:r>
                </w:p>
              </w:tc>
              <w:tc>
                <w:tcPr>
                  <w:tcW w:w="1493" w:type="pct"/>
                  <w:tcBorders>
                    <w:tl2br w:val="nil"/>
                    <w:tr2bl w:val="nil"/>
                  </w:tcBorders>
                  <w:vAlign w:val="center"/>
                </w:tcPr>
                <w:p w14:paraId="3A84F416">
                  <w:pPr>
                    <w:widowControl/>
                    <w:adjustRightInd w:val="0"/>
                    <w:snapToGrid w:val="0"/>
                    <w:jc w:val="center"/>
                    <w:rPr>
                      <w:color w:val="auto"/>
                      <w:kern w:val="0"/>
                    </w:rPr>
                  </w:pPr>
                  <w:r>
                    <w:rPr>
                      <w:color w:val="auto"/>
                      <w:kern w:val="0"/>
                    </w:rPr>
                    <w:t>7126</w:t>
                  </w:r>
                </w:p>
              </w:tc>
              <w:tc>
                <w:tcPr>
                  <w:tcW w:w="532" w:type="pct"/>
                  <w:tcBorders>
                    <w:tl2br w:val="nil"/>
                    <w:tr2bl w:val="nil"/>
                  </w:tcBorders>
                  <w:shd w:val="clear" w:color="auto" w:fill="auto"/>
                  <w:vAlign w:val="center"/>
                </w:tcPr>
                <w:p w14:paraId="3A84F417">
                  <w:pPr>
                    <w:widowControl/>
                    <w:adjustRightInd w:val="0"/>
                    <w:snapToGrid w:val="0"/>
                    <w:jc w:val="center"/>
                    <w:rPr>
                      <w:color w:val="auto"/>
                      <w:kern w:val="0"/>
                    </w:rPr>
                  </w:pPr>
                  <w:r>
                    <w:rPr>
                      <w:color w:val="auto"/>
                      <w:kern w:val="0"/>
                    </w:rPr>
                    <w:t>25</w:t>
                  </w:r>
                </w:p>
              </w:tc>
              <w:tc>
                <w:tcPr>
                  <w:tcW w:w="532" w:type="pct"/>
                  <w:tcBorders>
                    <w:tl2br w:val="nil"/>
                    <w:tr2bl w:val="nil"/>
                  </w:tcBorders>
                  <w:shd w:val="clear" w:color="auto" w:fill="auto"/>
                  <w:vAlign w:val="center"/>
                </w:tcPr>
                <w:p w14:paraId="3A84F418">
                  <w:pPr>
                    <w:widowControl/>
                    <w:adjustRightInd w:val="0"/>
                    <w:snapToGrid w:val="0"/>
                    <w:jc w:val="center"/>
                    <w:rPr>
                      <w:color w:val="auto"/>
                      <w:kern w:val="0"/>
                    </w:rPr>
                  </w:pPr>
                  <w:r>
                    <w:rPr>
                      <w:color w:val="auto"/>
                      <w:kern w:val="0"/>
                    </w:rPr>
                    <w:t>25</w:t>
                  </w:r>
                </w:p>
              </w:tc>
              <w:tc>
                <w:tcPr>
                  <w:tcW w:w="544" w:type="pct"/>
                  <w:tcBorders>
                    <w:tl2br w:val="nil"/>
                    <w:tr2bl w:val="nil"/>
                  </w:tcBorders>
                  <w:shd w:val="clear" w:color="auto" w:fill="auto"/>
                  <w:vAlign w:val="center"/>
                </w:tcPr>
                <w:p w14:paraId="3A84F419">
                  <w:pPr>
                    <w:adjustRightInd w:val="0"/>
                    <w:snapToGrid w:val="0"/>
                    <w:jc w:val="center"/>
                    <w:rPr>
                      <w:color w:val="auto"/>
                      <w:kern w:val="0"/>
                    </w:rPr>
                  </w:pPr>
                  <w:r>
                    <w:rPr>
                      <w:color w:val="auto"/>
                      <w:kern w:val="0"/>
                    </w:rPr>
                    <w:t>0</w:t>
                  </w:r>
                </w:p>
              </w:tc>
            </w:tr>
            <w:tr w14:paraId="3A84F42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1B">
                  <w:pPr>
                    <w:widowControl/>
                    <w:adjustRightInd w:val="0"/>
                    <w:snapToGrid w:val="0"/>
                    <w:jc w:val="center"/>
                    <w:rPr>
                      <w:color w:val="auto"/>
                      <w:kern w:val="0"/>
                    </w:rPr>
                  </w:pPr>
                  <w:r>
                    <w:rPr>
                      <w:color w:val="auto"/>
                      <w:kern w:val="0"/>
                    </w:rPr>
                    <w:t>基座激光焊</w:t>
                  </w:r>
                </w:p>
              </w:tc>
              <w:tc>
                <w:tcPr>
                  <w:tcW w:w="1245" w:type="pct"/>
                  <w:tcBorders>
                    <w:tl2br w:val="nil"/>
                    <w:tr2bl w:val="nil"/>
                  </w:tcBorders>
                  <w:shd w:val="clear" w:color="auto" w:fill="auto"/>
                  <w:vAlign w:val="center"/>
                </w:tcPr>
                <w:p w14:paraId="3A84F41C">
                  <w:pPr>
                    <w:widowControl/>
                    <w:adjustRightInd w:val="0"/>
                    <w:snapToGrid w:val="0"/>
                    <w:jc w:val="center"/>
                    <w:rPr>
                      <w:color w:val="auto"/>
                      <w:kern w:val="0"/>
                    </w:rPr>
                  </w:pPr>
                  <w:r>
                    <w:rPr>
                      <w:color w:val="auto"/>
                      <w:kern w:val="0"/>
                    </w:rPr>
                    <w:t>基座激光焊</w:t>
                  </w:r>
                </w:p>
              </w:tc>
              <w:tc>
                <w:tcPr>
                  <w:tcW w:w="1493" w:type="pct"/>
                  <w:tcBorders>
                    <w:tl2br w:val="nil"/>
                    <w:tr2bl w:val="nil"/>
                  </w:tcBorders>
                  <w:vAlign w:val="center"/>
                </w:tcPr>
                <w:p w14:paraId="3A84F41D">
                  <w:pPr>
                    <w:widowControl/>
                    <w:adjustRightInd w:val="0"/>
                    <w:snapToGrid w:val="0"/>
                    <w:jc w:val="center"/>
                    <w:rPr>
                      <w:color w:val="auto"/>
                      <w:kern w:val="0"/>
                    </w:rPr>
                  </w:pPr>
                  <w:r>
                    <w:rPr>
                      <w:color w:val="auto"/>
                      <w:kern w:val="0"/>
                    </w:rPr>
                    <w:t>17103/15456</w:t>
                  </w:r>
                </w:p>
              </w:tc>
              <w:tc>
                <w:tcPr>
                  <w:tcW w:w="532" w:type="pct"/>
                  <w:tcBorders>
                    <w:tl2br w:val="nil"/>
                    <w:tr2bl w:val="nil"/>
                  </w:tcBorders>
                  <w:shd w:val="clear" w:color="auto" w:fill="auto"/>
                  <w:vAlign w:val="center"/>
                </w:tcPr>
                <w:p w14:paraId="3A84F41E">
                  <w:pPr>
                    <w:widowControl/>
                    <w:adjustRightInd w:val="0"/>
                    <w:snapToGrid w:val="0"/>
                    <w:jc w:val="center"/>
                    <w:rPr>
                      <w:color w:val="auto"/>
                      <w:kern w:val="0"/>
                    </w:rPr>
                  </w:pPr>
                  <w:r>
                    <w:rPr>
                      <w:color w:val="auto"/>
                      <w:kern w:val="0"/>
                    </w:rPr>
                    <w:t>10</w:t>
                  </w:r>
                </w:p>
              </w:tc>
              <w:tc>
                <w:tcPr>
                  <w:tcW w:w="532" w:type="pct"/>
                  <w:tcBorders>
                    <w:tl2br w:val="nil"/>
                    <w:tr2bl w:val="nil"/>
                  </w:tcBorders>
                  <w:shd w:val="clear" w:color="auto" w:fill="auto"/>
                  <w:vAlign w:val="center"/>
                </w:tcPr>
                <w:p w14:paraId="3A84F41F">
                  <w:pPr>
                    <w:widowControl/>
                    <w:adjustRightInd w:val="0"/>
                    <w:snapToGrid w:val="0"/>
                    <w:jc w:val="center"/>
                    <w:rPr>
                      <w:color w:val="auto"/>
                      <w:kern w:val="0"/>
                    </w:rPr>
                  </w:pPr>
                  <w:r>
                    <w:rPr>
                      <w:color w:val="auto"/>
                      <w:kern w:val="0"/>
                    </w:rPr>
                    <w:t>10</w:t>
                  </w:r>
                </w:p>
              </w:tc>
              <w:tc>
                <w:tcPr>
                  <w:tcW w:w="544" w:type="pct"/>
                  <w:tcBorders>
                    <w:tl2br w:val="nil"/>
                    <w:tr2bl w:val="nil"/>
                  </w:tcBorders>
                  <w:shd w:val="clear" w:color="auto" w:fill="auto"/>
                  <w:vAlign w:val="center"/>
                </w:tcPr>
                <w:p w14:paraId="3A84F420">
                  <w:pPr>
                    <w:adjustRightInd w:val="0"/>
                    <w:snapToGrid w:val="0"/>
                    <w:jc w:val="center"/>
                    <w:rPr>
                      <w:color w:val="auto"/>
                      <w:kern w:val="0"/>
                    </w:rPr>
                  </w:pPr>
                  <w:r>
                    <w:rPr>
                      <w:color w:val="auto"/>
                      <w:kern w:val="0"/>
                    </w:rPr>
                    <w:t>0</w:t>
                  </w:r>
                </w:p>
              </w:tc>
            </w:tr>
            <w:tr w14:paraId="3A84F4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22">
                  <w:pPr>
                    <w:widowControl/>
                    <w:adjustRightInd w:val="0"/>
                    <w:snapToGrid w:val="0"/>
                    <w:jc w:val="center"/>
                    <w:rPr>
                      <w:color w:val="auto"/>
                      <w:kern w:val="0"/>
                    </w:rPr>
                  </w:pPr>
                  <w:r>
                    <w:rPr>
                      <w:color w:val="auto"/>
                      <w:kern w:val="0"/>
                    </w:rPr>
                    <w:t>扩散体激光焊</w:t>
                  </w:r>
                </w:p>
              </w:tc>
              <w:tc>
                <w:tcPr>
                  <w:tcW w:w="1245" w:type="pct"/>
                  <w:tcBorders>
                    <w:tl2br w:val="nil"/>
                    <w:tr2bl w:val="nil"/>
                  </w:tcBorders>
                  <w:shd w:val="clear" w:color="auto" w:fill="auto"/>
                  <w:vAlign w:val="center"/>
                </w:tcPr>
                <w:p w14:paraId="3A84F423">
                  <w:pPr>
                    <w:widowControl/>
                    <w:adjustRightInd w:val="0"/>
                    <w:snapToGrid w:val="0"/>
                    <w:jc w:val="center"/>
                    <w:rPr>
                      <w:color w:val="auto"/>
                      <w:kern w:val="0"/>
                    </w:rPr>
                  </w:pPr>
                  <w:r>
                    <w:rPr>
                      <w:color w:val="auto"/>
                      <w:kern w:val="0"/>
                    </w:rPr>
                    <w:t>扩散体激光焊</w:t>
                  </w:r>
                </w:p>
              </w:tc>
              <w:tc>
                <w:tcPr>
                  <w:tcW w:w="1493" w:type="pct"/>
                  <w:tcBorders>
                    <w:tl2br w:val="nil"/>
                    <w:tr2bl w:val="nil"/>
                  </w:tcBorders>
                  <w:vAlign w:val="center"/>
                </w:tcPr>
                <w:p w14:paraId="3A84F424">
                  <w:pPr>
                    <w:widowControl/>
                    <w:adjustRightInd w:val="0"/>
                    <w:snapToGrid w:val="0"/>
                    <w:jc w:val="center"/>
                    <w:rPr>
                      <w:color w:val="auto"/>
                      <w:kern w:val="0"/>
                    </w:rPr>
                  </w:pPr>
                  <w:r>
                    <w:rPr>
                      <w:color w:val="auto"/>
                      <w:kern w:val="0"/>
                    </w:rPr>
                    <w:t>16917/16918</w:t>
                  </w:r>
                </w:p>
              </w:tc>
              <w:tc>
                <w:tcPr>
                  <w:tcW w:w="532" w:type="pct"/>
                  <w:tcBorders>
                    <w:tl2br w:val="nil"/>
                    <w:tr2bl w:val="nil"/>
                  </w:tcBorders>
                  <w:shd w:val="clear" w:color="auto" w:fill="auto"/>
                  <w:vAlign w:val="center"/>
                </w:tcPr>
                <w:p w14:paraId="3A84F425">
                  <w:pPr>
                    <w:widowControl/>
                    <w:adjustRightInd w:val="0"/>
                    <w:snapToGrid w:val="0"/>
                    <w:jc w:val="center"/>
                    <w:rPr>
                      <w:color w:val="auto"/>
                      <w:kern w:val="0"/>
                    </w:rPr>
                  </w:pPr>
                  <w:r>
                    <w:rPr>
                      <w:color w:val="auto"/>
                      <w:kern w:val="0"/>
                    </w:rPr>
                    <w:t>15</w:t>
                  </w:r>
                </w:p>
              </w:tc>
              <w:tc>
                <w:tcPr>
                  <w:tcW w:w="532" w:type="pct"/>
                  <w:tcBorders>
                    <w:tl2br w:val="nil"/>
                    <w:tr2bl w:val="nil"/>
                  </w:tcBorders>
                  <w:shd w:val="clear" w:color="auto" w:fill="auto"/>
                  <w:vAlign w:val="center"/>
                </w:tcPr>
                <w:p w14:paraId="3A84F426">
                  <w:pPr>
                    <w:widowControl/>
                    <w:adjustRightInd w:val="0"/>
                    <w:snapToGrid w:val="0"/>
                    <w:jc w:val="center"/>
                    <w:rPr>
                      <w:color w:val="auto"/>
                      <w:kern w:val="0"/>
                    </w:rPr>
                  </w:pPr>
                  <w:r>
                    <w:rPr>
                      <w:color w:val="auto"/>
                      <w:kern w:val="0"/>
                    </w:rPr>
                    <w:t>15</w:t>
                  </w:r>
                </w:p>
              </w:tc>
              <w:tc>
                <w:tcPr>
                  <w:tcW w:w="544" w:type="pct"/>
                  <w:tcBorders>
                    <w:tl2br w:val="nil"/>
                    <w:tr2bl w:val="nil"/>
                  </w:tcBorders>
                  <w:shd w:val="clear" w:color="auto" w:fill="auto"/>
                  <w:vAlign w:val="center"/>
                </w:tcPr>
                <w:p w14:paraId="3A84F427">
                  <w:pPr>
                    <w:adjustRightInd w:val="0"/>
                    <w:snapToGrid w:val="0"/>
                    <w:jc w:val="center"/>
                    <w:rPr>
                      <w:color w:val="auto"/>
                      <w:kern w:val="0"/>
                    </w:rPr>
                  </w:pPr>
                  <w:r>
                    <w:rPr>
                      <w:color w:val="auto"/>
                      <w:kern w:val="0"/>
                    </w:rPr>
                    <w:t>0</w:t>
                  </w:r>
                </w:p>
              </w:tc>
            </w:tr>
            <w:tr w14:paraId="3A84F42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29">
                  <w:pPr>
                    <w:widowControl/>
                    <w:adjustRightInd w:val="0"/>
                    <w:snapToGrid w:val="0"/>
                    <w:jc w:val="center"/>
                    <w:rPr>
                      <w:color w:val="auto"/>
                      <w:kern w:val="0"/>
                    </w:rPr>
                  </w:pPr>
                  <w:r>
                    <w:rPr>
                      <w:color w:val="auto"/>
                      <w:kern w:val="0"/>
                    </w:rPr>
                    <w:t>电阻焊</w:t>
                  </w:r>
                </w:p>
              </w:tc>
              <w:tc>
                <w:tcPr>
                  <w:tcW w:w="1245" w:type="pct"/>
                  <w:tcBorders>
                    <w:tl2br w:val="nil"/>
                    <w:tr2bl w:val="nil"/>
                  </w:tcBorders>
                  <w:shd w:val="clear" w:color="auto" w:fill="auto"/>
                  <w:vAlign w:val="center"/>
                </w:tcPr>
                <w:p w14:paraId="3A84F42A">
                  <w:pPr>
                    <w:widowControl/>
                    <w:adjustRightInd w:val="0"/>
                    <w:snapToGrid w:val="0"/>
                    <w:jc w:val="center"/>
                    <w:rPr>
                      <w:color w:val="auto"/>
                      <w:kern w:val="0"/>
                    </w:rPr>
                  </w:pPr>
                  <w:r>
                    <w:rPr>
                      <w:color w:val="auto"/>
                      <w:kern w:val="0"/>
                    </w:rPr>
                    <w:t>电阻焊</w:t>
                  </w:r>
                </w:p>
              </w:tc>
              <w:tc>
                <w:tcPr>
                  <w:tcW w:w="1493" w:type="pct"/>
                  <w:tcBorders>
                    <w:tl2br w:val="nil"/>
                    <w:tr2bl w:val="nil"/>
                  </w:tcBorders>
                  <w:vAlign w:val="center"/>
                </w:tcPr>
                <w:p w14:paraId="3A84F42B">
                  <w:pPr>
                    <w:widowControl/>
                    <w:adjustRightInd w:val="0"/>
                    <w:snapToGrid w:val="0"/>
                    <w:jc w:val="center"/>
                    <w:rPr>
                      <w:color w:val="auto"/>
                      <w:kern w:val="0"/>
                    </w:rPr>
                  </w:pPr>
                  <w:r>
                    <w:rPr>
                      <w:color w:val="auto"/>
                      <w:kern w:val="0"/>
                    </w:rPr>
                    <w:t>9340/6446</w:t>
                  </w:r>
                </w:p>
              </w:tc>
              <w:tc>
                <w:tcPr>
                  <w:tcW w:w="532" w:type="pct"/>
                  <w:tcBorders>
                    <w:tl2br w:val="nil"/>
                    <w:tr2bl w:val="nil"/>
                  </w:tcBorders>
                  <w:shd w:val="clear" w:color="auto" w:fill="auto"/>
                  <w:vAlign w:val="center"/>
                </w:tcPr>
                <w:p w14:paraId="3A84F42C">
                  <w:pPr>
                    <w:widowControl/>
                    <w:adjustRightInd w:val="0"/>
                    <w:snapToGrid w:val="0"/>
                    <w:jc w:val="center"/>
                    <w:rPr>
                      <w:color w:val="auto"/>
                      <w:kern w:val="0"/>
                    </w:rPr>
                  </w:pPr>
                  <w:r>
                    <w:rPr>
                      <w:color w:val="auto"/>
                      <w:kern w:val="0"/>
                    </w:rPr>
                    <w:t>2</w:t>
                  </w:r>
                </w:p>
              </w:tc>
              <w:tc>
                <w:tcPr>
                  <w:tcW w:w="532" w:type="pct"/>
                  <w:tcBorders>
                    <w:tl2br w:val="nil"/>
                    <w:tr2bl w:val="nil"/>
                  </w:tcBorders>
                  <w:shd w:val="clear" w:color="auto" w:fill="auto"/>
                  <w:vAlign w:val="center"/>
                </w:tcPr>
                <w:p w14:paraId="3A84F42D">
                  <w:pPr>
                    <w:widowControl/>
                    <w:adjustRightInd w:val="0"/>
                    <w:snapToGrid w:val="0"/>
                    <w:jc w:val="center"/>
                    <w:rPr>
                      <w:color w:val="auto"/>
                      <w:kern w:val="0"/>
                    </w:rPr>
                  </w:pPr>
                  <w:r>
                    <w:rPr>
                      <w:color w:val="auto"/>
                      <w:kern w:val="0"/>
                    </w:rPr>
                    <w:t>2</w:t>
                  </w:r>
                </w:p>
              </w:tc>
              <w:tc>
                <w:tcPr>
                  <w:tcW w:w="544" w:type="pct"/>
                  <w:tcBorders>
                    <w:tl2br w:val="nil"/>
                    <w:tr2bl w:val="nil"/>
                  </w:tcBorders>
                  <w:shd w:val="clear" w:color="auto" w:fill="auto"/>
                  <w:vAlign w:val="center"/>
                </w:tcPr>
                <w:p w14:paraId="3A84F42E">
                  <w:pPr>
                    <w:adjustRightInd w:val="0"/>
                    <w:snapToGrid w:val="0"/>
                    <w:jc w:val="center"/>
                    <w:rPr>
                      <w:color w:val="auto"/>
                      <w:kern w:val="0"/>
                    </w:rPr>
                  </w:pPr>
                  <w:r>
                    <w:rPr>
                      <w:color w:val="auto"/>
                      <w:kern w:val="0"/>
                    </w:rPr>
                    <w:t>0</w:t>
                  </w:r>
                </w:p>
              </w:tc>
            </w:tr>
            <w:tr w14:paraId="3A84F43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30">
                  <w:pPr>
                    <w:widowControl/>
                    <w:adjustRightInd w:val="0"/>
                    <w:snapToGrid w:val="0"/>
                    <w:jc w:val="center"/>
                    <w:rPr>
                      <w:color w:val="auto"/>
                      <w:kern w:val="0"/>
                    </w:rPr>
                  </w:pPr>
                  <w:r>
                    <w:rPr>
                      <w:color w:val="auto"/>
                      <w:kern w:val="0"/>
                    </w:rPr>
                    <w:t>扩散体压接</w:t>
                  </w:r>
                </w:p>
              </w:tc>
              <w:tc>
                <w:tcPr>
                  <w:tcW w:w="1245" w:type="pct"/>
                  <w:tcBorders>
                    <w:tl2br w:val="nil"/>
                    <w:tr2bl w:val="nil"/>
                  </w:tcBorders>
                  <w:shd w:val="clear" w:color="auto" w:fill="auto"/>
                  <w:vAlign w:val="center"/>
                </w:tcPr>
                <w:p w14:paraId="3A84F431">
                  <w:pPr>
                    <w:widowControl/>
                    <w:adjustRightInd w:val="0"/>
                    <w:snapToGrid w:val="0"/>
                    <w:jc w:val="center"/>
                    <w:rPr>
                      <w:color w:val="auto"/>
                      <w:kern w:val="0"/>
                    </w:rPr>
                  </w:pPr>
                  <w:r>
                    <w:rPr>
                      <w:color w:val="auto"/>
                      <w:kern w:val="0"/>
                    </w:rPr>
                    <w:t>扩散体压接</w:t>
                  </w:r>
                </w:p>
              </w:tc>
              <w:tc>
                <w:tcPr>
                  <w:tcW w:w="1493" w:type="pct"/>
                  <w:tcBorders>
                    <w:tl2br w:val="nil"/>
                    <w:tr2bl w:val="nil"/>
                  </w:tcBorders>
                  <w:vAlign w:val="center"/>
                </w:tcPr>
                <w:p w14:paraId="3A84F432">
                  <w:pPr>
                    <w:widowControl/>
                    <w:adjustRightInd w:val="0"/>
                    <w:snapToGrid w:val="0"/>
                    <w:jc w:val="center"/>
                    <w:rPr>
                      <w:color w:val="auto"/>
                      <w:kern w:val="0"/>
                    </w:rPr>
                  </w:pPr>
                  <w:r>
                    <w:rPr>
                      <w:color w:val="auto"/>
                      <w:kern w:val="0"/>
                    </w:rPr>
                    <w:t>6446</w:t>
                  </w:r>
                </w:p>
              </w:tc>
              <w:tc>
                <w:tcPr>
                  <w:tcW w:w="532" w:type="pct"/>
                  <w:tcBorders>
                    <w:tl2br w:val="nil"/>
                    <w:tr2bl w:val="nil"/>
                  </w:tcBorders>
                  <w:shd w:val="clear" w:color="auto" w:fill="auto"/>
                  <w:vAlign w:val="center"/>
                </w:tcPr>
                <w:p w14:paraId="3A84F433">
                  <w:pPr>
                    <w:widowControl/>
                    <w:adjustRightInd w:val="0"/>
                    <w:snapToGrid w:val="0"/>
                    <w:jc w:val="center"/>
                    <w:rPr>
                      <w:color w:val="auto"/>
                      <w:kern w:val="0"/>
                    </w:rPr>
                  </w:pPr>
                  <w:r>
                    <w:rPr>
                      <w:color w:val="auto"/>
                      <w:kern w:val="0"/>
                    </w:rPr>
                    <w:t>3</w:t>
                  </w:r>
                </w:p>
              </w:tc>
              <w:tc>
                <w:tcPr>
                  <w:tcW w:w="532" w:type="pct"/>
                  <w:tcBorders>
                    <w:tl2br w:val="nil"/>
                    <w:tr2bl w:val="nil"/>
                  </w:tcBorders>
                  <w:shd w:val="clear" w:color="auto" w:fill="auto"/>
                  <w:vAlign w:val="center"/>
                </w:tcPr>
                <w:p w14:paraId="3A84F434">
                  <w:pPr>
                    <w:widowControl/>
                    <w:adjustRightInd w:val="0"/>
                    <w:snapToGrid w:val="0"/>
                    <w:jc w:val="center"/>
                    <w:rPr>
                      <w:color w:val="auto"/>
                      <w:kern w:val="0"/>
                    </w:rPr>
                  </w:pPr>
                  <w:r>
                    <w:rPr>
                      <w:color w:val="auto"/>
                      <w:kern w:val="0"/>
                    </w:rPr>
                    <w:t>3</w:t>
                  </w:r>
                </w:p>
              </w:tc>
              <w:tc>
                <w:tcPr>
                  <w:tcW w:w="544" w:type="pct"/>
                  <w:tcBorders>
                    <w:tl2br w:val="nil"/>
                    <w:tr2bl w:val="nil"/>
                  </w:tcBorders>
                  <w:shd w:val="clear" w:color="auto" w:fill="auto"/>
                  <w:vAlign w:val="center"/>
                </w:tcPr>
                <w:p w14:paraId="3A84F435">
                  <w:pPr>
                    <w:adjustRightInd w:val="0"/>
                    <w:snapToGrid w:val="0"/>
                    <w:jc w:val="center"/>
                    <w:rPr>
                      <w:color w:val="auto"/>
                      <w:kern w:val="0"/>
                    </w:rPr>
                  </w:pPr>
                  <w:r>
                    <w:rPr>
                      <w:color w:val="auto"/>
                      <w:kern w:val="0"/>
                    </w:rPr>
                    <w:t>0</w:t>
                  </w:r>
                </w:p>
              </w:tc>
            </w:tr>
            <w:tr w14:paraId="3A84F43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37">
                  <w:pPr>
                    <w:widowControl/>
                    <w:adjustRightInd w:val="0"/>
                    <w:snapToGrid w:val="0"/>
                    <w:jc w:val="center"/>
                    <w:rPr>
                      <w:color w:val="auto"/>
                      <w:kern w:val="0"/>
                    </w:rPr>
                  </w:pPr>
                  <w:r>
                    <w:rPr>
                      <w:color w:val="auto"/>
                      <w:kern w:val="0"/>
                    </w:rPr>
                    <w:t>扩散体刻码</w:t>
                  </w:r>
                </w:p>
              </w:tc>
              <w:tc>
                <w:tcPr>
                  <w:tcW w:w="1245" w:type="pct"/>
                  <w:tcBorders>
                    <w:tl2br w:val="nil"/>
                    <w:tr2bl w:val="nil"/>
                  </w:tcBorders>
                  <w:shd w:val="clear" w:color="auto" w:fill="auto"/>
                  <w:vAlign w:val="center"/>
                </w:tcPr>
                <w:p w14:paraId="3A84F438">
                  <w:pPr>
                    <w:widowControl/>
                    <w:adjustRightInd w:val="0"/>
                    <w:snapToGrid w:val="0"/>
                    <w:jc w:val="center"/>
                    <w:rPr>
                      <w:color w:val="auto"/>
                      <w:kern w:val="0"/>
                    </w:rPr>
                  </w:pPr>
                  <w:r>
                    <w:rPr>
                      <w:color w:val="auto"/>
                      <w:kern w:val="0"/>
                    </w:rPr>
                    <w:t>扩散体刻码机</w:t>
                  </w:r>
                </w:p>
              </w:tc>
              <w:tc>
                <w:tcPr>
                  <w:tcW w:w="1493" w:type="pct"/>
                  <w:tcBorders>
                    <w:tl2br w:val="nil"/>
                    <w:tr2bl w:val="nil"/>
                  </w:tcBorders>
                  <w:vAlign w:val="center"/>
                </w:tcPr>
                <w:p w14:paraId="3A84F439">
                  <w:pPr>
                    <w:widowControl/>
                    <w:adjustRightInd w:val="0"/>
                    <w:snapToGrid w:val="0"/>
                    <w:jc w:val="center"/>
                    <w:rPr>
                      <w:color w:val="auto"/>
                      <w:kern w:val="0"/>
                    </w:rPr>
                  </w:pPr>
                  <w:r>
                    <w:rPr>
                      <w:color w:val="auto"/>
                      <w:kern w:val="0"/>
                    </w:rPr>
                    <w:t>7107</w:t>
                  </w:r>
                </w:p>
              </w:tc>
              <w:tc>
                <w:tcPr>
                  <w:tcW w:w="532" w:type="pct"/>
                  <w:tcBorders>
                    <w:tl2br w:val="nil"/>
                    <w:tr2bl w:val="nil"/>
                  </w:tcBorders>
                  <w:shd w:val="clear" w:color="auto" w:fill="auto"/>
                  <w:vAlign w:val="center"/>
                </w:tcPr>
                <w:p w14:paraId="3A84F43A">
                  <w:pPr>
                    <w:widowControl/>
                    <w:adjustRightInd w:val="0"/>
                    <w:snapToGrid w:val="0"/>
                    <w:jc w:val="center"/>
                    <w:rPr>
                      <w:color w:val="auto"/>
                      <w:kern w:val="0"/>
                    </w:rPr>
                  </w:pPr>
                  <w:r>
                    <w:rPr>
                      <w:color w:val="auto"/>
                      <w:kern w:val="0"/>
                    </w:rPr>
                    <w:t>8</w:t>
                  </w:r>
                </w:p>
              </w:tc>
              <w:tc>
                <w:tcPr>
                  <w:tcW w:w="532" w:type="pct"/>
                  <w:tcBorders>
                    <w:tl2br w:val="nil"/>
                    <w:tr2bl w:val="nil"/>
                  </w:tcBorders>
                  <w:shd w:val="clear" w:color="auto" w:fill="auto"/>
                  <w:vAlign w:val="center"/>
                </w:tcPr>
                <w:p w14:paraId="3A84F43B">
                  <w:pPr>
                    <w:widowControl/>
                    <w:adjustRightInd w:val="0"/>
                    <w:snapToGrid w:val="0"/>
                    <w:jc w:val="center"/>
                    <w:rPr>
                      <w:color w:val="auto"/>
                      <w:kern w:val="0"/>
                    </w:rPr>
                  </w:pPr>
                  <w:r>
                    <w:rPr>
                      <w:color w:val="auto"/>
                      <w:kern w:val="0"/>
                    </w:rPr>
                    <w:t>8</w:t>
                  </w:r>
                </w:p>
              </w:tc>
              <w:tc>
                <w:tcPr>
                  <w:tcW w:w="544" w:type="pct"/>
                  <w:tcBorders>
                    <w:tl2br w:val="nil"/>
                    <w:tr2bl w:val="nil"/>
                  </w:tcBorders>
                  <w:shd w:val="clear" w:color="auto" w:fill="auto"/>
                  <w:vAlign w:val="center"/>
                </w:tcPr>
                <w:p w14:paraId="3A84F43C">
                  <w:pPr>
                    <w:adjustRightInd w:val="0"/>
                    <w:snapToGrid w:val="0"/>
                    <w:jc w:val="center"/>
                    <w:rPr>
                      <w:color w:val="auto"/>
                      <w:kern w:val="0"/>
                    </w:rPr>
                  </w:pPr>
                  <w:r>
                    <w:rPr>
                      <w:color w:val="auto"/>
                      <w:kern w:val="0"/>
                    </w:rPr>
                    <w:t>0</w:t>
                  </w:r>
                </w:p>
              </w:tc>
            </w:tr>
            <w:tr w14:paraId="3A84F43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6"/>
                  <w:tcBorders>
                    <w:tl2br w:val="nil"/>
                    <w:tr2bl w:val="nil"/>
                  </w:tcBorders>
                  <w:shd w:val="clear" w:color="auto" w:fill="auto"/>
                  <w:vAlign w:val="center"/>
                </w:tcPr>
                <w:p w14:paraId="3A84F43E">
                  <w:pPr>
                    <w:adjustRightInd w:val="0"/>
                    <w:snapToGrid w:val="0"/>
                    <w:jc w:val="center"/>
                    <w:rPr>
                      <w:color w:val="auto"/>
                      <w:kern w:val="0"/>
                    </w:rPr>
                  </w:pPr>
                  <w:r>
                    <w:rPr>
                      <w:rFonts w:hint="eastAsia" w:ascii="宋体" w:hAnsi="宋体" w:cs="宋体"/>
                      <w:b/>
                      <w:bCs/>
                      <w:color w:val="auto"/>
                      <w:kern w:val="0"/>
                    </w:rPr>
                    <w:t>②</w:t>
                  </w:r>
                  <w:r>
                    <w:rPr>
                      <w:b/>
                      <w:bCs/>
                      <w:color w:val="auto"/>
                      <w:kern w:val="0"/>
                    </w:rPr>
                    <w:t>PF（含本次扩建）</w:t>
                  </w:r>
                </w:p>
              </w:tc>
            </w:tr>
            <w:tr w14:paraId="3A84F4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40">
                  <w:pPr>
                    <w:widowControl/>
                    <w:adjustRightInd w:val="0"/>
                    <w:snapToGrid w:val="0"/>
                    <w:jc w:val="center"/>
                    <w:rPr>
                      <w:color w:val="auto"/>
                      <w:kern w:val="0"/>
                    </w:rPr>
                  </w:pPr>
                  <w:r>
                    <w:rPr>
                      <w:color w:val="auto"/>
                      <w:kern w:val="0"/>
                    </w:rPr>
                    <w:t>贴标签</w:t>
                  </w:r>
                </w:p>
              </w:tc>
              <w:tc>
                <w:tcPr>
                  <w:tcW w:w="1245" w:type="pct"/>
                  <w:tcBorders>
                    <w:tl2br w:val="nil"/>
                    <w:tr2bl w:val="nil"/>
                  </w:tcBorders>
                  <w:shd w:val="clear" w:color="auto" w:fill="auto"/>
                  <w:vAlign w:val="center"/>
                </w:tcPr>
                <w:p w14:paraId="3A84F441">
                  <w:pPr>
                    <w:widowControl/>
                    <w:adjustRightInd w:val="0"/>
                    <w:snapToGrid w:val="0"/>
                    <w:jc w:val="center"/>
                    <w:rPr>
                      <w:color w:val="auto"/>
                      <w:kern w:val="0"/>
                    </w:rPr>
                  </w:pPr>
                  <w:r>
                    <w:rPr>
                      <w:color w:val="auto"/>
                      <w:kern w:val="0"/>
                    </w:rPr>
                    <w:t>标签机</w:t>
                  </w:r>
                </w:p>
              </w:tc>
              <w:tc>
                <w:tcPr>
                  <w:tcW w:w="1493" w:type="pct"/>
                  <w:tcBorders>
                    <w:tl2br w:val="nil"/>
                    <w:tr2bl w:val="nil"/>
                  </w:tcBorders>
                  <w:vAlign w:val="center"/>
                </w:tcPr>
                <w:p w14:paraId="3A84F442">
                  <w:pPr>
                    <w:widowControl/>
                    <w:adjustRightInd w:val="0"/>
                    <w:snapToGrid w:val="0"/>
                    <w:jc w:val="center"/>
                    <w:rPr>
                      <w:color w:val="auto"/>
                      <w:kern w:val="0"/>
                    </w:rPr>
                  </w:pPr>
                  <w:r>
                    <w:rPr>
                      <w:color w:val="auto"/>
                      <w:kern w:val="0"/>
                    </w:rPr>
                    <w:t>9797A</w:t>
                  </w:r>
                </w:p>
              </w:tc>
              <w:tc>
                <w:tcPr>
                  <w:tcW w:w="532" w:type="pct"/>
                  <w:tcBorders>
                    <w:tl2br w:val="nil"/>
                    <w:tr2bl w:val="nil"/>
                  </w:tcBorders>
                  <w:shd w:val="clear" w:color="auto" w:fill="auto"/>
                  <w:vAlign w:val="center"/>
                </w:tcPr>
                <w:p w14:paraId="3A84F443">
                  <w:pPr>
                    <w:widowControl/>
                    <w:adjustRightInd w:val="0"/>
                    <w:snapToGrid w:val="0"/>
                    <w:jc w:val="center"/>
                    <w:rPr>
                      <w:color w:val="auto"/>
                      <w:kern w:val="0"/>
                    </w:rPr>
                  </w:pPr>
                  <w:r>
                    <w:rPr>
                      <w:color w:val="auto"/>
                      <w:kern w:val="0"/>
                    </w:rPr>
                    <w:t>5</w:t>
                  </w:r>
                </w:p>
              </w:tc>
              <w:tc>
                <w:tcPr>
                  <w:tcW w:w="532" w:type="pct"/>
                  <w:tcBorders>
                    <w:tl2br w:val="nil"/>
                    <w:tr2bl w:val="nil"/>
                  </w:tcBorders>
                  <w:shd w:val="clear" w:color="auto" w:fill="auto"/>
                  <w:vAlign w:val="center"/>
                </w:tcPr>
                <w:p w14:paraId="3A84F444">
                  <w:pPr>
                    <w:adjustRightInd w:val="0"/>
                    <w:snapToGrid w:val="0"/>
                    <w:jc w:val="center"/>
                    <w:rPr>
                      <w:color w:val="auto"/>
                      <w:kern w:val="0"/>
                    </w:rPr>
                  </w:pPr>
                  <w:r>
                    <w:rPr>
                      <w:color w:val="auto"/>
                      <w:kern w:val="0"/>
                    </w:rPr>
                    <w:t>24</w:t>
                  </w:r>
                </w:p>
              </w:tc>
              <w:tc>
                <w:tcPr>
                  <w:tcW w:w="544" w:type="pct"/>
                  <w:tcBorders>
                    <w:tl2br w:val="nil"/>
                    <w:tr2bl w:val="nil"/>
                  </w:tcBorders>
                  <w:shd w:val="clear" w:color="auto" w:fill="auto"/>
                  <w:vAlign w:val="center"/>
                </w:tcPr>
                <w:p w14:paraId="3A84F445">
                  <w:pPr>
                    <w:adjustRightInd w:val="0"/>
                    <w:snapToGrid w:val="0"/>
                    <w:jc w:val="center"/>
                    <w:rPr>
                      <w:color w:val="auto"/>
                      <w:kern w:val="0"/>
                    </w:rPr>
                  </w:pPr>
                  <w:r>
                    <w:rPr>
                      <w:color w:val="auto"/>
                      <w:kern w:val="0"/>
                    </w:rPr>
                    <w:t>+19</w:t>
                  </w:r>
                </w:p>
              </w:tc>
            </w:tr>
            <w:tr w14:paraId="3A84F4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47">
                  <w:pPr>
                    <w:widowControl/>
                    <w:adjustRightInd w:val="0"/>
                    <w:snapToGrid w:val="0"/>
                    <w:jc w:val="center"/>
                    <w:rPr>
                      <w:color w:val="auto"/>
                      <w:kern w:val="0"/>
                    </w:rPr>
                  </w:pPr>
                  <w:r>
                    <w:rPr>
                      <w:color w:val="auto"/>
                      <w:kern w:val="0"/>
                    </w:rPr>
                    <w:t>点火管压接</w:t>
                  </w:r>
                </w:p>
              </w:tc>
              <w:tc>
                <w:tcPr>
                  <w:tcW w:w="1245" w:type="pct"/>
                  <w:tcBorders>
                    <w:tl2br w:val="nil"/>
                    <w:tr2bl w:val="nil"/>
                  </w:tcBorders>
                  <w:shd w:val="clear" w:color="auto" w:fill="auto"/>
                  <w:vAlign w:val="center"/>
                </w:tcPr>
                <w:p w14:paraId="3A84F448">
                  <w:pPr>
                    <w:widowControl/>
                    <w:adjustRightInd w:val="0"/>
                    <w:snapToGrid w:val="0"/>
                    <w:jc w:val="center"/>
                    <w:rPr>
                      <w:color w:val="auto"/>
                      <w:kern w:val="0"/>
                    </w:rPr>
                  </w:pPr>
                  <w:r>
                    <w:rPr>
                      <w:color w:val="auto"/>
                      <w:kern w:val="0"/>
                    </w:rPr>
                    <w:t>点火管压接</w:t>
                  </w:r>
                </w:p>
              </w:tc>
              <w:tc>
                <w:tcPr>
                  <w:tcW w:w="1493" w:type="pct"/>
                  <w:tcBorders>
                    <w:tl2br w:val="nil"/>
                    <w:tr2bl w:val="nil"/>
                  </w:tcBorders>
                  <w:vAlign w:val="center"/>
                </w:tcPr>
                <w:p w14:paraId="3A84F449">
                  <w:pPr>
                    <w:widowControl/>
                    <w:adjustRightInd w:val="0"/>
                    <w:snapToGrid w:val="0"/>
                    <w:jc w:val="center"/>
                    <w:rPr>
                      <w:color w:val="auto"/>
                      <w:kern w:val="0"/>
                    </w:rPr>
                  </w:pPr>
                  <w:r>
                    <w:rPr>
                      <w:color w:val="auto"/>
                      <w:kern w:val="0"/>
                    </w:rPr>
                    <w:t>9798A</w:t>
                  </w:r>
                </w:p>
              </w:tc>
              <w:tc>
                <w:tcPr>
                  <w:tcW w:w="532" w:type="pct"/>
                  <w:tcBorders>
                    <w:tl2br w:val="nil"/>
                    <w:tr2bl w:val="nil"/>
                  </w:tcBorders>
                  <w:shd w:val="clear" w:color="auto" w:fill="auto"/>
                  <w:vAlign w:val="center"/>
                </w:tcPr>
                <w:p w14:paraId="3A84F44A">
                  <w:pPr>
                    <w:widowControl/>
                    <w:adjustRightInd w:val="0"/>
                    <w:snapToGrid w:val="0"/>
                    <w:jc w:val="center"/>
                    <w:rPr>
                      <w:color w:val="auto"/>
                      <w:kern w:val="0"/>
                    </w:rPr>
                  </w:pPr>
                  <w:r>
                    <w:rPr>
                      <w:color w:val="auto"/>
                      <w:kern w:val="0"/>
                    </w:rPr>
                    <w:t>5</w:t>
                  </w:r>
                </w:p>
              </w:tc>
              <w:tc>
                <w:tcPr>
                  <w:tcW w:w="532" w:type="pct"/>
                  <w:tcBorders>
                    <w:tl2br w:val="nil"/>
                    <w:tr2bl w:val="nil"/>
                  </w:tcBorders>
                  <w:shd w:val="clear" w:color="auto" w:fill="auto"/>
                  <w:vAlign w:val="center"/>
                </w:tcPr>
                <w:p w14:paraId="3A84F44B">
                  <w:pPr>
                    <w:adjustRightInd w:val="0"/>
                    <w:snapToGrid w:val="0"/>
                    <w:jc w:val="center"/>
                    <w:rPr>
                      <w:color w:val="auto"/>
                      <w:kern w:val="0"/>
                    </w:rPr>
                  </w:pPr>
                  <w:r>
                    <w:rPr>
                      <w:color w:val="auto"/>
                      <w:kern w:val="0"/>
                    </w:rPr>
                    <w:t>21</w:t>
                  </w:r>
                </w:p>
              </w:tc>
              <w:tc>
                <w:tcPr>
                  <w:tcW w:w="544" w:type="pct"/>
                  <w:tcBorders>
                    <w:tl2br w:val="nil"/>
                    <w:tr2bl w:val="nil"/>
                  </w:tcBorders>
                  <w:shd w:val="clear" w:color="auto" w:fill="auto"/>
                  <w:vAlign w:val="center"/>
                </w:tcPr>
                <w:p w14:paraId="3A84F44C">
                  <w:pPr>
                    <w:adjustRightInd w:val="0"/>
                    <w:snapToGrid w:val="0"/>
                    <w:jc w:val="center"/>
                    <w:rPr>
                      <w:color w:val="auto"/>
                      <w:kern w:val="0"/>
                    </w:rPr>
                  </w:pPr>
                  <w:r>
                    <w:rPr>
                      <w:color w:val="auto"/>
                      <w:kern w:val="0"/>
                    </w:rPr>
                    <w:t>+16</w:t>
                  </w:r>
                </w:p>
              </w:tc>
            </w:tr>
            <w:tr w14:paraId="3A84F45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4E">
                  <w:pPr>
                    <w:widowControl/>
                    <w:adjustRightInd w:val="0"/>
                    <w:snapToGrid w:val="0"/>
                    <w:jc w:val="center"/>
                    <w:rPr>
                      <w:color w:val="auto"/>
                      <w:kern w:val="0"/>
                    </w:rPr>
                  </w:pPr>
                  <w:r>
                    <w:rPr>
                      <w:color w:val="auto"/>
                      <w:kern w:val="0"/>
                    </w:rPr>
                    <w:t>充药机</w:t>
                  </w:r>
                </w:p>
              </w:tc>
              <w:tc>
                <w:tcPr>
                  <w:tcW w:w="1245" w:type="pct"/>
                  <w:tcBorders>
                    <w:tl2br w:val="nil"/>
                    <w:tr2bl w:val="nil"/>
                  </w:tcBorders>
                  <w:shd w:val="clear" w:color="auto" w:fill="auto"/>
                  <w:vAlign w:val="center"/>
                </w:tcPr>
                <w:p w14:paraId="3A84F44F">
                  <w:pPr>
                    <w:widowControl/>
                    <w:adjustRightInd w:val="0"/>
                    <w:snapToGrid w:val="0"/>
                    <w:jc w:val="center"/>
                    <w:rPr>
                      <w:color w:val="auto"/>
                      <w:kern w:val="0"/>
                    </w:rPr>
                  </w:pPr>
                  <w:r>
                    <w:rPr>
                      <w:color w:val="auto"/>
                      <w:kern w:val="0"/>
                    </w:rPr>
                    <w:t>充药机</w:t>
                  </w:r>
                </w:p>
              </w:tc>
              <w:tc>
                <w:tcPr>
                  <w:tcW w:w="1493" w:type="pct"/>
                  <w:tcBorders>
                    <w:tl2br w:val="nil"/>
                    <w:tr2bl w:val="nil"/>
                  </w:tcBorders>
                  <w:vAlign w:val="center"/>
                </w:tcPr>
                <w:p w14:paraId="3A84F450">
                  <w:pPr>
                    <w:widowControl/>
                    <w:adjustRightInd w:val="0"/>
                    <w:snapToGrid w:val="0"/>
                    <w:jc w:val="center"/>
                    <w:rPr>
                      <w:color w:val="auto"/>
                      <w:kern w:val="0"/>
                    </w:rPr>
                  </w:pPr>
                  <w:r>
                    <w:rPr>
                      <w:color w:val="auto"/>
                      <w:kern w:val="0"/>
                    </w:rPr>
                    <w:t>9576A</w:t>
                  </w:r>
                </w:p>
              </w:tc>
              <w:tc>
                <w:tcPr>
                  <w:tcW w:w="532" w:type="pct"/>
                  <w:tcBorders>
                    <w:tl2br w:val="nil"/>
                    <w:tr2bl w:val="nil"/>
                  </w:tcBorders>
                  <w:shd w:val="clear" w:color="auto" w:fill="auto"/>
                  <w:vAlign w:val="center"/>
                </w:tcPr>
                <w:p w14:paraId="3A84F451">
                  <w:pPr>
                    <w:widowControl/>
                    <w:adjustRightInd w:val="0"/>
                    <w:snapToGrid w:val="0"/>
                    <w:jc w:val="center"/>
                    <w:rPr>
                      <w:color w:val="auto"/>
                      <w:kern w:val="0"/>
                    </w:rPr>
                  </w:pPr>
                  <w:r>
                    <w:rPr>
                      <w:color w:val="auto"/>
                      <w:kern w:val="0"/>
                    </w:rPr>
                    <w:t>8</w:t>
                  </w:r>
                </w:p>
              </w:tc>
              <w:tc>
                <w:tcPr>
                  <w:tcW w:w="532" w:type="pct"/>
                  <w:tcBorders>
                    <w:tl2br w:val="nil"/>
                    <w:tr2bl w:val="nil"/>
                  </w:tcBorders>
                  <w:shd w:val="clear" w:color="auto" w:fill="auto"/>
                  <w:vAlign w:val="center"/>
                </w:tcPr>
                <w:p w14:paraId="3A84F452">
                  <w:pPr>
                    <w:adjustRightInd w:val="0"/>
                    <w:snapToGrid w:val="0"/>
                    <w:jc w:val="center"/>
                    <w:rPr>
                      <w:color w:val="auto"/>
                      <w:kern w:val="0"/>
                    </w:rPr>
                  </w:pPr>
                  <w:r>
                    <w:rPr>
                      <w:color w:val="auto"/>
                      <w:kern w:val="0"/>
                    </w:rPr>
                    <w:t>28</w:t>
                  </w:r>
                </w:p>
              </w:tc>
              <w:tc>
                <w:tcPr>
                  <w:tcW w:w="544" w:type="pct"/>
                  <w:tcBorders>
                    <w:tl2br w:val="nil"/>
                    <w:tr2bl w:val="nil"/>
                  </w:tcBorders>
                  <w:shd w:val="clear" w:color="auto" w:fill="auto"/>
                  <w:vAlign w:val="center"/>
                </w:tcPr>
                <w:p w14:paraId="3A84F453">
                  <w:pPr>
                    <w:adjustRightInd w:val="0"/>
                    <w:snapToGrid w:val="0"/>
                    <w:jc w:val="center"/>
                    <w:rPr>
                      <w:color w:val="auto"/>
                      <w:kern w:val="0"/>
                    </w:rPr>
                  </w:pPr>
                  <w:r>
                    <w:rPr>
                      <w:color w:val="auto"/>
                      <w:kern w:val="0"/>
                    </w:rPr>
                    <w:t>+23</w:t>
                  </w:r>
                </w:p>
              </w:tc>
            </w:tr>
            <w:tr w14:paraId="3A84F45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55">
                  <w:pPr>
                    <w:widowControl/>
                    <w:adjustRightInd w:val="0"/>
                    <w:snapToGrid w:val="0"/>
                    <w:jc w:val="center"/>
                    <w:rPr>
                      <w:color w:val="auto"/>
                      <w:kern w:val="0"/>
                    </w:rPr>
                  </w:pPr>
                  <w:r>
                    <w:rPr>
                      <w:color w:val="auto"/>
                      <w:kern w:val="0"/>
                    </w:rPr>
                    <w:t>惯性焊</w:t>
                  </w:r>
                </w:p>
              </w:tc>
              <w:tc>
                <w:tcPr>
                  <w:tcW w:w="1245" w:type="pct"/>
                  <w:tcBorders>
                    <w:tl2br w:val="nil"/>
                    <w:tr2bl w:val="nil"/>
                  </w:tcBorders>
                  <w:shd w:val="clear" w:color="auto" w:fill="auto"/>
                  <w:vAlign w:val="center"/>
                </w:tcPr>
                <w:p w14:paraId="3A84F456">
                  <w:pPr>
                    <w:widowControl/>
                    <w:adjustRightInd w:val="0"/>
                    <w:snapToGrid w:val="0"/>
                    <w:jc w:val="center"/>
                    <w:rPr>
                      <w:color w:val="auto"/>
                      <w:kern w:val="0"/>
                    </w:rPr>
                  </w:pPr>
                  <w:r>
                    <w:rPr>
                      <w:color w:val="auto"/>
                      <w:kern w:val="0"/>
                    </w:rPr>
                    <w:t>惯性焊</w:t>
                  </w:r>
                </w:p>
              </w:tc>
              <w:tc>
                <w:tcPr>
                  <w:tcW w:w="1493" w:type="pct"/>
                  <w:tcBorders>
                    <w:tl2br w:val="nil"/>
                    <w:tr2bl w:val="nil"/>
                  </w:tcBorders>
                  <w:vAlign w:val="center"/>
                </w:tcPr>
                <w:p w14:paraId="3A84F457">
                  <w:pPr>
                    <w:widowControl/>
                    <w:adjustRightInd w:val="0"/>
                    <w:snapToGrid w:val="0"/>
                    <w:jc w:val="center"/>
                    <w:rPr>
                      <w:color w:val="auto"/>
                      <w:kern w:val="0"/>
                    </w:rPr>
                  </w:pPr>
                  <w:r>
                    <w:rPr>
                      <w:color w:val="auto"/>
                      <w:kern w:val="0"/>
                    </w:rPr>
                    <w:t>9799A</w:t>
                  </w:r>
                </w:p>
              </w:tc>
              <w:tc>
                <w:tcPr>
                  <w:tcW w:w="532" w:type="pct"/>
                  <w:tcBorders>
                    <w:tl2br w:val="nil"/>
                    <w:tr2bl w:val="nil"/>
                  </w:tcBorders>
                  <w:shd w:val="clear" w:color="auto" w:fill="auto"/>
                  <w:vAlign w:val="center"/>
                </w:tcPr>
                <w:p w14:paraId="3A84F458">
                  <w:pPr>
                    <w:widowControl/>
                    <w:adjustRightInd w:val="0"/>
                    <w:snapToGrid w:val="0"/>
                    <w:jc w:val="center"/>
                    <w:rPr>
                      <w:color w:val="auto"/>
                      <w:kern w:val="0"/>
                    </w:rPr>
                  </w:pPr>
                  <w:r>
                    <w:rPr>
                      <w:color w:val="auto"/>
                      <w:kern w:val="0"/>
                    </w:rPr>
                    <w:t>5</w:t>
                  </w:r>
                </w:p>
              </w:tc>
              <w:tc>
                <w:tcPr>
                  <w:tcW w:w="532" w:type="pct"/>
                  <w:tcBorders>
                    <w:tl2br w:val="nil"/>
                    <w:tr2bl w:val="nil"/>
                  </w:tcBorders>
                  <w:shd w:val="clear" w:color="auto" w:fill="auto"/>
                  <w:vAlign w:val="center"/>
                </w:tcPr>
                <w:p w14:paraId="3A84F459">
                  <w:pPr>
                    <w:adjustRightInd w:val="0"/>
                    <w:snapToGrid w:val="0"/>
                    <w:jc w:val="center"/>
                    <w:rPr>
                      <w:color w:val="auto"/>
                      <w:kern w:val="0"/>
                    </w:rPr>
                  </w:pPr>
                  <w:r>
                    <w:rPr>
                      <w:color w:val="auto"/>
                      <w:kern w:val="0"/>
                    </w:rPr>
                    <w:t>24</w:t>
                  </w:r>
                </w:p>
              </w:tc>
              <w:tc>
                <w:tcPr>
                  <w:tcW w:w="544" w:type="pct"/>
                  <w:tcBorders>
                    <w:tl2br w:val="nil"/>
                    <w:tr2bl w:val="nil"/>
                  </w:tcBorders>
                  <w:shd w:val="clear" w:color="auto" w:fill="auto"/>
                  <w:vAlign w:val="center"/>
                </w:tcPr>
                <w:p w14:paraId="3A84F45A">
                  <w:pPr>
                    <w:adjustRightInd w:val="0"/>
                    <w:snapToGrid w:val="0"/>
                    <w:jc w:val="center"/>
                    <w:rPr>
                      <w:color w:val="auto"/>
                      <w:kern w:val="0"/>
                    </w:rPr>
                  </w:pPr>
                  <w:r>
                    <w:rPr>
                      <w:color w:val="auto"/>
                      <w:kern w:val="0"/>
                    </w:rPr>
                    <w:t>+19</w:t>
                  </w:r>
                </w:p>
              </w:tc>
            </w:tr>
            <w:tr w14:paraId="3A84F46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5C">
                  <w:pPr>
                    <w:widowControl/>
                    <w:adjustRightInd w:val="0"/>
                    <w:snapToGrid w:val="0"/>
                    <w:jc w:val="center"/>
                    <w:rPr>
                      <w:color w:val="auto"/>
                      <w:kern w:val="0"/>
                    </w:rPr>
                  </w:pPr>
                  <w:r>
                    <w:rPr>
                      <w:color w:val="auto"/>
                      <w:kern w:val="0"/>
                    </w:rPr>
                    <w:t>气密</w:t>
                  </w:r>
                </w:p>
              </w:tc>
              <w:tc>
                <w:tcPr>
                  <w:tcW w:w="1245" w:type="pct"/>
                  <w:tcBorders>
                    <w:tl2br w:val="nil"/>
                    <w:tr2bl w:val="nil"/>
                  </w:tcBorders>
                  <w:shd w:val="clear" w:color="auto" w:fill="auto"/>
                  <w:vAlign w:val="center"/>
                </w:tcPr>
                <w:p w14:paraId="3A84F45D">
                  <w:pPr>
                    <w:widowControl/>
                    <w:adjustRightInd w:val="0"/>
                    <w:snapToGrid w:val="0"/>
                    <w:jc w:val="center"/>
                    <w:rPr>
                      <w:color w:val="auto"/>
                      <w:kern w:val="0"/>
                    </w:rPr>
                  </w:pPr>
                  <w:r>
                    <w:rPr>
                      <w:color w:val="auto"/>
                      <w:kern w:val="0"/>
                    </w:rPr>
                    <w:t>气密</w:t>
                  </w:r>
                </w:p>
              </w:tc>
              <w:tc>
                <w:tcPr>
                  <w:tcW w:w="1493" w:type="pct"/>
                  <w:tcBorders>
                    <w:tl2br w:val="nil"/>
                    <w:tr2bl w:val="nil"/>
                  </w:tcBorders>
                  <w:vAlign w:val="center"/>
                </w:tcPr>
                <w:p w14:paraId="3A84F45E">
                  <w:pPr>
                    <w:widowControl/>
                    <w:adjustRightInd w:val="0"/>
                    <w:snapToGrid w:val="0"/>
                    <w:jc w:val="center"/>
                    <w:rPr>
                      <w:color w:val="auto"/>
                      <w:kern w:val="0"/>
                    </w:rPr>
                  </w:pPr>
                  <w:r>
                    <w:rPr>
                      <w:color w:val="auto"/>
                      <w:kern w:val="0"/>
                    </w:rPr>
                    <w:t>9800A</w:t>
                  </w:r>
                </w:p>
              </w:tc>
              <w:tc>
                <w:tcPr>
                  <w:tcW w:w="532" w:type="pct"/>
                  <w:tcBorders>
                    <w:tl2br w:val="nil"/>
                    <w:tr2bl w:val="nil"/>
                  </w:tcBorders>
                  <w:shd w:val="clear" w:color="auto" w:fill="auto"/>
                  <w:vAlign w:val="center"/>
                </w:tcPr>
                <w:p w14:paraId="3A84F45F">
                  <w:pPr>
                    <w:widowControl/>
                    <w:adjustRightInd w:val="0"/>
                    <w:snapToGrid w:val="0"/>
                    <w:jc w:val="center"/>
                    <w:rPr>
                      <w:color w:val="auto"/>
                      <w:kern w:val="0"/>
                    </w:rPr>
                  </w:pPr>
                  <w:r>
                    <w:rPr>
                      <w:color w:val="auto"/>
                      <w:kern w:val="0"/>
                    </w:rPr>
                    <w:t>5</w:t>
                  </w:r>
                </w:p>
              </w:tc>
              <w:tc>
                <w:tcPr>
                  <w:tcW w:w="532" w:type="pct"/>
                  <w:tcBorders>
                    <w:tl2br w:val="nil"/>
                    <w:tr2bl w:val="nil"/>
                  </w:tcBorders>
                  <w:shd w:val="clear" w:color="auto" w:fill="auto"/>
                  <w:vAlign w:val="center"/>
                </w:tcPr>
                <w:p w14:paraId="3A84F460">
                  <w:pPr>
                    <w:adjustRightInd w:val="0"/>
                    <w:snapToGrid w:val="0"/>
                    <w:jc w:val="center"/>
                    <w:rPr>
                      <w:color w:val="auto"/>
                      <w:kern w:val="0"/>
                    </w:rPr>
                  </w:pPr>
                  <w:r>
                    <w:rPr>
                      <w:color w:val="auto"/>
                      <w:kern w:val="0"/>
                    </w:rPr>
                    <w:t>24</w:t>
                  </w:r>
                </w:p>
              </w:tc>
              <w:tc>
                <w:tcPr>
                  <w:tcW w:w="544" w:type="pct"/>
                  <w:tcBorders>
                    <w:tl2br w:val="nil"/>
                    <w:tr2bl w:val="nil"/>
                  </w:tcBorders>
                  <w:shd w:val="clear" w:color="auto" w:fill="auto"/>
                  <w:vAlign w:val="center"/>
                </w:tcPr>
                <w:p w14:paraId="3A84F461">
                  <w:pPr>
                    <w:adjustRightInd w:val="0"/>
                    <w:snapToGrid w:val="0"/>
                    <w:jc w:val="center"/>
                    <w:rPr>
                      <w:color w:val="auto"/>
                      <w:kern w:val="0"/>
                    </w:rPr>
                  </w:pPr>
                  <w:r>
                    <w:rPr>
                      <w:color w:val="auto"/>
                      <w:kern w:val="0"/>
                    </w:rPr>
                    <w:t>+19</w:t>
                  </w:r>
                </w:p>
              </w:tc>
            </w:tr>
            <w:tr w14:paraId="3A84F46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63">
                  <w:pPr>
                    <w:widowControl/>
                    <w:adjustRightInd w:val="0"/>
                    <w:snapToGrid w:val="0"/>
                    <w:jc w:val="center"/>
                    <w:rPr>
                      <w:color w:val="auto"/>
                      <w:kern w:val="0"/>
                    </w:rPr>
                  </w:pPr>
                  <w:r>
                    <w:rPr>
                      <w:color w:val="auto"/>
                      <w:kern w:val="0"/>
                    </w:rPr>
                    <w:t>贴警示标签</w:t>
                  </w:r>
                </w:p>
              </w:tc>
              <w:tc>
                <w:tcPr>
                  <w:tcW w:w="1245" w:type="pct"/>
                  <w:tcBorders>
                    <w:tl2br w:val="nil"/>
                    <w:tr2bl w:val="nil"/>
                  </w:tcBorders>
                  <w:shd w:val="clear" w:color="auto" w:fill="auto"/>
                  <w:vAlign w:val="center"/>
                </w:tcPr>
                <w:p w14:paraId="3A84F464">
                  <w:pPr>
                    <w:widowControl/>
                    <w:adjustRightInd w:val="0"/>
                    <w:snapToGrid w:val="0"/>
                    <w:jc w:val="center"/>
                    <w:rPr>
                      <w:color w:val="auto"/>
                      <w:kern w:val="0"/>
                    </w:rPr>
                  </w:pPr>
                  <w:r>
                    <w:rPr>
                      <w:color w:val="auto"/>
                      <w:kern w:val="0"/>
                    </w:rPr>
                    <w:t>警示标签机</w:t>
                  </w:r>
                </w:p>
              </w:tc>
              <w:tc>
                <w:tcPr>
                  <w:tcW w:w="1493" w:type="pct"/>
                  <w:tcBorders>
                    <w:tl2br w:val="nil"/>
                    <w:tr2bl w:val="nil"/>
                  </w:tcBorders>
                  <w:vAlign w:val="center"/>
                </w:tcPr>
                <w:p w14:paraId="3A84F465">
                  <w:pPr>
                    <w:widowControl/>
                    <w:adjustRightInd w:val="0"/>
                    <w:snapToGrid w:val="0"/>
                    <w:jc w:val="center"/>
                    <w:rPr>
                      <w:color w:val="auto"/>
                      <w:kern w:val="0"/>
                    </w:rPr>
                  </w:pPr>
                  <w:r>
                    <w:rPr>
                      <w:color w:val="auto"/>
                      <w:kern w:val="0"/>
                    </w:rPr>
                    <w:t>9801A</w:t>
                  </w:r>
                </w:p>
              </w:tc>
              <w:tc>
                <w:tcPr>
                  <w:tcW w:w="532" w:type="pct"/>
                  <w:tcBorders>
                    <w:tl2br w:val="nil"/>
                    <w:tr2bl w:val="nil"/>
                  </w:tcBorders>
                  <w:shd w:val="clear" w:color="auto" w:fill="auto"/>
                  <w:vAlign w:val="center"/>
                </w:tcPr>
                <w:p w14:paraId="3A84F466">
                  <w:pPr>
                    <w:widowControl/>
                    <w:adjustRightInd w:val="0"/>
                    <w:snapToGrid w:val="0"/>
                    <w:jc w:val="center"/>
                    <w:rPr>
                      <w:color w:val="auto"/>
                      <w:kern w:val="0"/>
                    </w:rPr>
                  </w:pPr>
                  <w:r>
                    <w:rPr>
                      <w:color w:val="auto"/>
                      <w:kern w:val="0"/>
                    </w:rPr>
                    <w:t>5</w:t>
                  </w:r>
                </w:p>
              </w:tc>
              <w:tc>
                <w:tcPr>
                  <w:tcW w:w="532" w:type="pct"/>
                  <w:tcBorders>
                    <w:tl2br w:val="nil"/>
                    <w:tr2bl w:val="nil"/>
                  </w:tcBorders>
                  <w:shd w:val="clear" w:color="auto" w:fill="auto"/>
                  <w:vAlign w:val="center"/>
                </w:tcPr>
                <w:p w14:paraId="3A84F467">
                  <w:pPr>
                    <w:adjustRightInd w:val="0"/>
                    <w:snapToGrid w:val="0"/>
                    <w:jc w:val="center"/>
                    <w:rPr>
                      <w:color w:val="auto"/>
                      <w:kern w:val="0"/>
                    </w:rPr>
                  </w:pPr>
                  <w:r>
                    <w:rPr>
                      <w:color w:val="auto"/>
                      <w:kern w:val="0"/>
                    </w:rPr>
                    <w:t>24</w:t>
                  </w:r>
                </w:p>
              </w:tc>
              <w:tc>
                <w:tcPr>
                  <w:tcW w:w="544" w:type="pct"/>
                  <w:tcBorders>
                    <w:tl2br w:val="nil"/>
                    <w:tr2bl w:val="nil"/>
                  </w:tcBorders>
                  <w:shd w:val="clear" w:color="auto" w:fill="auto"/>
                  <w:vAlign w:val="center"/>
                </w:tcPr>
                <w:p w14:paraId="3A84F468">
                  <w:pPr>
                    <w:adjustRightInd w:val="0"/>
                    <w:snapToGrid w:val="0"/>
                    <w:jc w:val="center"/>
                    <w:rPr>
                      <w:color w:val="auto"/>
                      <w:kern w:val="0"/>
                    </w:rPr>
                  </w:pPr>
                  <w:r>
                    <w:rPr>
                      <w:color w:val="auto"/>
                      <w:kern w:val="0"/>
                    </w:rPr>
                    <w:t>+19</w:t>
                  </w:r>
                </w:p>
              </w:tc>
            </w:tr>
            <w:tr w14:paraId="3A84F4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6A">
                  <w:pPr>
                    <w:widowControl/>
                    <w:adjustRightInd w:val="0"/>
                    <w:snapToGrid w:val="0"/>
                    <w:jc w:val="center"/>
                    <w:rPr>
                      <w:color w:val="auto"/>
                      <w:kern w:val="0"/>
                    </w:rPr>
                  </w:pPr>
                  <w:r>
                    <w:rPr>
                      <w:color w:val="auto"/>
                      <w:kern w:val="0"/>
                    </w:rPr>
                    <w:t>电子检测</w:t>
                  </w:r>
                </w:p>
              </w:tc>
              <w:tc>
                <w:tcPr>
                  <w:tcW w:w="1245" w:type="pct"/>
                  <w:tcBorders>
                    <w:tl2br w:val="nil"/>
                    <w:tr2bl w:val="nil"/>
                  </w:tcBorders>
                  <w:shd w:val="clear" w:color="auto" w:fill="auto"/>
                  <w:vAlign w:val="center"/>
                </w:tcPr>
                <w:p w14:paraId="3A84F46B">
                  <w:pPr>
                    <w:widowControl/>
                    <w:adjustRightInd w:val="0"/>
                    <w:snapToGrid w:val="0"/>
                    <w:jc w:val="center"/>
                    <w:rPr>
                      <w:color w:val="auto"/>
                      <w:kern w:val="0"/>
                    </w:rPr>
                  </w:pPr>
                  <w:r>
                    <w:rPr>
                      <w:color w:val="auto"/>
                      <w:kern w:val="0"/>
                    </w:rPr>
                    <w:t>电子检测</w:t>
                  </w:r>
                </w:p>
              </w:tc>
              <w:tc>
                <w:tcPr>
                  <w:tcW w:w="1493" w:type="pct"/>
                  <w:tcBorders>
                    <w:tl2br w:val="nil"/>
                    <w:tr2bl w:val="nil"/>
                  </w:tcBorders>
                  <w:vAlign w:val="center"/>
                </w:tcPr>
                <w:p w14:paraId="3A84F46C">
                  <w:pPr>
                    <w:widowControl/>
                    <w:adjustRightInd w:val="0"/>
                    <w:snapToGrid w:val="0"/>
                    <w:jc w:val="center"/>
                    <w:rPr>
                      <w:color w:val="auto"/>
                      <w:kern w:val="0"/>
                    </w:rPr>
                  </w:pPr>
                  <w:r>
                    <w:rPr>
                      <w:color w:val="auto"/>
                      <w:kern w:val="0"/>
                    </w:rPr>
                    <w:t>9802A</w:t>
                  </w:r>
                </w:p>
              </w:tc>
              <w:tc>
                <w:tcPr>
                  <w:tcW w:w="532" w:type="pct"/>
                  <w:tcBorders>
                    <w:tl2br w:val="nil"/>
                    <w:tr2bl w:val="nil"/>
                  </w:tcBorders>
                  <w:shd w:val="clear" w:color="auto" w:fill="auto"/>
                  <w:vAlign w:val="center"/>
                </w:tcPr>
                <w:p w14:paraId="3A84F46D">
                  <w:pPr>
                    <w:widowControl/>
                    <w:adjustRightInd w:val="0"/>
                    <w:snapToGrid w:val="0"/>
                    <w:jc w:val="center"/>
                    <w:rPr>
                      <w:color w:val="auto"/>
                      <w:kern w:val="0"/>
                    </w:rPr>
                  </w:pPr>
                  <w:r>
                    <w:rPr>
                      <w:color w:val="auto"/>
                      <w:kern w:val="0"/>
                    </w:rPr>
                    <w:t>5</w:t>
                  </w:r>
                </w:p>
              </w:tc>
              <w:tc>
                <w:tcPr>
                  <w:tcW w:w="532" w:type="pct"/>
                  <w:tcBorders>
                    <w:tl2br w:val="nil"/>
                    <w:tr2bl w:val="nil"/>
                  </w:tcBorders>
                  <w:shd w:val="clear" w:color="auto" w:fill="auto"/>
                  <w:vAlign w:val="center"/>
                </w:tcPr>
                <w:p w14:paraId="3A84F46E">
                  <w:pPr>
                    <w:adjustRightInd w:val="0"/>
                    <w:snapToGrid w:val="0"/>
                    <w:jc w:val="center"/>
                    <w:rPr>
                      <w:color w:val="auto"/>
                      <w:kern w:val="0"/>
                    </w:rPr>
                  </w:pPr>
                  <w:r>
                    <w:rPr>
                      <w:color w:val="auto"/>
                      <w:kern w:val="0"/>
                    </w:rPr>
                    <w:t>21</w:t>
                  </w:r>
                </w:p>
              </w:tc>
              <w:tc>
                <w:tcPr>
                  <w:tcW w:w="544" w:type="pct"/>
                  <w:tcBorders>
                    <w:tl2br w:val="nil"/>
                    <w:tr2bl w:val="nil"/>
                  </w:tcBorders>
                  <w:shd w:val="clear" w:color="auto" w:fill="auto"/>
                  <w:vAlign w:val="center"/>
                </w:tcPr>
                <w:p w14:paraId="3A84F46F">
                  <w:pPr>
                    <w:adjustRightInd w:val="0"/>
                    <w:snapToGrid w:val="0"/>
                    <w:jc w:val="center"/>
                    <w:rPr>
                      <w:color w:val="auto"/>
                      <w:kern w:val="0"/>
                    </w:rPr>
                  </w:pPr>
                  <w:r>
                    <w:rPr>
                      <w:color w:val="auto"/>
                      <w:kern w:val="0"/>
                    </w:rPr>
                    <w:t>+16</w:t>
                  </w:r>
                </w:p>
              </w:tc>
            </w:tr>
            <w:tr w14:paraId="3A84F47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6"/>
                  <w:tcBorders>
                    <w:tl2br w:val="nil"/>
                    <w:tr2bl w:val="nil"/>
                  </w:tcBorders>
                  <w:shd w:val="clear" w:color="auto" w:fill="auto"/>
                  <w:vAlign w:val="center"/>
                </w:tcPr>
                <w:p w14:paraId="3A84F471">
                  <w:pPr>
                    <w:adjustRightInd w:val="0"/>
                    <w:snapToGrid w:val="0"/>
                    <w:jc w:val="center"/>
                    <w:rPr>
                      <w:color w:val="auto"/>
                      <w:kern w:val="0"/>
                    </w:rPr>
                  </w:pPr>
                  <w:r>
                    <w:rPr>
                      <w:rFonts w:hint="eastAsia" w:ascii="宋体" w:hAnsi="宋体" w:cs="宋体"/>
                      <w:b/>
                      <w:bCs/>
                      <w:color w:val="auto"/>
                      <w:kern w:val="0"/>
                    </w:rPr>
                    <w:t>③</w:t>
                  </w:r>
                  <w:r>
                    <w:rPr>
                      <w:b/>
                      <w:bCs/>
                      <w:color w:val="auto"/>
                      <w:kern w:val="0"/>
                    </w:rPr>
                    <w:t>PS</w:t>
                  </w:r>
                </w:p>
              </w:tc>
            </w:tr>
            <w:tr w14:paraId="3A84F47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73">
                  <w:pPr>
                    <w:widowControl/>
                    <w:adjustRightInd w:val="0"/>
                    <w:snapToGrid w:val="0"/>
                    <w:jc w:val="center"/>
                    <w:rPr>
                      <w:color w:val="auto"/>
                      <w:kern w:val="0"/>
                    </w:rPr>
                  </w:pPr>
                  <w:r>
                    <w:rPr>
                      <w:color w:val="auto"/>
                      <w:kern w:val="0"/>
                    </w:rPr>
                    <w:t>贴标签</w:t>
                  </w:r>
                </w:p>
              </w:tc>
              <w:tc>
                <w:tcPr>
                  <w:tcW w:w="1245" w:type="pct"/>
                  <w:tcBorders>
                    <w:tl2br w:val="nil"/>
                    <w:tr2bl w:val="nil"/>
                  </w:tcBorders>
                  <w:shd w:val="clear" w:color="auto" w:fill="auto"/>
                  <w:vAlign w:val="center"/>
                </w:tcPr>
                <w:p w14:paraId="3A84F474">
                  <w:pPr>
                    <w:widowControl/>
                    <w:adjustRightInd w:val="0"/>
                    <w:snapToGrid w:val="0"/>
                    <w:jc w:val="center"/>
                    <w:rPr>
                      <w:color w:val="auto"/>
                      <w:kern w:val="0"/>
                    </w:rPr>
                  </w:pPr>
                  <w:r>
                    <w:rPr>
                      <w:color w:val="auto"/>
                      <w:kern w:val="0"/>
                    </w:rPr>
                    <w:t>标签机</w:t>
                  </w:r>
                </w:p>
              </w:tc>
              <w:tc>
                <w:tcPr>
                  <w:tcW w:w="1493" w:type="pct"/>
                  <w:tcBorders>
                    <w:tl2br w:val="nil"/>
                    <w:tr2bl w:val="nil"/>
                  </w:tcBorders>
                  <w:vAlign w:val="center"/>
                </w:tcPr>
                <w:p w14:paraId="3A84F475">
                  <w:pPr>
                    <w:widowControl/>
                    <w:adjustRightInd w:val="0"/>
                    <w:snapToGrid w:val="0"/>
                    <w:jc w:val="center"/>
                    <w:rPr>
                      <w:color w:val="auto"/>
                      <w:kern w:val="0"/>
                    </w:rPr>
                  </w:pPr>
                  <w:r>
                    <w:rPr>
                      <w:color w:val="auto"/>
                      <w:kern w:val="0"/>
                    </w:rPr>
                    <w:t>SATO LR4820</w:t>
                  </w:r>
                </w:p>
              </w:tc>
              <w:tc>
                <w:tcPr>
                  <w:tcW w:w="532" w:type="pct"/>
                  <w:tcBorders>
                    <w:tl2br w:val="nil"/>
                    <w:tr2bl w:val="nil"/>
                  </w:tcBorders>
                  <w:shd w:val="clear" w:color="auto" w:fill="auto"/>
                  <w:vAlign w:val="center"/>
                </w:tcPr>
                <w:p w14:paraId="3A84F476">
                  <w:pPr>
                    <w:widowControl/>
                    <w:adjustRightInd w:val="0"/>
                    <w:snapToGrid w:val="0"/>
                    <w:jc w:val="center"/>
                    <w:rPr>
                      <w:color w:val="auto"/>
                      <w:kern w:val="0"/>
                    </w:rPr>
                  </w:pPr>
                  <w:r>
                    <w:rPr>
                      <w:color w:val="auto"/>
                      <w:kern w:val="0"/>
                    </w:rPr>
                    <w:t>5</w:t>
                  </w:r>
                </w:p>
              </w:tc>
              <w:tc>
                <w:tcPr>
                  <w:tcW w:w="532" w:type="pct"/>
                  <w:tcBorders>
                    <w:tl2br w:val="nil"/>
                    <w:tr2bl w:val="nil"/>
                  </w:tcBorders>
                  <w:shd w:val="clear" w:color="auto" w:fill="auto"/>
                  <w:vAlign w:val="center"/>
                </w:tcPr>
                <w:p w14:paraId="3A84F477">
                  <w:pPr>
                    <w:widowControl/>
                    <w:adjustRightInd w:val="0"/>
                    <w:snapToGrid w:val="0"/>
                    <w:jc w:val="center"/>
                    <w:rPr>
                      <w:color w:val="auto"/>
                      <w:kern w:val="0"/>
                    </w:rPr>
                  </w:pPr>
                  <w:r>
                    <w:rPr>
                      <w:color w:val="auto"/>
                      <w:kern w:val="0"/>
                    </w:rPr>
                    <w:t>5</w:t>
                  </w:r>
                </w:p>
              </w:tc>
              <w:tc>
                <w:tcPr>
                  <w:tcW w:w="544" w:type="pct"/>
                  <w:tcBorders>
                    <w:tl2br w:val="nil"/>
                    <w:tr2bl w:val="nil"/>
                  </w:tcBorders>
                  <w:shd w:val="clear" w:color="auto" w:fill="auto"/>
                  <w:vAlign w:val="center"/>
                </w:tcPr>
                <w:p w14:paraId="3A84F478">
                  <w:pPr>
                    <w:adjustRightInd w:val="0"/>
                    <w:snapToGrid w:val="0"/>
                    <w:jc w:val="center"/>
                    <w:rPr>
                      <w:color w:val="auto"/>
                      <w:kern w:val="0"/>
                    </w:rPr>
                  </w:pPr>
                  <w:r>
                    <w:rPr>
                      <w:color w:val="auto"/>
                      <w:kern w:val="0"/>
                    </w:rPr>
                    <w:t>0</w:t>
                  </w:r>
                </w:p>
              </w:tc>
            </w:tr>
            <w:tr w14:paraId="3A84F4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7A">
                  <w:pPr>
                    <w:widowControl/>
                    <w:adjustRightInd w:val="0"/>
                    <w:snapToGrid w:val="0"/>
                    <w:jc w:val="center"/>
                    <w:rPr>
                      <w:color w:val="auto"/>
                      <w:kern w:val="0"/>
                    </w:rPr>
                  </w:pPr>
                  <w:r>
                    <w:rPr>
                      <w:color w:val="auto"/>
                      <w:kern w:val="0"/>
                    </w:rPr>
                    <w:t>Ofifice压接</w:t>
                  </w:r>
                </w:p>
              </w:tc>
              <w:tc>
                <w:tcPr>
                  <w:tcW w:w="1245" w:type="pct"/>
                  <w:tcBorders>
                    <w:tl2br w:val="nil"/>
                    <w:tr2bl w:val="nil"/>
                  </w:tcBorders>
                  <w:shd w:val="clear" w:color="auto" w:fill="auto"/>
                  <w:vAlign w:val="center"/>
                </w:tcPr>
                <w:p w14:paraId="3A84F47B">
                  <w:pPr>
                    <w:widowControl/>
                    <w:adjustRightInd w:val="0"/>
                    <w:snapToGrid w:val="0"/>
                    <w:jc w:val="center"/>
                    <w:rPr>
                      <w:color w:val="auto"/>
                      <w:kern w:val="0"/>
                    </w:rPr>
                  </w:pPr>
                  <w:r>
                    <w:rPr>
                      <w:color w:val="auto"/>
                      <w:kern w:val="0"/>
                    </w:rPr>
                    <w:t>Ofifice压接</w:t>
                  </w:r>
                </w:p>
              </w:tc>
              <w:tc>
                <w:tcPr>
                  <w:tcW w:w="1493" w:type="pct"/>
                  <w:tcBorders>
                    <w:tl2br w:val="nil"/>
                    <w:tr2bl w:val="nil"/>
                  </w:tcBorders>
                  <w:vAlign w:val="center"/>
                </w:tcPr>
                <w:p w14:paraId="3A84F47C">
                  <w:pPr>
                    <w:widowControl/>
                    <w:adjustRightInd w:val="0"/>
                    <w:snapToGrid w:val="0"/>
                    <w:jc w:val="center"/>
                    <w:rPr>
                      <w:color w:val="auto"/>
                      <w:kern w:val="0"/>
                    </w:rPr>
                  </w:pPr>
                  <w:r>
                    <w:rPr>
                      <w:color w:val="auto"/>
                      <w:kern w:val="0"/>
                    </w:rPr>
                    <w:t>702874K20</w:t>
                  </w:r>
                </w:p>
              </w:tc>
              <w:tc>
                <w:tcPr>
                  <w:tcW w:w="532" w:type="pct"/>
                  <w:tcBorders>
                    <w:tl2br w:val="nil"/>
                    <w:tr2bl w:val="nil"/>
                  </w:tcBorders>
                  <w:shd w:val="clear" w:color="auto" w:fill="auto"/>
                  <w:vAlign w:val="center"/>
                </w:tcPr>
                <w:p w14:paraId="3A84F47D">
                  <w:pPr>
                    <w:widowControl/>
                    <w:adjustRightInd w:val="0"/>
                    <w:snapToGrid w:val="0"/>
                    <w:jc w:val="center"/>
                    <w:rPr>
                      <w:color w:val="auto"/>
                      <w:kern w:val="0"/>
                    </w:rPr>
                  </w:pPr>
                  <w:r>
                    <w:rPr>
                      <w:color w:val="auto"/>
                      <w:kern w:val="0"/>
                    </w:rPr>
                    <w:t>5</w:t>
                  </w:r>
                </w:p>
              </w:tc>
              <w:tc>
                <w:tcPr>
                  <w:tcW w:w="532" w:type="pct"/>
                  <w:tcBorders>
                    <w:tl2br w:val="nil"/>
                    <w:tr2bl w:val="nil"/>
                  </w:tcBorders>
                  <w:shd w:val="clear" w:color="auto" w:fill="auto"/>
                  <w:vAlign w:val="center"/>
                </w:tcPr>
                <w:p w14:paraId="3A84F47E">
                  <w:pPr>
                    <w:widowControl/>
                    <w:adjustRightInd w:val="0"/>
                    <w:snapToGrid w:val="0"/>
                    <w:jc w:val="center"/>
                    <w:rPr>
                      <w:color w:val="auto"/>
                      <w:kern w:val="0"/>
                    </w:rPr>
                  </w:pPr>
                  <w:r>
                    <w:rPr>
                      <w:color w:val="auto"/>
                      <w:kern w:val="0"/>
                    </w:rPr>
                    <w:t>5</w:t>
                  </w:r>
                </w:p>
              </w:tc>
              <w:tc>
                <w:tcPr>
                  <w:tcW w:w="544" w:type="pct"/>
                  <w:tcBorders>
                    <w:tl2br w:val="nil"/>
                    <w:tr2bl w:val="nil"/>
                  </w:tcBorders>
                  <w:shd w:val="clear" w:color="auto" w:fill="auto"/>
                  <w:vAlign w:val="center"/>
                </w:tcPr>
                <w:p w14:paraId="3A84F47F">
                  <w:pPr>
                    <w:adjustRightInd w:val="0"/>
                    <w:snapToGrid w:val="0"/>
                    <w:jc w:val="center"/>
                    <w:rPr>
                      <w:color w:val="auto"/>
                      <w:kern w:val="0"/>
                    </w:rPr>
                  </w:pPr>
                  <w:r>
                    <w:rPr>
                      <w:color w:val="auto"/>
                      <w:kern w:val="0"/>
                    </w:rPr>
                    <w:t>0</w:t>
                  </w:r>
                </w:p>
              </w:tc>
            </w:tr>
            <w:tr w14:paraId="3A84F48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81">
                  <w:pPr>
                    <w:widowControl/>
                    <w:adjustRightInd w:val="0"/>
                    <w:snapToGrid w:val="0"/>
                    <w:jc w:val="center"/>
                    <w:rPr>
                      <w:color w:val="auto"/>
                      <w:kern w:val="0"/>
                    </w:rPr>
                  </w:pPr>
                  <w:r>
                    <w:rPr>
                      <w:color w:val="auto"/>
                      <w:kern w:val="0"/>
                    </w:rPr>
                    <w:t>螺钉焊</w:t>
                  </w:r>
                </w:p>
              </w:tc>
              <w:tc>
                <w:tcPr>
                  <w:tcW w:w="1245" w:type="pct"/>
                  <w:tcBorders>
                    <w:tl2br w:val="nil"/>
                    <w:tr2bl w:val="nil"/>
                  </w:tcBorders>
                  <w:shd w:val="clear" w:color="auto" w:fill="auto"/>
                  <w:vAlign w:val="center"/>
                </w:tcPr>
                <w:p w14:paraId="3A84F482">
                  <w:pPr>
                    <w:widowControl/>
                    <w:adjustRightInd w:val="0"/>
                    <w:snapToGrid w:val="0"/>
                    <w:jc w:val="center"/>
                    <w:rPr>
                      <w:color w:val="auto"/>
                      <w:kern w:val="0"/>
                    </w:rPr>
                  </w:pPr>
                  <w:r>
                    <w:rPr>
                      <w:color w:val="auto"/>
                      <w:kern w:val="0"/>
                    </w:rPr>
                    <w:t>螺钉焊</w:t>
                  </w:r>
                </w:p>
              </w:tc>
              <w:tc>
                <w:tcPr>
                  <w:tcW w:w="1493" w:type="pct"/>
                  <w:tcBorders>
                    <w:tl2br w:val="nil"/>
                    <w:tr2bl w:val="nil"/>
                  </w:tcBorders>
                  <w:vAlign w:val="center"/>
                </w:tcPr>
                <w:p w14:paraId="3A84F483">
                  <w:pPr>
                    <w:widowControl/>
                    <w:adjustRightInd w:val="0"/>
                    <w:snapToGrid w:val="0"/>
                    <w:jc w:val="center"/>
                    <w:rPr>
                      <w:color w:val="auto"/>
                      <w:kern w:val="0"/>
                    </w:rPr>
                  </w:pPr>
                  <w:r>
                    <w:rPr>
                      <w:color w:val="auto"/>
                      <w:kern w:val="0"/>
                    </w:rPr>
                    <w:t>Nelson-N4</w:t>
                  </w:r>
                </w:p>
              </w:tc>
              <w:tc>
                <w:tcPr>
                  <w:tcW w:w="532" w:type="pct"/>
                  <w:tcBorders>
                    <w:tl2br w:val="nil"/>
                    <w:tr2bl w:val="nil"/>
                  </w:tcBorders>
                  <w:shd w:val="clear" w:color="auto" w:fill="auto"/>
                  <w:vAlign w:val="center"/>
                </w:tcPr>
                <w:p w14:paraId="3A84F484">
                  <w:pPr>
                    <w:widowControl/>
                    <w:adjustRightInd w:val="0"/>
                    <w:snapToGrid w:val="0"/>
                    <w:jc w:val="center"/>
                    <w:rPr>
                      <w:color w:val="auto"/>
                      <w:kern w:val="0"/>
                    </w:rPr>
                  </w:pPr>
                  <w:r>
                    <w:rPr>
                      <w:color w:val="auto"/>
                      <w:kern w:val="0"/>
                    </w:rPr>
                    <w:t>5</w:t>
                  </w:r>
                </w:p>
              </w:tc>
              <w:tc>
                <w:tcPr>
                  <w:tcW w:w="532" w:type="pct"/>
                  <w:tcBorders>
                    <w:tl2br w:val="nil"/>
                    <w:tr2bl w:val="nil"/>
                  </w:tcBorders>
                  <w:shd w:val="clear" w:color="auto" w:fill="auto"/>
                  <w:vAlign w:val="center"/>
                </w:tcPr>
                <w:p w14:paraId="3A84F485">
                  <w:pPr>
                    <w:widowControl/>
                    <w:adjustRightInd w:val="0"/>
                    <w:snapToGrid w:val="0"/>
                    <w:jc w:val="center"/>
                    <w:rPr>
                      <w:color w:val="auto"/>
                      <w:kern w:val="0"/>
                    </w:rPr>
                  </w:pPr>
                  <w:r>
                    <w:rPr>
                      <w:color w:val="auto"/>
                      <w:kern w:val="0"/>
                    </w:rPr>
                    <w:t>5</w:t>
                  </w:r>
                </w:p>
              </w:tc>
              <w:tc>
                <w:tcPr>
                  <w:tcW w:w="544" w:type="pct"/>
                  <w:tcBorders>
                    <w:tl2br w:val="nil"/>
                    <w:tr2bl w:val="nil"/>
                  </w:tcBorders>
                  <w:shd w:val="clear" w:color="auto" w:fill="auto"/>
                  <w:vAlign w:val="center"/>
                </w:tcPr>
                <w:p w14:paraId="3A84F486">
                  <w:pPr>
                    <w:adjustRightInd w:val="0"/>
                    <w:snapToGrid w:val="0"/>
                    <w:jc w:val="center"/>
                    <w:rPr>
                      <w:color w:val="auto"/>
                      <w:kern w:val="0"/>
                    </w:rPr>
                  </w:pPr>
                  <w:r>
                    <w:rPr>
                      <w:color w:val="auto"/>
                      <w:kern w:val="0"/>
                    </w:rPr>
                    <w:t>0</w:t>
                  </w:r>
                </w:p>
              </w:tc>
            </w:tr>
            <w:tr w14:paraId="3A84F4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88">
                  <w:pPr>
                    <w:widowControl/>
                    <w:adjustRightInd w:val="0"/>
                    <w:snapToGrid w:val="0"/>
                    <w:jc w:val="center"/>
                    <w:rPr>
                      <w:color w:val="auto"/>
                      <w:kern w:val="0"/>
                    </w:rPr>
                  </w:pPr>
                  <w:r>
                    <w:rPr>
                      <w:color w:val="auto"/>
                      <w:kern w:val="0"/>
                    </w:rPr>
                    <w:t>充药机</w:t>
                  </w:r>
                </w:p>
              </w:tc>
              <w:tc>
                <w:tcPr>
                  <w:tcW w:w="1245" w:type="pct"/>
                  <w:tcBorders>
                    <w:tl2br w:val="nil"/>
                    <w:tr2bl w:val="nil"/>
                  </w:tcBorders>
                  <w:shd w:val="clear" w:color="auto" w:fill="auto"/>
                  <w:vAlign w:val="center"/>
                </w:tcPr>
                <w:p w14:paraId="3A84F489">
                  <w:pPr>
                    <w:widowControl/>
                    <w:adjustRightInd w:val="0"/>
                    <w:snapToGrid w:val="0"/>
                    <w:jc w:val="center"/>
                    <w:rPr>
                      <w:color w:val="auto"/>
                      <w:kern w:val="0"/>
                    </w:rPr>
                  </w:pPr>
                  <w:r>
                    <w:rPr>
                      <w:color w:val="auto"/>
                      <w:kern w:val="0"/>
                    </w:rPr>
                    <w:t>充药机</w:t>
                  </w:r>
                </w:p>
              </w:tc>
              <w:tc>
                <w:tcPr>
                  <w:tcW w:w="1493" w:type="pct"/>
                  <w:tcBorders>
                    <w:tl2br w:val="nil"/>
                    <w:tr2bl w:val="nil"/>
                  </w:tcBorders>
                  <w:vAlign w:val="center"/>
                </w:tcPr>
                <w:p w14:paraId="3A84F48A">
                  <w:pPr>
                    <w:widowControl/>
                    <w:adjustRightInd w:val="0"/>
                    <w:snapToGrid w:val="0"/>
                    <w:jc w:val="center"/>
                    <w:rPr>
                      <w:color w:val="auto"/>
                      <w:kern w:val="0"/>
                    </w:rPr>
                  </w:pPr>
                  <w:r>
                    <w:rPr>
                      <w:color w:val="auto"/>
                      <w:kern w:val="0"/>
                    </w:rPr>
                    <w:t>9053-01-A</w:t>
                  </w:r>
                </w:p>
              </w:tc>
              <w:tc>
                <w:tcPr>
                  <w:tcW w:w="532" w:type="pct"/>
                  <w:tcBorders>
                    <w:tl2br w:val="nil"/>
                    <w:tr2bl w:val="nil"/>
                  </w:tcBorders>
                  <w:shd w:val="clear" w:color="auto" w:fill="auto"/>
                  <w:vAlign w:val="center"/>
                </w:tcPr>
                <w:p w14:paraId="3A84F48B">
                  <w:pPr>
                    <w:widowControl/>
                    <w:adjustRightInd w:val="0"/>
                    <w:snapToGrid w:val="0"/>
                    <w:jc w:val="center"/>
                    <w:rPr>
                      <w:color w:val="auto"/>
                      <w:kern w:val="0"/>
                    </w:rPr>
                  </w:pPr>
                  <w:r>
                    <w:rPr>
                      <w:color w:val="auto"/>
                      <w:kern w:val="0"/>
                    </w:rPr>
                    <w:t>5</w:t>
                  </w:r>
                </w:p>
              </w:tc>
              <w:tc>
                <w:tcPr>
                  <w:tcW w:w="532" w:type="pct"/>
                  <w:tcBorders>
                    <w:tl2br w:val="nil"/>
                    <w:tr2bl w:val="nil"/>
                  </w:tcBorders>
                  <w:shd w:val="clear" w:color="auto" w:fill="auto"/>
                  <w:vAlign w:val="center"/>
                </w:tcPr>
                <w:p w14:paraId="3A84F48C">
                  <w:pPr>
                    <w:widowControl/>
                    <w:adjustRightInd w:val="0"/>
                    <w:snapToGrid w:val="0"/>
                    <w:jc w:val="center"/>
                    <w:rPr>
                      <w:color w:val="auto"/>
                      <w:kern w:val="0"/>
                    </w:rPr>
                  </w:pPr>
                  <w:r>
                    <w:rPr>
                      <w:color w:val="auto"/>
                      <w:kern w:val="0"/>
                    </w:rPr>
                    <w:t>5</w:t>
                  </w:r>
                </w:p>
              </w:tc>
              <w:tc>
                <w:tcPr>
                  <w:tcW w:w="544" w:type="pct"/>
                  <w:tcBorders>
                    <w:tl2br w:val="nil"/>
                    <w:tr2bl w:val="nil"/>
                  </w:tcBorders>
                  <w:shd w:val="clear" w:color="auto" w:fill="auto"/>
                  <w:vAlign w:val="center"/>
                </w:tcPr>
                <w:p w14:paraId="3A84F48D">
                  <w:pPr>
                    <w:adjustRightInd w:val="0"/>
                    <w:snapToGrid w:val="0"/>
                    <w:jc w:val="center"/>
                    <w:rPr>
                      <w:color w:val="auto"/>
                      <w:kern w:val="0"/>
                    </w:rPr>
                  </w:pPr>
                  <w:r>
                    <w:rPr>
                      <w:color w:val="auto"/>
                      <w:kern w:val="0"/>
                    </w:rPr>
                    <w:t>0</w:t>
                  </w:r>
                </w:p>
              </w:tc>
            </w:tr>
            <w:tr w14:paraId="3A84F4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8F">
                  <w:pPr>
                    <w:widowControl/>
                    <w:adjustRightInd w:val="0"/>
                    <w:snapToGrid w:val="0"/>
                    <w:jc w:val="center"/>
                    <w:rPr>
                      <w:color w:val="auto"/>
                      <w:kern w:val="0"/>
                    </w:rPr>
                  </w:pPr>
                  <w:r>
                    <w:rPr>
                      <w:color w:val="auto"/>
                      <w:kern w:val="0"/>
                    </w:rPr>
                    <w:t>IMI压接</w:t>
                  </w:r>
                </w:p>
              </w:tc>
              <w:tc>
                <w:tcPr>
                  <w:tcW w:w="1245" w:type="pct"/>
                  <w:tcBorders>
                    <w:tl2br w:val="nil"/>
                    <w:tr2bl w:val="nil"/>
                  </w:tcBorders>
                  <w:shd w:val="clear" w:color="auto" w:fill="auto"/>
                  <w:vAlign w:val="center"/>
                </w:tcPr>
                <w:p w14:paraId="3A84F490">
                  <w:pPr>
                    <w:widowControl/>
                    <w:adjustRightInd w:val="0"/>
                    <w:snapToGrid w:val="0"/>
                    <w:jc w:val="center"/>
                    <w:rPr>
                      <w:color w:val="auto"/>
                      <w:kern w:val="0"/>
                    </w:rPr>
                  </w:pPr>
                  <w:r>
                    <w:rPr>
                      <w:color w:val="auto"/>
                      <w:kern w:val="0"/>
                    </w:rPr>
                    <w:t>IMI压接</w:t>
                  </w:r>
                </w:p>
              </w:tc>
              <w:tc>
                <w:tcPr>
                  <w:tcW w:w="1493" w:type="pct"/>
                  <w:tcBorders>
                    <w:tl2br w:val="nil"/>
                    <w:tr2bl w:val="nil"/>
                  </w:tcBorders>
                  <w:vAlign w:val="center"/>
                </w:tcPr>
                <w:p w14:paraId="3A84F491">
                  <w:pPr>
                    <w:widowControl/>
                    <w:adjustRightInd w:val="0"/>
                    <w:snapToGrid w:val="0"/>
                    <w:jc w:val="center"/>
                    <w:rPr>
                      <w:color w:val="auto"/>
                      <w:kern w:val="0"/>
                    </w:rPr>
                  </w:pPr>
                  <w:r>
                    <w:rPr>
                      <w:color w:val="auto"/>
                      <w:kern w:val="0"/>
                    </w:rPr>
                    <w:t>HZL19.101.050.00</w:t>
                  </w:r>
                </w:p>
              </w:tc>
              <w:tc>
                <w:tcPr>
                  <w:tcW w:w="532" w:type="pct"/>
                  <w:tcBorders>
                    <w:tl2br w:val="nil"/>
                    <w:tr2bl w:val="nil"/>
                  </w:tcBorders>
                  <w:shd w:val="clear" w:color="auto" w:fill="auto"/>
                  <w:vAlign w:val="center"/>
                </w:tcPr>
                <w:p w14:paraId="3A84F492">
                  <w:pPr>
                    <w:widowControl/>
                    <w:adjustRightInd w:val="0"/>
                    <w:snapToGrid w:val="0"/>
                    <w:jc w:val="center"/>
                    <w:rPr>
                      <w:color w:val="auto"/>
                      <w:kern w:val="0"/>
                    </w:rPr>
                  </w:pPr>
                  <w:r>
                    <w:rPr>
                      <w:color w:val="auto"/>
                      <w:kern w:val="0"/>
                    </w:rPr>
                    <w:t>5</w:t>
                  </w:r>
                </w:p>
              </w:tc>
              <w:tc>
                <w:tcPr>
                  <w:tcW w:w="532" w:type="pct"/>
                  <w:tcBorders>
                    <w:tl2br w:val="nil"/>
                    <w:tr2bl w:val="nil"/>
                  </w:tcBorders>
                  <w:shd w:val="clear" w:color="auto" w:fill="auto"/>
                  <w:vAlign w:val="center"/>
                </w:tcPr>
                <w:p w14:paraId="3A84F493">
                  <w:pPr>
                    <w:widowControl/>
                    <w:adjustRightInd w:val="0"/>
                    <w:snapToGrid w:val="0"/>
                    <w:jc w:val="center"/>
                    <w:rPr>
                      <w:color w:val="auto"/>
                      <w:kern w:val="0"/>
                    </w:rPr>
                  </w:pPr>
                  <w:r>
                    <w:rPr>
                      <w:color w:val="auto"/>
                      <w:kern w:val="0"/>
                    </w:rPr>
                    <w:t>5</w:t>
                  </w:r>
                </w:p>
              </w:tc>
              <w:tc>
                <w:tcPr>
                  <w:tcW w:w="544" w:type="pct"/>
                  <w:tcBorders>
                    <w:tl2br w:val="nil"/>
                    <w:tr2bl w:val="nil"/>
                  </w:tcBorders>
                  <w:shd w:val="clear" w:color="auto" w:fill="auto"/>
                  <w:vAlign w:val="center"/>
                </w:tcPr>
                <w:p w14:paraId="3A84F494">
                  <w:pPr>
                    <w:adjustRightInd w:val="0"/>
                    <w:snapToGrid w:val="0"/>
                    <w:jc w:val="center"/>
                    <w:rPr>
                      <w:color w:val="auto"/>
                      <w:kern w:val="0"/>
                    </w:rPr>
                  </w:pPr>
                  <w:r>
                    <w:rPr>
                      <w:color w:val="auto"/>
                      <w:kern w:val="0"/>
                    </w:rPr>
                    <w:t>0</w:t>
                  </w:r>
                </w:p>
              </w:tc>
            </w:tr>
            <w:tr w14:paraId="3A84F49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96">
                  <w:pPr>
                    <w:widowControl/>
                    <w:adjustRightInd w:val="0"/>
                    <w:snapToGrid w:val="0"/>
                    <w:jc w:val="center"/>
                    <w:rPr>
                      <w:color w:val="auto"/>
                      <w:kern w:val="0"/>
                    </w:rPr>
                  </w:pPr>
                  <w:r>
                    <w:rPr>
                      <w:color w:val="auto"/>
                      <w:kern w:val="0"/>
                    </w:rPr>
                    <w:t>MA压接</w:t>
                  </w:r>
                </w:p>
              </w:tc>
              <w:tc>
                <w:tcPr>
                  <w:tcW w:w="1245" w:type="pct"/>
                  <w:tcBorders>
                    <w:tl2br w:val="nil"/>
                    <w:tr2bl w:val="nil"/>
                  </w:tcBorders>
                  <w:shd w:val="clear" w:color="auto" w:fill="auto"/>
                  <w:vAlign w:val="center"/>
                </w:tcPr>
                <w:p w14:paraId="3A84F497">
                  <w:pPr>
                    <w:widowControl/>
                    <w:adjustRightInd w:val="0"/>
                    <w:snapToGrid w:val="0"/>
                    <w:jc w:val="center"/>
                    <w:rPr>
                      <w:color w:val="auto"/>
                      <w:kern w:val="0"/>
                    </w:rPr>
                  </w:pPr>
                  <w:r>
                    <w:rPr>
                      <w:color w:val="auto"/>
                      <w:kern w:val="0"/>
                    </w:rPr>
                    <w:t>MA压接</w:t>
                  </w:r>
                </w:p>
              </w:tc>
              <w:tc>
                <w:tcPr>
                  <w:tcW w:w="1493" w:type="pct"/>
                  <w:tcBorders>
                    <w:tl2br w:val="nil"/>
                    <w:tr2bl w:val="nil"/>
                  </w:tcBorders>
                  <w:vAlign w:val="center"/>
                </w:tcPr>
                <w:p w14:paraId="3A84F498">
                  <w:pPr>
                    <w:widowControl/>
                    <w:adjustRightInd w:val="0"/>
                    <w:snapToGrid w:val="0"/>
                    <w:jc w:val="center"/>
                    <w:rPr>
                      <w:color w:val="auto"/>
                      <w:kern w:val="0"/>
                    </w:rPr>
                  </w:pPr>
                  <w:r>
                    <w:rPr>
                      <w:color w:val="auto"/>
                      <w:kern w:val="0"/>
                    </w:rPr>
                    <w:t>HZL19.101.050.00</w:t>
                  </w:r>
                </w:p>
              </w:tc>
              <w:tc>
                <w:tcPr>
                  <w:tcW w:w="532" w:type="pct"/>
                  <w:tcBorders>
                    <w:tl2br w:val="nil"/>
                    <w:tr2bl w:val="nil"/>
                  </w:tcBorders>
                  <w:shd w:val="clear" w:color="auto" w:fill="auto"/>
                  <w:vAlign w:val="center"/>
                </w:tcPr>
                <w:p w14:paraId="3A84F499">
                  <w:pPr>
                    <w:widowControl/>
                    <w:adjustRightInd w:val="0"/>
                    <w:snapToGrid w:val="0"/>
                    <w:jc w:val="center"/>
                    <w:rPr>
                      <w:color w:val="auto"/>
                      <w:kern w:val="0"/>
                    </w:rPr>
                  </w:pPr>
                  <w:r>
                    <w:rPr>
                      <w:color w:val="auto"/>
                      <w:kern w:val="0"/>
                    </w:rPr>
                    <w:t>3</w:t>
                  </w:r>
                </w:p>
              </w:tc>
              <w:tc>
                <w:tcPr>
                  <w:tcW w:w="532" w:type="pct"/>
                  <w:tcBorders>
                    <w:tl2br w:val="nil"/>
                    <w:tr2bl w:val="nil"/>
                  </w:tcBorders>
                  <w:shd w:val="clear" w:color="auto" w:fill="auto"/>
                  <w:vAlign w:val="center"/>
                </w:tcPr>
                <w:p w14:paraId="3A84F49A">
                  <w:pPr>
                    <w:widowControl/>
                    <w:adjustRightInd w:val="0"/>
                    <w:snapToGrid w:val="0"/>
                    <w:jc w:val="center"/>
                    <w:rPr>
                      <w:color w:val="auto"/>
                      <w:kern w:val="0"/>
                    </w:rPr>
                  </w:pPr>
                  <w:r>
                    <w:rPr>
                      <w:color w:val="auto"/>
                      <w:kern w:val="0"/>
                    </w:rPr>
                    <w:t>3</w:t>
                  </w:r>
                </w:p>
              </w:tc>
              <w:tc>
                <w:tcPr>
                  <w:tcW w:w="544" w:type="pct"/>
                  <w:tcBorders>
                    <w:tl2br w:val="nil"/>
                    <w:tr2bl w:val="nil"/>
                  </w:tcBorders>
                  <w:shd w:val="clear" w:color="auto" w:fill="auto"/>
                  <w:vAlign w:val="center"/>
                </w:tcPr>
                <w:p w14:paraId="3A84F49B">
                  <w:pPr>
                    <w:adjustRightInd w:val="0"/>
                    <w:snapToGrid w:val="0"/>
                    <w:jc w:val="center"/>
                    <w:rPr>
                      <w:color w:val="auto"/>
                      <w:kern w:val="0"/>
                    </w:rPr>
                  </w:pPr>
                  <w:r>
                    <w:rPr>
                      <w:color w:val="auto"/>
                      <w:kern w:val="0"/>
                    </w:rPr>
                    <w:t>0</w:t>
                  </w:r>
                </w:p>
              </w:tc>
            </w:tr>
            <w:tr w14:paraId="3A84F4A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9D">
                  <w:pPr>
                    <w:widowControl/>
                    <w:adjustRightInd w:val="0"/>
                    <w:snapToGrid w:val="0"/>
                    <w:jc w:val="center"/>
                    <w:rPr>
                      <w:color w:val="auto"/>
                      <w:kern w:val="0"/>
                    </w:rPr>
                  </w:pPr>
                  <w:r>
                    <w:rPr>
                      <w:color w:val="auto"/>
                      <w:kern w:val="0"/>
                    </w:rPr>
                    <w:t>气密检测</w:t>
                  </w:r>
                </w:p>
              </w:tc>
              <w:tc>
                <w:tcPr>
                  <w:tcW w:w="1245" w:type="pct"/>
                  <w:tcBorders>
                    <w:tl2br w:val="nil"/>
                    <w:tr2bl w:val="nil"/>
                  </w:tcBorders>
                  <w:shd w:val="clear" w:color="auto" w:fill="auto"/>
                  <w:vAlign w:val="center"/>
                </w:tcPr>
                <w:p w14:paraId="3A84F49E">
                  <w:pPr>
                    <w:widowControl/>
                    <w:adjustRightInd w:val="0"/>
                    <w:snapToGrid w:val="0"/>
                    <w:jc w:val="center"/>
                    <w:rPr>
                      <w:color w:val="auto"/>
                      <w:kern w:val="0"/>
                    </w:rPr>
                  </w:pPr>
                  <w:r>
                    <w:rPr>
                      <w:color w:val="auto"/>
                      <w:kern w:val="0"/>
                    </w:rPr>
                    <w:t>气密检测</w:t>
                  </w:r>
                </w:p>
              </w:tc>
              <w:tc>
                <w:tcPr>
                  <w:tcW w:w="1493" w:type="pct"/>
                  <w:tcBorders>
                    <w:tl2br w:val="nil"/>
                    <w:tr2bl w:val="nil"/>
                  </w:tcBorders>
                  <w:vAlign w:val="center"/>
                </w:tcPr>
                <w:p w14:paraId="3A84F49F">
                  <w:pPr>
                    <w:widowControl/>
                    <w:adjustRightInd w:val="0"/>
                    <w:snapToGrid w:val="0"/>
                    <w:jc w:val="center"/>
                    <w:rPr>
                      <w:color w:val="auto"/>
                      <w:kern w:val="0"/>
                    </w:rPr>
                  </w:pPr>
                  <w:r>
                    <w:rPr>
                      <w:color w:val="auto"/>
                      <w:kern w:val="0"/>
                    </w:rPr>
                    <w:t>LDS3000</w:t>
                  </w:r>
                </w:p>
              </w:tc>
              <w:tc>
                <w:tcPr>
                  <w:tcW w:w="532" w:type="pct"/>
                  <w:tcBorders>
                    <w:tl2br w:val="nil"/>
                    <w:tr2bl w:val="nil"/>
                  </w:tcBorders>
                  <w:shd w:val="clear" w:color="auto" w:fill="auto"/>
                  <w:vAlign w:val="center"/>
                </w:tcPr>
                <w:p w14:paraId="3A84F4A0">
                  <w:pPr>
                    <w:widowControl/>
                    <w:adjustRightInd w:val="0"/>
                    <w:snapToGrid w:val="0"/>
                    <w:jc w:val="center"/>
                    <w:rPr>
                      <w:color w:val="auto"/>
                      <w:kern w:val="0"/>
                    </w:rPr>
                  </w:pPr>
                  <w:r>
                    <w:rPr>
                      <w:color w:val="auto"/>
                      <w:kern w:val="0"/>
                    </w:rPr>
                    <w:t>5</w:t>
                  </w:r>
                </w:p>
              </w:tc>
              <w:tc>
                <w:tcPr>
                  <w:tcW w:w="532" w:type="pct"/>
                  <w:tcBorders>
                    <w:tl2br w:val="nil"/>
                    <w:tr2bl w:val="nil"/>
                  </w:tcBorders>
                  <w:shd w:val="clear" w:color="auto" w:fill="auto"/>
                  <w:vAlign w:val="center"/>
                </w:tcPr>
                <w:p w14:paraId="3A84F4A1">
                  <w:pPr>
                    <w:widowControl/>
                    <w:adjustRightInd w:val="0"/>
                    <w:snapToGrid w:val="0"/>
                    <w:jc w:val="center"/>
                    <w:rPr>
                      <w:color w:val="auto"/>
                      <w:kern w:val="0"/>
                    </w:rPr>
                  </w:pPr>
                  <w:r>
                    <w:rPr>
                      <w:color w:val="auto"/>
                      <w:kern w:val="0"/>
                    </w:rPr>
                    <w:t>5</w:t>
                  </w:r>
                </w:p>
              </w:tc>
              <w:tc>
                <w:tcPr>
                  <w:tcW w:w="544" w:type="pct"/>
                  <w:tcBorders>
                    <w:tl2br w:val="nil"/>
                    <w:tr2bl w:val="nil"/>
                  </w:tcBorders>
                  <w:shd w:val="clear" w:color="auto" w:fill="auto"/>
                  <w:vAlign w:val="center"/>
                </w:tcPr>
                <w:p w14:paraId="3A84F4A2">
                  <w:pPr>
                    <w:adjustRightInd w:val="0"/>
                    <w:snapToGrid w:val="0"/>
                    <w:jc w:val="center"/>
                    <w:rPr>
                      <w:color w:val="auto"/>
                      <w:kern w:val="0"/>
                    </w:rPr>
                  </w:pPr>
                  <w:r>
                    <w:rPr>
                      <w:color w:val="auto"/>
                      <w:kern w:val="0"/>
                    </w:rPr>
                    <w:t>0</w:t>
                  </w:r>
                </w:p>
              </w:tc>
            </w:tr>
            <w:tr w14:paraId="3A84F4A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A4">
                  <w:pPr>
                    <w:widowControl/>
                    <w:adjustRightInd w:val="0"/>
                    <w:snapToGrid w:val="0"/>
                    <w:jc w:val="center"/>
                    <w:rPr>
                      <w:color w:val="auto"/>
                      <w:kern w:val="0"/>
                    </w:rPr>
                  </w:pPr>
                  <w:r>
                    <w:rPr>
                      <w:color w:val="auto"/>
                      <w:kern w:val="0"/>
                    </w:rPr>
                    <w:t>电子检测</w:t>
                  </w:r>
                </w:p>
              </w:tc>
              <w:tc>
                <w:tcPr>
                  <w:tcW w:w="1245" w:type="pct"/>
                  <w:tcBorders>
                    <w:tl2br w:val="nil"/>
                    <w:tr2bl w:val="nil"/>
                  </w:tcBorders>
                  <w:shd w:val="clear" w:color="auto" w:fill="auto"/>
                  <w:vAlign w:val="center"/>
                </w:tcPr>
                <w:p w14:paraId="3A84F4A5">
                  <w:pPr>
                    <w:widowControl/>
                    <w:adjustRightInd w:val="0"/>
                    <w:snapToGrid w:val="0"/>
                    <w:jc w:val="center"/>
                    <w:rPr>
                      <w:color w:val="auto"/>
                      <w:kern w:val="0"/>
                    </w:rPr>
                  </w:pPr>
                  <w:r>
                    <w:rPr>
                      <w:color w:val="auto"/>
                      <w:kern w:val="0"/>
                    </w:rPr>
                    <w:t>电子检测</w:t>
                  </w:r>
                </w:p>
              </w:tc>
              <w:tc>
                <w:tcPr>
                  <w:tcW w:w="1493" w:type="pct"/>
                  <w:tcBorders>
                    <w:tl2br w:val="nil"/>
                    <w:tr2bl w:val="nil"/>
                  </w:tcBorders>
                  <w:vAlign w:val="center"/>
                </w:tcPr>
                <w:p w14:paraId="3A84F4A6">
                  <w:pPr>
                    <w:widowControl/>
                    <w:adjustRightInd w:val="0"/>
                    <w:snapToGrid w:val="0"/>
                    <w:jc w:val="center"/>
                    <w:rPr>
                      <w:color w:val="auto"/>
                      <w:kern w:val="0"/>
                    </w:rPr>
                  </w:pPr>
                  <w:r>
                    <w:rPr>
                      <w:color w:val="auto"/>
                      <w:kern w:val="0"/>
                    </w:rPr>
                    <w:t>KEITHLEY 2790</w:t>
                  </w:r>
                </w:p>
              </w:tc>
              <w:tc>
                <w:tcPr>
                  <w:tcW w:w="532" w:type="pct"/>
                  <w:tcBorders>
                    <w:tl2br w:val="nil"/>
                    <w:tr2bl w:val="nil"/>
                  </w:tcBorders>
                  <w:shd w:val="clear" w:color="auto" w:fill="auto"/>
                  <w:vAlign w:val="center"/>
                </w:tcPr>
                <w:p w14:paraId="3A84F4A7">
                  <w:pPr>
                    <w:widowControl/>
                    <w:adjustRightInd w:val="0"/>
                    <w:snapToGrid w:val="0"/>
                    <w:jc w:val="center"/>
                    <w:rPr>
                      <w:color w:val="auto"/>
                      <w:kern w:val="0"/>
                    </w:rPr>
                  </w:pPr>
                  <w:r>
                    <w:rPr>
                      <w:color w:val="auto"/>
                      <w:kern w:val="0"/>
                    </w:rPr>
                    <w:t>5</w:t>
                  </w:r>
                </w:p>
              </w:tc>
              <w:tc>
                <w:tcPr>
                  <w:tcW w:w="532" w:type="pct"/>
                  <w:tcBorders>
                    <w:tl2br w:val="nil"/>
                    <w:tr2bl w:val="nil"/>
                  </w:tcBorders>
                  <w:shd w:val="clear" w:color="auto" w:fill="auto"/>
                  <w:vAlign w:val="center"/>
                </w:tcPr>
                <w:p w14:paraId="3A84F4A8">
                  <w:pPr>
                    <w:widowControl/>
                    <w:adjustRightInd w:val="0"/>
                    <w:snapToGrid w:val="0"/>
                    <w:jc w:val="center"/>
                    <w:rPr>
                      <w:color w:val="auto"/>
                      <w:kern w:val="0"/>
                    </w:rPr>
                  </w:pPr>
                  <w:r>
                    <w:rPr>
                      <w:color w:val="auto"/>
                      <w:kern w:val="0"/>
                    </w:rPr>
                    <w:t>5</w:t>
                  </w:r>
                </w:p>
              </w:tc>
              <w:tc>
                <w:tcPr>
                  <w:tcW w:w="544" w:type="pct"/>
                  <w:tcBorders>
                    <w:tl2br w:val="nil"/>
                    <w:tr2bl w:val="nil"/>
                  </w:tcBorders>
                  <w:shd w:val="clear" w:color="auto" w:fill="auto"/>
                  <w:vAlign w:val="center"/>
                </w:tcPr>
                <w:p w14:paraId="3A84F4A9">
                  <w:pPr>
                    <w:adjustRightInd w:val="0"/>
                    <w:snapToGrid w:val="0"/>
                    <w:jc w:val="center"/>
                    <w:rPr>
                      <w:color w:val="auto"/>
                      <w:kern w:val="0"/>
                    </w:rPr>
                  </w:pPr>
                  <w:r>
                    <w:rPr>
                      <w:color w:val="auto"/>
                      <w:kern w:val="0"/>
                    </w:rPr>
                    <w:t>0</w:t>
                  </w:r>
                </w:p>
              </w:tc>
            </w:tr>
            <w:tr w14:paraId="3A84F4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AB">
                  <w:pPr>
                    <w:widowControl/>
                    <w:adjustRightInd w:val="0"/>
                    <w:snapToGrid w:val="0"/>
                    <w:jc w:val="center"/>
                    <w:rPr>
                      <w:color w:val="auto"/>
                      <w:kern w:val="0"/>
                    </w:rPr>
                  </w:pPr>
                  <w:r>
                    <w:rPr>
                      <w:color w:val="auto"/>
                      <w:kern w:val="0"/>
                    </w:rPr>
                    <w:t>IMI 引爆器压接</w:t>
                  </w:r>
                </w:p>
              </w:tc>
              <w:tc>
                <w:tcPr>
                  <w:tcW w:w="1245" w:type="pct"/>
                  <w:tcBorders>
                    <w:tl2br w:val="nil"/>
                    <w:tr2bl w:val="nil"/>
                  </w:tcBorders>
                  <w:shd w:val="clear" w:color="auto" w:fill="auto"/>
                  <w:vAlign w:val="center"/>
                </w:tcPr>
                <w:p w14:paraId="3A84F4AC">
                  <w:pPr>
                    <w:widowControl/>
                    <w:adjustRightInd w:val="0"/>
                    <w:snapToGrid w:val="0"/>
                    <w:jc w:val="center"/>
                    <w:rPr>
                      <w:color w:val="auto"/>
                      <w:kern w:val="0"/>
                    </w:rPr>
                  </w:pPr>
                  <w:r>
                    <w:rPr>
                      <w:color w:val="auto"/>
                      <w:kern w:val="0"/>
                    </w:rPr>
                    <w:t>IMI引爆器压接</w:t>
                  </w:r>
                </w:p>
              </w:tc>
              <w:tc>
                <w:tcPr>
                  <w:tcW w:w="1493" w:type="pct"/>
                  <w:tcBorders>
                    <w:tl2br w:val="nil"/>
                    <w:tr2bl w:val="nil"/>
                  </w:tcBorders>
                  <w:vAlign w:val="center"/>
                </w:tcPr>
                <w:p w14:paraId="3A84F4AD">
                  <w:pPr>
                    <w:widowControl/>
                    <w:adjustRightInd w:val="0"/>
                    <w:snapToGrid w:val="0"/>
                    <w:jc w:val="center"/>
                    <w:rPr>
                      <w:color w:val="auto"/>
                      <w:kern w:val="0"/>
                    </w:rPr>
                  </w:pPr>
                  <w:r>
                    <w:rPr>
                      <w:color w:val="auto"/>
                      <w:kern w:val="0"/>
                    </w:rPr>
                    <w:t>S04.00.100.24D</w:t>
                  </w:r>
                </w:p>
              </w:tc>
              <w:tc>
                <w:tcPr>
                  <w:tcW w:w="532" w:type="pct"/>
                  <w:tcBorders>
                    <w:tl2br w:val="nil"/>
                    <w:tr2bl w:val="nil"/>
                  </w:tcBorders>
                  <w:shd w:val="clear" w:color="auto" w:fill="auto"/>
                  <w:vAlign w:val="center"/>
                </w:tcPr>
                <w:p w14:paraId="3A84F4AE">
                  <w:pPr>
                    <w:widowControl/>
                    <w:adjustRightInd w:val="0"/>
                    <w:snapToGrid w:val="0"/>
                    <w:jc w:val="center"/>
                    <w:rPr>
                      <w:color w:val="auto"/>
                      <w:kern w:val="0"/>
                    </w:rPr>
                  </w:pPr>
                  <w:r>
                    <w:rPr>
                      <w:color w:val="auto"/>
                      <w:kern w:val="0"/>
                    </w:rPr>
                    <w:t>5</w:t>
                  </w:r>
                </w:p>
              </w:tc>
              <w:tc>
                <w:tcPr>
                  <w:tcW w:w="532" w:type="pct"/>
                  <w:tcBorders>
                    <w:tl2br w:val="nil"/>
                    <w:tr2bl w:val="nil"/>
                  </w:tcBorders>
                  <w:shd w:val="clear" w:color="auto" w:fill="auto"/>
                  <w:vAlign w:val="center"/>
                </w:tcPr>
                <w:p w14:paraId="3A84F4AF">
                  <w:pPr>
                    <w:widowControl/>
                    <w:adjustRightInd w:val="0"/>
                    <w:snapToGrid w:val="0"/>
                    <w:jc w:val="center"/>
                    <w:rPr>
                      <w:color w:val="auto"/>
                      <w:kern w:val="0"/>
                    </w:rPr>
                  </w:pPr>
                  <w:r>
                    <w:rPr>
                      <w:color w:val="auto"/>
                      <w:kern w:val="0"/>
                    </w:rPr>
                    <w:t>5</w:t>
                  </w:r>
                </w:p>
              </w:tc>
              <w:tc>
                <w:tcPr>
                  <w:tcW w:w="544" w:type="pct"/>
                  <w:tcBorders>
                    <w:tl2br w:val="nil"/>
                    <w:tr2bl w:val="nil"/>
                  </w:tcBorders>
                  <w:shd w:val="clear" w:color="auto" w:fill="auto"/>
                  <w:vAlign w:val="center"/>
                </w:tcPr>
                <w:p w14:paraId="3A84F4B0">
                  <w:pPr>
                    <w:adjustRightInd w:val="0"/>
                    <w:snapToGrid w:val="0"/>
                    <w:jc w:val="center"/>
                    <w:rPr>
                      <w:color w:val="auto"/>
                      <w:kern w:val="0"/>
                    </w:rPr>
                  </w:pPr>
                  <w:r>
                    <w:rPr>
                      <w:color w:val="auto"/>
                      <w:kern w:val="0"/>
                    </w:rPr>
                    <w:t>0</w:t>
                  </w:r>
                </w:p>
              </w:tc>
            </w:tr>
            <w:tr w14:paraId="3A84F4B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B2">
                  <w:pPr>
                    <w:widowControl/>
                    <w:adjustRightInd w:val="0"/>
                    <w:snapToGrid w:val="0"/>
                    <w:jc w:val="center"/>
                    <w:rPr>
                      <w:color w:val="auto"/>
                      <w:kern w:val="0"/>
                    </w:rPr>
                  </w:pPr>
                  <w:r>
                    <w:rPr>
                      <w:color w:val="auto"/>
                      <w:kern w:val="0"/>
                    </w:rPr>
                    <w:t>MA引爆器压接</w:t>
                  </w:r>
                </w:p>
              </w:tc>
              <w:tc>
                <w:tcPr>
                  <w:tcW w:w="1245" w:type="pct"/>
                  <w:tcBorders>
                    <w:tl2br w:val="nil"/>
                    <w:tr2bl w:val="nil"/>
                  </w:tcBorders>
                  <w:shd w:val="clear" w:color="auto" w:fill="auto"/>
                  <w:vAlign w:val="center"/>
                </w:tcPr>
                <w:p w14:paraId="3A84F4B3">
                  <w:pPr>
                    <w:widowControl/>
                    <w:adjustRightInd w:val="0"/>
                    <w:snapToGrid w:val="0"/>
                    <w:jc w:val="center"/>
                    <w:rPr>
                      <w:color w:val="auto"/>
                      <w:kern w:val="0"/>
                    </w:rPr>
                  </w:pPr>
                  <w:r>
                    <w:rPr>
                      <w:color w:val="auto"/>
                      <w:kern w:val="0"/>
                    </w:rPr>
                    <w:t>MA引爆器压接</w:t>
                  </w:r>
                </w:p>
              </w:tc>
              <w:tc>
                <w:tcPr>
                  <w:tcW w:w="1493" w:type="pct"/>
                  <w:tcBorders>
                    <w:tl2br w:val="nil"/>
                    <w:tr2bl w:val="nil"/>
                  </w:tcBorders>
                  <w:vAlign w:val="center"/>
                </w:tcPr>
                <w:p w14:paraId="3A84F4B4">
                  <w:pPr>
                    <w:widowControl/>
                    <w:adjustRightInd w:val="0"/>
                    <w:snapToGrid w:val="0"/>
                    <w:jc w:val="center"/>
                    <w:rPr>
                      <w:color w:val="auto"/>
                      <w:kern w:val="0"/>
                    </w:rPr>
                  </w:pPr>
                  <w:r>
                    <w:rPr>
                      <w:color w:val="auto"/>
                      <w:kern w:val="0"/>
                    </w:rPr>
                    <w:t>S04.00.100.24D</w:t>
                  </w:r>
                </w:p>
              </w:tc>
              <w:tc>
                <w:tcPr>
                  <w:tcW w:w="532" w:type="pct"/>
                  <w:tcBorders>
                    <w:tl2br w:val="nil"/>
                    <w:tr2bl w:val="nil"/>
                  </w:tcBorders>
                  <w:shd w:val="clear" w:color="auto" w:fill="auto"/>
                  <w:vAlign w:val="center"/>
                </w:tcPr>
                <w:p w14:paraId="3A84F4B5">
                  <w:pPr>
                    <w:widowControl/>
                    <w:adjustRightInd w:val="0"/>
                    <w:snapToGrid w:val="0"/>
                    <w:jc w:val="center"/>
                    <w:rPr>
                      <w:color w:val="auto"/>
                      <w:kern w:val="0"/>
                    </w:rPr>
                  </w:pPr>
                  <w:r>
                    <w:rPr>
                      <w:color w:val="auto"/>
                      <w:kern w:val="0"/>
                    </w:rPr>
                    <w:t>2</w:t>
                  </w:r>
                </w:p>
              </w:tc>
              <w:tc>
                <w:tcPr>
                  <w:tcW w:w="532" w:type="pct"/>
                  <w:tcBorders>
                    <w:tl2br w:val="nil"/>
                    <w:tr2bl w:val="nil"/>
                  </w:tcBorders>
                  <w:shd w:val="clear" w:color="auto" w:fill="auto"/>
                  <w:vAlign w:val="center"/>
                </w:tcPr>
                <w:p w14:paraId="3A84F4B6">
                  <w:pPr>
                    <w:widowControl/>
                    <w:adjustRightInd w:val="0"/>
                    <w:snapToGrid w:val="0"/>
                    <w:jc w:val="center"/>
                    <w:rPr>
                      <w:color w:val="auto"/>
                      <w:kern w:val="0"/>
                    </w:rPr>
                  </w:pPr>
                  <w:r>
                    <w:rPr>
                      <w:color w:val="auto"/>
                      <w:kern w:val="0"/>
                    </w:rPr>
                    <w:t>2</w:t>
                  </w:r>
                </w:p>
              </w:tc>
              <w:tc>
                <w:tcPr>
                  <w:tcW w:w="544" w:type="pct"/>
                  <w:tcBorders>
                    <w:tl2br w:val="nil"/>
                    <w:tr2bl w:val="nil"/>
                  </w:tcBorders>
                  <w:shd w:val="clear" w:color="auto" w:fill="auto"/>
                  <w:vAlign w:val="center"/>
                </w:tcPr>
                <w:p w14:paraId="3A84F4B7">
                  <w:pPr>
                    <w:adjustRightInd w:val="0"/>
                    <w:snapToGrid w:val="0"/>
                    <w:jc w:val="center"/>
                    <w:rPr>
                      <w:color w:val="auto"/>
                      <w:kern w:val="0"/>
                    </w:rPr>
                  </w:pPr>
                  <w:r>
                    <w:rPr>
                      <w:color w:val="auto"/>
                      <w:kern w:val="0"/>
                    </w:rPr>
                    <w:t>0</w:t>
                  </w:r>
                </w:p>
              </w:tc>
            </w:tr>
            <w:tr w14:paraId="3A84F4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6"/>
                  <w:tcBorders>
                    <w:tl2br w:val="nil"/>
                    <w:tr2bl w:val="nil"/>
                  </w:tcBorders>
                  <w:shd w:val="clear" w:color="auto" w:fill="auto"/>
                  <w:vAlign w:val="center"/>
                </w:tcPr>
                <w:p w14:paraId="3A84F4B9">
                  <w:pPr>
                    <w:adjustRightInd w:val="0"/>
                    <w:snapToGrid w:val="0"/>
                    <w:jc w:val="center"/>
                    <w:rPr>
                      <w:color w:val="auto"/>
                      <w:kern w:val="0"/>
                    </w:rPr>
                  </w:pPr>
                  <w:r>
                    <w:rPr>
                      <w:b/>
                      <w:bCs/>
                      <w:color w:val="auto"/>
                      <w:kern w:val="0"/>
                    </w:rPr>
                    <w:t>点火具注塑线（Molding）生产设备</w:t>
                  </w:r>
                </w:p>
              </w:tc>
            </w:tr>
            <w:tr w14:paraId="3A84F4C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BB">
                  <w:pPr>
                    <w:widowControl/>
                    <w:adjustRightInd w:val="0"/>
                    <w:snapToGrid w:val="0"/>
                    <w:jc w:val="center"/>
                    <w:rPr>
                      <w:color w:val="auto"/>
                      <w:kern w:val="0"/>
                    </w:rPr>
                  </w:pPr>
                  <w:r>
                    <w:rPr>
                      <w:color w:val="auto"/>
                      <w:kern w:val="0"/>
                    </w:rPr>
                    <w:t>注塑</w:t>
                  </w:r>
                </w:p>
              </w:tc>
              <w:tc>
                <w:tcPr>
                  <w:tcW w:w="1245" w:type="pct"/>
                  <w:tcBorders>
                    <w:tl2br w:val="nil"/>
                    <w:tr2bl w:val="nil"/>
                  </w:tcBorders>
                  <w:shd w:val="clear" w:color="auto" w:fill="auto"/>
                  <w:vAlign w:val="center"/>
                </w:tcPr>
                <w:p w14:paraId="3A84F4BC">
                  <w:pPr>
                    <w:widowControl/>
                    <w:adjustRightInd w:val="0"/>
                    <w:snapToGrid w:val="0"/>
                    <w:jc w:val="center"/>
                    <w:rPr>
                      <w:color w:val="auto"/>
                      <w:kern w:val="0"/>
                    </w:rPr>
                  </w:pPr>
                  <w:r>
                    <w:rPr>
                      <w:color w:val="auto"/>
                      <w:kern w:val="0"/>
                    </w:rPr>
                    <w:t>IMI注塑（注塑机、烘干机、机器人等）</w:t>
                  </w:r>
                </w:p>
              </w:tc>
              <w:tc>
                <w:tcPr>
                  <w:tcW w:w="1493" w:type="pct"/>
                  <w:tcBorders>
                    <w:tl2br w:val="nil"/>
                    <w:tr2bl w:val="nil"/>
                  </w:tcBorders>
                  <w:vAlign w:val="center"/>
                </w:tcPr>
                <w:p w14:paraId="3A84F4BD">
                  <w:pPr>
                    <w:widowControl/>
                    <w:adjustRightInd w:val="0"/>
                    <w:snapToGrid w:val="0"/>
                    <w:jc w:val="center"/>
                    <w:rPr>
                      <w:color w:val="auto"/>
                      <w:kern w:val="0"/>
                    </w:rPr>
                  </w:pPr>
                  <w:r>
                    <w:rPr>
                      <w:color w:val="auto"/>
                      <w:kern w:val="0"/>
                    </w:rPr>
                    <w:t>三相220V 50HZ</w:t>
                  </w:r>
                </w:p>
              </w:tc>
              <w:tc>
                <w:tcPr>
                  <w:tcW w:w="532" w:type="pct"/>
                  <w:tcBorders>
                    <w:tl2br w:val="nil"/>
                    <w:tr2bl w:val="nil"/>
                  </w:tcBorders>
                  <w:shd w:val="clear" w:color="auto" w:fill="auto"/>
                  <w:vAlign w:val="center"/>
                </w:tcPr>
                <w:p w14:paraId="3A84F4BE">
                  <w:pPr>
                    <w:widowControl/>
                    <w:adjustRightInd w:val="0"/>
                    <w:snapToGrid w:val="0"/>
                    <w:jc w:val="center"/>
                    <w:rPr>
                      <w:color w:val="auto"/>
                      <w:kern w:val="0"/>
                    </w:rPr>
                  </w:pPr>
                  <w:r>
                    <w:rPr>
                      <w:color w:val="auto"/>
                      <w:kern w:val="0"/>
                    </w:rPr>
                    <w:t>16</w:t>
                  </w:r>
                </w:p>
              </w:tc>
              <w:tc>
                <w:tcPr>
                  <w:tcW w:w="532" w:type="pct"/>
                  <w:tcBorders>
                    <w:tl2br w:val="nil"/>
                    <w:tr2bl w:val="nil"/>
                  </w:tcBorders>
                  <w:shd w:val="clear" w:color="auto" w:fill="auto"/>
                  <w:vAlign w:val="center"/>
                </w:tcPr>
                <w:p w14:paraId="3A84F4BF">
                  <w:pPr>
                    <w:widowControl/>
                    <w:adjustRightInd w:val="0"/>
                    <w:snapToGrid w:val="0"/>
                    <w:jc w:val="center"/>
                    <w:rPr>
                      <w:color w:val="auto"/>
                      <w:kern w:val="0"/>
                    </w:rPr>
                  </w:pPr>
                  <w:r>
                    <w:rPr>
                      <w:color w:val="auto"/>
                      <w:kern w:val="0"/>
                    </w:rPr>
                    <w:t>16</w:t>
                  </w:r>
                </w:p>
              </w:tc>
              <w:tc>
                <w:tcPr>
                  <w:tcW w:w="544" w:type="pct"/>
                  <w:tcBorders>
                    <w:tl2br w:val="nil"/>
                    <w:tr2bl w:val="nil"/>
                  </w:tcBorders>
                  <w:shd w:val="clear" w:color="auto" w:fill="auto"/>
                  <w:vAlign w:val="center"/>
                </w:tcPr>
                <w:p w14:paraId="3A84F4C0">
                  <w:pPr>
                    <w:adjustRightInd w:val="0"/>
                    <w:snapToGrid w:val="0"/>
                    <w:jc w:val="center"/>
                    <w:rPr>
                      <w:color w:val="auto"/>
                      <w:kern w:val="0"/>
                    </w:rPr>
                  </w:pPr>
                  <w:r>
                    <w:rPr>
                      <w:color w:val="auto"/>
                      <w:kern w:val="0"/>
                    </w:rPr>
                    <w:t>0</w:t>
                  </w:r>
                </w:p>
              </w:tc>
            </w:tr>
            <w:tr w14:paraId="3A84F4C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C2">
                  <w:pPr>
                    <w:widowControl/>
                    <w:adjustRightInd w:val="0"/>
                    <w:snapToGrid w:val="0"/>
                    <w:jc w:val="center"/>
                    <w:rPr>
                      <w:color w:val="auto"/>
                      <w:kern w:val="0"/>
                    </w:rPr>
                  </w:pPr>
                  <w:r>
                    <w:rPr>
                      <w:color w:val="auto"/>
                      <w:kern w:val="0"/>
                    </w:rPr>
                    <w:t>注塑</w:t>
                  </w:r>
                </w:p>
              </w:tc>
              <w:tc>
                <w:tcPr>
                  <w:tcW w:w="1245" w:type="pct"/>
                  <w:tcBorders>
                    <w:tl2br w:val="nil"/>
                    <w:tr2bl w:val="nil"/>
                  </w:tcBorders>
                  <w:shd w:val="clear" w:color="auto" w:fill="auto"/>
                  <w:vAlign w:val="center"/>
                </w:tcPr>
                <w:p w14:paraId="3A84F4C3">
                  <w:pPr>
                    <w:widowControl/>
                    <w:adjustRightInd w:val="0"/>
                    <w:snapToGrid w:val="0"/>
                    <w:jc w:val="center"/>
                    <w:rPr>
                      <w:color w:val="auto"/>
                      <w:kern w:val="0"/>
                    </w:rPr>
                  </w:pPr>
                  <w:r>
                    <w:rPr>
                      <w:color w:val="auto"/>
                      <w:kern w:val="0"/>
                    </w:rPr>
                    <w:t>Auto pin-type注塑（注塑机、烘干机、机器人等）</w:t>
                  </w:r>
                </w:p>
              </w:tc>
              <w:tc>
                <w:tcPr>
                  <w:tcW w:w="1493" w:type="pct"/>
                  <w:tcBorders>
                    <w:tl2br w:val="nil"/>
                    <w:tr2bl w:val="nil"/>
                  </w:tcBorders>
                  <w:vAlign w:val="center"/>
                </w:tcPr>
                <w:p w14:paraId="3A84F4C4">
                  <w:pPr>
                    <w:widowControl/>
                    <w:adjustRightInd w:val="0"/>
                    <w:snapToGrid w:val="0"/>
                    <w:jc w:val="center"/>
                    <w:rPr>
                      <w:color w:val="auto"/>
                      <w:kern w:val="0"/>
                    </w:rPr>
                  </w:pPr>
                  <w:r>
                    <w:rPr>
                      <w:color w:val="auto"/>
                      <w:kern w:val="0"/>
                    </w:rPr>
                    <w:t>三相220V 50HZ</w:t>
                  </w:r>
                </w:p>
              </w:tc>
              <w:tc>
                <w:tcPr>
                  <w:tcW w:w="532" w:type="pct"/>
                  <w:tcBorders>
                    <w:tl2br w:val="nil"/>
                    <w:tr2bl w:val="nil"/>
                  </w:tcBorders>
                  <w:shd w:val="clear" w:color="auto" w:fill="auto"/>
                  <w:vAlign w:val="center"/>
                </w:tcPr>
                <w:p w14:paraId="3A84F4C5">
                  <w:pPr>
                    <w:widowControl/>
                    <w:adjustRightInd w:val="0"/>
                    <w:snapToGrid w:val="0"/>
                    <w:jc w:val="center"/>
                    <w:rPr>
                      <w:color w:val="auto"/>
                      <w:kern w:val="0"/>
                    </w:rPr>
                  </w:pPr>
                  <w:r>
                    <w:rPr>
                      <w:color w:val="auto"/>
                      <w:kern w:val="0"/>
                    </w:rPr>
                    <w:t>8</w:t>
                  </w:r>
                </w:p>
              </w:tc>
              <w:tc>
                <w:tcPr>
                  <w:tcW w:w="532" w:type="pct"/>
                  <w:tcBorders>
                    <w:tl2br w:val="nil"/>
                    <w:tr2bl w:val="nil"/>
                  </w:tcBorders>
                  <w:shd w:val="clear" w:color="auto" w:fill="auto"/>
                  <w:vAlign w:val="center"/>
                </w:tcPr>
                <w:p w14:paraId="3A84F4C6">
                  <w:pPr>
                    <w:widowControl/>
                    <w:adjustRightInd w:val="0"/>
                    <w:snapToGrid w:val="0"/>
                    <w:jc w:val="center"/>
                    <w:rPr>
                      <w:color w:val="auto"/>
                      <w:kern w:val="0"/>
                    </w:rPr>
                  </w:pPr>
                  <w:r>
                    <w:rPr>
                      <w:color w:val="auto"/>
                      <w:kern w:val="0"/>
                    </w:rPr>
                    <w:t>8</w:t>
                  </w:r>
                </w:p>
              </w:tc>
              <w:tc>
                <w:tcPr>
                  <w:tcW w:w="544" w:type="pct"/>
                  <w:tcBorders>
                    <w:tl2br w:val="nil"/>
                    <w:tr2bl w:val="nil"/>
                  </w:tcBorders>
                  <w:shd w:val="clear" w:color="auto" w:fill="auto"/>
                  <w:vAlign w:val="center"/>
                </w:tcPr>
                <w:p w14:paraId="3A84F4C7">
                  <w:pPr>
                    <w:adjustRightInd w:val="0"/>
                    <w:snapToGrid w:val="0"/>
                    <w:jc w:val="center"/>
                    <w:rPr>
                      <w:color w:val="auto"/>
                      <w:kern w:val="0"/>
                    </w:rPr>
                  </w:pPr>
                  <w:r>
                    <w:rPr>
                      <w:color w:val="auto"/>
                      <w:kern w:val="0"/>
                    </w:rPr>
                    <w:t>0</w:t>
                  </w:r>
                </w:p>
              </w:tc>
            </w:tr>
            <w:tr w14:paraId="3A84F4C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C9">
                  <w:pPr>
                    <w:widowControl/>
                    <w:adjustRightInd w:val="0"/>
                    <w:snapToGrid w:val="0"/>
                    <w:jc w:val="center"/>
                    <w:rPr>
                      <w:color w:val="auto"/>
                      <w:kern w:val="0"/>
                    </w:rPr>
                  </w:pPr>
                  <w:r>
                    <w:rPr>
                      <w:color w:val="auto"/>
                      <w:kern w:val="0"/>
                    </w:rPr>
                    <w:t>注塑</w:t>
                  </w:r>
                </w:p>
              </w:tc>
              <w:tc>
                <w:tcPr>
                  <w:tcW w:w="1245" w:type="pct"/>
                  <w:tcBorders>
                    <w:tl2br w:val="nil"/>
                    <w:tr2bl w:val="nil"/>
                  </w:tcBorders>
                  <w:shd w:val="clear" w:color="auto" w:fill="auto"/>
                  <w:vAlign w:val="center"/>
                </w:tcPr>
                <w:p w14:paraId="3A84F4CA">
                  <w:pPr>
                    <w:widowControl/>
                    <w:adjustRightInd w:val="0"/>
                    <w:snapToGrid w:val="0"/>
                    <w:jc w:val="center"/>
                    <w:rPr>
                      <w:color w:val="auto"/>
                      <w:kern w:val="0"/>
                    </w:rPr>
                  </w:pPr>
                  <w:r>
                    <w:rPr>
                      <w:color w:val="auto"/>
                      <w:kern w:val="0"/>
                    </w:rPr>
                    <w:t>MIB注塑（注塑机、烘干机、机器人等）</w:t>
                  </w:r>
                </w:p>
              </w:tc>
              <w:tc>
                <w:tcPr>
                  <w:tcW w:w="1493" w:type="pct"/>
                  <w:tcBorders>
                    <w:tl2br w:val="nil"/>
                    <w:tr2bl w:val="nil"/>
                  </w:tcBorders>
                  <w:vAlign w:val="center"/>
                </w:tcPr>
                <w:p w14:paraId="3A84F4CB">
                  <w:pPr>
                    <w:widowControl/>
                    <w:adjustRightInd w:val="0"/>
                    <w:snapToGrid w:val="0"/>
                    <w:jc w:val="center"/>
                    <w:rPr>
                      <w:color w:val="auto"/>
                      <w:kern w:val="0"/>
                    </w:rPr>
                  </w:pPr>
                  <w:r>
                    <w:rPr>
                      <w:color w:val="auto"/>
                      <w:kern w:val="0"/>
                    </w:rPr>
                    <w:t>三相220V 50HZ</w:t>
                  </w:r>
                </w:p>
              </w:tc>
              <w:tc>
                <w:tcPr>
                  <w:tcW w:w="532" w:type="pct"/>
                  <w:tcBorders>
                    <w:tl2br w:val="nil"/>
                    <w:tr2bl w:val="nil"/>
                  </w:tcBorders>
                  <w:shd w:val="clear" w:color="auto" w:fill="auto"/>
                  <w:vAlign w:val="center"/>
                </w:tcPr>
                <w:p w14:paraId="3A84F4CC">
                  <w:pPr>
                    <w:widowControl/>
                    <w:adjustRightInd w:val="0"/>
                    <w:snapToGrid w:val="0"/>
                    <w:jc w:val="center"/>
                    <w:rPr>
                      <w:color w:val="auto"/>
                      <w:kern w:val="0"/>
                    </w:rPr>
                  </w:pPr>
                  <w:r>
                    <w:rPr>
                      <w:color w:val="auto"/>
                      <w:kern w:val="0"/>
                    </w:rPr>
                    <w:t>12</w:t>
                  </w:r>
                </w:p>
              </w:tc>
              <w:tc>
                <w:tcPr>
                  <w:tcW w:w="532" w:type="pct"/>
                  <w:tcBorders>
                    <w:tl2br w:val="nil"/>
                    <w:tr2bl w:val="nil"/>
                  </w:tcBorders>
                  <w:shd w:val="clear" w:color="auto" w:fill="auto"/>
                  <w:vAlign w:val="center"/>
                </w:tcPr>
                <w:p w14:paraId="3A84F4CD">
                  <w:pPr>
                    <w:widowControl/>
                    <w:adjustRightInd w:val="0"/>
                    <w:snapToGrid w:val="0"/>
                    <w:jc w:val="center"/>
                    <w:rPr>
                      <w:color w:val="auto"/>
                      <w:kern w:val="0"/>
                    </w:rPr>
                  </w:pPr>
                  <w:r>
                    <w:rPr>
                      <w:color w:val="auto"/>
                      <w:kern w:val="0"/>
                    </w:rPr>
                    <w:t>12</w:t>
                  </w:r>
                </w:p>
              </w:tc>
              <w:tc>
                <w:tcPr>
                  <w:tcW w:w="544" w:type="pct"/>
                  <w:tcBorders>
                    <w:tl2br w:val="nil"/>
                    <w:tr2bl w:val="nil"/>
                  </w:tcBorders>
                  <w:shd w:val="clear" w:color="auto" w:fill="auto"/>
                  <w:vAlign w:val="center"/>
                </w:tcPr>
                <w:p w14:paraId="3A84F4CE">
                  <w:pPr>
                    <w:adjustRightInd w:val="0"/>
                    <w:snapToGrid w:val="0"/>
                    <w:jc w:val="center"/>
                    <w:rPr>
                      <w:color w:val="auto"/>
                      <w:kern w:val="0"/>
                    </w:rPr>
                  </w:pPr>
                  <w:r>
                    <w:rPr>
                      <w:color w:val="auto"/>
                      <w:kern w:val="0"/>
                    </w:rPr>
                    <w:t>0</w:t>
                  </w:r>
                </w:p>
              </w:tc>
            </w:tr>
            <w:tr w14:paraId="3A84F4D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6"/>
                  <w:tcBorders>
                    <w:tl2br w:val="nil"/>
                    <w:tr2bl w:val="nil"/>
                  </w:tcBorders>
                  <w:shd w:val="clear" w:color="auto" w:fill="auto"/>
                  <w:vAlign w:val="center"/>
                </w:tcPr>
                <w:p w14:paraId="3A84F4D0">
                  <w:pPr>
                    <w:adjustRightInd w:val="0"/>
                    <w:snapToGrid w:val="0"/>
                    <w:jc w:val="center"/>
                    <w:rPr>
                      <w:color w:val="auto"/>
                      <w:kern w:val="0"/>
                    </w:rPr>
                  </w:pPr>
                  <w:r>
                    <w:rPr>
                      <w:b/>
                      <w:bCs/>
                      <w:color w:val="auto"/>
                      <w:kern w:val="0"/>
                    </w:rPr>
                    <w:t>传火药生产设备</w:t>
                  </w:r>
                </w:p>
              </w:tc>
            </w:tr>
            <w:tr w14:paraId="3A84F4D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D2">
                  <w:pPr>
                    <w:widowControl/>
                    <w:adjustRightInd w:val="0"/>
                    <w:snapToGrid w:val="0"/>
                    <w:jc w:val="center"/>
                    <w:rPr>
                      <w:color w:val="auto"/>
                      <w:kern w:val="0"/>
                    </w:rPr>
                  </w:pPr>
                  <w:r>
                    <w:rPr>
                      <w:color w:val="auto"/>
                      <w:kern w:val="0"/>
                    </w:rPr>
                    <w:t>混药</w:t>
                  </w:r>
                </w:p>
              </w:tc>
              <w:tc>
                <w:tcPr>
                  <w:tcW w:w="1245" w:type="pct"/>
                  <w:tcBorders>
                    <w:tl2br w:val="nil"/>
                    <w:tr2bl w:val="nil"/>
                  </w:tcBorders>
                  <w:shd w:val="clear" w:color="auto" w:fill="auto"/>
                  <w:vAlign w:val="center"/>
                </w:tcPr>
                <w:p w14:paraId="3A84F4D3">
                  <w:pPr>
                    <w:widowControl/>
                    <w:adjustRightInd w:val="0"/>
                    <w:snapToGrid w:val="0"/>
                    <w:jc w:val="center"/>
                    <w:rPr>
                      <w:color w:val="auto"/>
                      <w:kern w:val="0"/>
                    </w:rPr>
                  </w:pPr>
                  <w:r>
                    <w:rPr>
                      <w:color w:val="auto"/>
                      <w:kern w:val="0"/>
                    </w:rPr>
                    <w:t>混合罐</w:t>
                  </w:r>
                </w:p>
              </w:tc>
              <w:tc>
                <w:tcPr>
                  <w:tcW w:w="1493" w:type="pct"/>
                  <w:tcBorders>
                    <w:tl2br w:val="nil"/>
                    <w:tr2bl w:val="nil"/>
                  </w:tcBorders>
                  <w:vAlign w:val="center"/>
                </w:tcPr>
                <w:p w14:paraId="3A84F4D4">
                  <w:pPr>
                    <w:widowControl/>
                    <w:adjustRightInd w:val="0"/>
                    <w:snapToGrid w:val="0"/>
                    <w:jc w:val="center"/>
                    <w:rPr>
                      <w:color w:val="auto"/>
                      <w:kern w:val="0"/>
                    </w:rPr>
                  </w:pPr>
                  <w:r>
                    <w:rPr>
                      <w:color w:val="auto"/>
                      <w:kern w:val="0"/>
                    </w:rPr>
                    <w:t>非标进口</w:t>
                  </w:r>
                </w:p>
              </w:tc>
              <w:tc>
                <w:tcPr>
                  <w:tcW w:w="532" w:type="pct"/>
                  <w:tcBorders>
                    <w:tl2br w:val="nil"/>
                    <w:tr2bl w:val="nil"/>
                  </w:tcBorders>
                  <w:shd w:val="clear" w:color="auto" w:fill="auto"/>
                  <w:vAlign w:val="center"/>
                </w:tcPr>
                <w:p w14:paraId="3A84F4D5">
                  <w:pPr>
                    <w:widowControl/>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4D6">
                  <w:pPr>
                    <w:widowControl/>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4D7">
                  <w:pPr>
                    <w:adjustRightInd w:val="0"/>
                    <w:snapToGrid w:val="0"/>
                    <w:jc w:val="center"/>
                    <w:rPr>
                      <w:color w:val="auto"/>
                      <w:kern w:val="0"/>
                    </w:rPr>
                  </w:pPr>
                  <w:r>
                    <w:rPr>
                      <w:color w:val="auto"/>
                      <w:kern w:val="0"/>
                    </w:rPr>
                    <w:t>0</w:t>
                  </w:r>
                </w:p>
              </w:tc>
            </w:tr>
            <w:tr w14:paraId="3A84F4D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D9">
                  <w:pPr>
                    <w:widowControl/>
                    <w:adjustRightInd w:val="0"/>
                    <w:snapToGrid w:val="0"/>
                    <w:jc w:val="center"/>
                    <w:rPr>
                      <w:color w:val="auto"/>
                      <w:kern w:val="0"/>
                    </w:rPr>
                  </w:pPr>
                  <w:r>
                    <w:rPr>
                      <w:color w:val="auto"/>
                      <w:kern w:val="0"/>
                    </w:rPr>
                    <w:t>造粒</w:t>
                  </w:r>
                </w:p>
              </w:tc>
              <w:tc>
                <w:tcPr>
                  <w:tcW w:w="1245" w:type="pct"/>
                  <w:tcBorders>
                    <w:tl2br w:val="nil"/>
                    <w:tr2bl w:val="nil"/>
                  </w:tcBorders>
                  <w:shd w:val="clear" w:color="auto" w:fill="auto"/>
                  <w:vAlign w:val="center"/>
                </w:tcPr>
                <w:p w14:paraId="3A84F4DA">
                  <w:pPr>
                    <w:widowControl/>
                    <w:adjustRightInd w:val="0"/>
                    <w:snapToGrid w:val="0"/>
                    <w:jc w:val="center"/>
                    <w:rPr>
                      <w:color w:val="auto"/>
                      <w:kern w:val="0"/>
                    </w:rPr>
                  </w:pPr>
                  <w:r>
                    <w:rPr>
                      <w:color w:val="auto"/>
                      <w:kern w:val="0"/>
                    </w:rPr>
                    <w:t>制粒机</w:t>
                  </w:r>
                </w:p>
              </w:tc>
              <w:tc>
                <w:tcPr>
                  <w:tcW w:w="1493" w:type="pct"/>
                  <w:tcBorders>
                    <w:tl2br w:val="nil"/>
                    <w:tr2bl w:val="nil"/>
                  </w:tcBorders>
                  <w:vAlign w:val="center"/>
                </w:tcPr>
                <w:p w14:paraId="3A84F4DB">
                  <w:pPr>
                    <w:widowControl/>
                    <w:adjustRightInd w:val="0"/>
                    <w:snapToGrid w:val="0"/>
                    <w:jc w:val="center"/>
                    <w:rPr>
                      <w:color w:val="auto"/>
                      <w:kern w:val="0"/>
                    </w:rPr>
                  </w:pPr>
                  <w:r>
                    <w:rPr>
                      <w:color w:val="auto"/>
                      <w:kern w:val="0"/>
                    </w:rPr>
                    <w:t>非标进口</w:t>
                  </w:r>
                </w:p>
              </w:tc>
              <w:tc>
                <w:tcPr>
                  <w:tcW w:w="532" w:type="pct"/>
                  <w:tcBorders>
                    <w:tl2br w:val="nil"/>
                    <w:tr2bl w:val="nil"/>
                  </w:tcBorders>
                  <w:shd w:val="clear" w:color="auto" w:fill="auto"/>
                  <w:vAlign w:val="center"/>
                </w:tcPr>
                <w:p w14:paraId="3A84F4DC">
                  <w:pPr>
                    <w:widowControl/>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4DD">
                  <w:pPr>
                    <w:widowControl/>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4DE">
                  <w:pPr>
                    <w:adjustRightInd w:val="0"/>
                    <w:snapToGrid w:val="0"/>
                    <w:jc w:val="center"/>
                    <w:rPr>
                      <w:color w:val="auto"/>
                      <w:kern w:val="0"/>
                    </w:rPr>
                  </w:pPr>
                  <w:r>
                    <w:rPr>
                      <w:color w:val="auto"/>
                      <w:kern w:val="0"/>
                    </w:rPr>
                    <w:t>0</w:t>
                  </w:r>
                </w:p>
              </w:tc>
            </w:tr>
            <w:tr w14:paraId="3A84F4E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E0">
                  <w:pPr>
                    <w:widowControl/>
                    <w:adjustRightInd w:val="0"/>
                    <w:snapToGrid w:val="0"/>
                    <w:jc w:val="center"/>
                    <w:rPr>
                      <w:color w:val="auto"/>
                      <w:kern w:val="0"/>
                    </w:rPr>
                  </w:pPr>
                  <w:r>
                    <w:rPr>
                      <w:color w:val="auto"/>
                      <w:kern w:val="0"/>
                    </w:rPr>
                    <w:t>干燥</w:t>
                  </w:r>
                </w:p>
              </w:tc>
              <w:tc>
                <w:tcPr>
                  <w:tcW w:w="1245" w:type="pct"/>
                  <w:tcBorders>
                    <w:tl2br w:val="nil"/>
                    <w:tr2bl w:val="nil"/>
                  </w:tcBorders>
                  <w:shd w:val="clear" w:color="auto" w:fill="auto"/>
                  <w:vAlign w:val="center"/>
                </w:tcPr>
                <w:p w14:paraId="3A84F4E1">
                  <w:pPr>
                    <w:widowControl/>
                    <w:adjustRightInd w:val="0"/>
                    <w:snapToGrid w:val="0"/>
                    <w:jc w:val="center"/>
                    <w:rPr>
                      <w:color w:val="auto"/>
                      <w:kern w:val="0"/>
                    </w:rPr>
                  </w:pPr>
                  <w:r>
                    <w:rPr>
                      <w:color w:val="auto"/>
                      <w:kern w:val="0"/>
                    </w:rPr>
                    <w:t>烘箱</w:t>
                  </w:r>
                </w:p>
              </w:tc>
              <w:tc>
                <w:tcPr>
                  <w:tcW w:w="1493" w:type="pct"/>
                  <w:tcBorders>
                    <w:tl2br w:val="nil"/>
                    <w:tr2bl w:val="nil"/>
                  </w:tcBorders>
                  <w:vAlign w:val="center"/>
                </w:tcPr>
                <w:p w14:paraId="3A84F4E2">
                  <w:pPr>
                    <w:widowControl/>
                    <w:adjustRightInd w:val="0"/>
                    <w:snapToGrid w:val="0"/>
                    <w:jc w:val="center"/>
                    <w:rPr>
                      <w:color w:val="auto"/>
                      <w:kern w:val="0"/>
                    </w:rPr>
                  </w:pPr>
                  <w:r>
                    <w:rPr>
                      <w:color w:val="auto"/>
                      <w:kern w:val="0"/>
                    </w:rPr>
                    <w:t>非标进口</w:t>
                  </w:r>
                </w:p>
              </w:tc>
              <w:tc>
                <w:tcPr>
                  <w:tcW w:w="532" w:type="pct"/>
                  <w:tcBorders>
                    <w:tl2br w:val="nil"/>
                    <w:tr2bl w:val="nil"/>
                  </w:tcBorders>
                  <w:shd w:val="clear" w:color="auto" w:fill="auto"/>
                  <w:vAlign w:val="center"/>
                </w:tcPr>
                <w:p w14:paraId="3A84F4E3">
                  <w:pPr>
                    <w:widowControl/>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4E4">
                  <w:pPr>
                    <w:widowControl/>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4E5">
                  <w:pPr>
                    <w:adjustRightInd w:val="0"/>
                    <w:snapToGrid w:val="0"/>
                    <w:jc w:val="center"/>
                    <w:rPr>
                      <w:color w:val="auto"/>
                      <w:kern w:val="0"/>
                    </w:rPr>
                  </w:pPr>
                  <w:r>
                    <w:rPr>
                      <w:color w:val="auto"/>
                      <w:kern w:val="0"/>
                    </w:rPr>
                    <w:t>0</w:t>
                  </w:r>
                </w:p>
              </w:tc>
            </w:tr>
            <w:tr w14:paraId="3A84F4E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E7">
                  <w:pPr>
                    <w:widowControl/>
                    <w:adjustRightInd w:val="0"/>
                    <w:snapToGrid w:val="0"/>
                    <w:jc w:val="center"/>
                    <w:rPr>
                      <w:color w:val="auto"/>
                      <w:kern w:val="0"/>
                    </w:rPr>
                  </w:pPr>
                  <w:r>
                    <w:rPr>
                      <w:color w:val="auto"/>
                      <w:kern w:val="0"/>
                    </w:rPr>
                    <w:t>研磨</w:t>
                  </w:r>
                </w:p>
              </w:tc>
              <w:tc>
                <w:tcPr>
                  <w:tcW w:w="1245" w:type="pct"/>
                  <w:tcBorders>
                    <w:tl2br w:val="nil"/>
                    <w:tr2bl w:val="nil"/>
                  </w:tcBorders>
                  <w:shd w:val="clear" w:color="auto" w:fill="auto"/>
                  <w:vAlign w:val="center"/>
                </w:tcPr>
                <w:p w14:paraId="3A84F4E8">
                  <w:pPr>
                    <w:widowControl/>
                    <w:adjustRightInd w:val="0"/>
                    <w:snapToGrid w:val="0"/>
                    <w:jc w:val="center"/>
                    <w:rPr>
                      <w:color w:val="auto"/>
                      <w:kern w:val="0"/>
                    </w:rPr>
                  </w:pPr>
                  <w:r>
                    <w:rPr>
                      <w:color w:val="auto"/>
                      <w:kern w:val="0"/>
                    </w:rPr>
                    <w:t>研磨机</w:t>
                  </w:r>
                </w:p>
              </w:tc>
              <w:tc>
                <w:tcPr>
                  <w:tcW w:w="1493" w:type="pct"/>
                  <w:tcBorders>
                    <w:tl2br w:val="nil"/>
                    <w:tr2bl w:val="nil"/>
                  </w:tcBorders>
                  <w:vAlign w:val="center"/>
                </w:tcPr>
                <w:p w14:paraId="3A84F4E9">
                  <w:pPr>
                    <w:widowControl/>
                    <w:adjustRightInd w:val="0"/>
                    <w:snapToGrid w:val="0"/>
                    <w:jc w:val="center"/>
                    <w:rPr>
                      <w:color w:val="auto"/>
                      <w:kern w:val="0"/>
                    </w:rPr>
                  </w:pPr>
                  <w:r>
                    <w:rPr>
                      <w:color w:val="auto"/>
                      <w:kern w:val="0"/>
                    </w:rPr>
                    <w:t>非标进口</w:t>
                  </w:r>
                </w:p>
              </w:tc>
              <w:tc>
                <w:tcPr>
                  <w:tcW w:w="532" w:type="pct"/>
                  <w:tcBorders>
                    <w:tl2br w:val="nil"/>
                    <w:tr2bl w:val="nil"/>
                  </w:tcBorders>
                  <w:shd w:val="clear" w:color="auto" w:fill="auto"/>
                  <w:vAlign w:val="center"/>
                </w:tcPr>
                <w:p w14:paraId="3A84F4EA">
                  <w:pPr>
                    <w:widowControl/>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4EB">
                  <w:pPr>
                    <w:widowControl/>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4EC">
                  <w:pPr>
                    <w:adjustRightInd w:val="0"/>
                    <w:snapToGrid w:val="0"/>
                    <w:jc w:val="center"/>
                    <w:rPr>
                      <w:color w:val="auto"/>
                      <w:kern w:val="0"/>
                    </w:rPr>
                  </w:pPr>
                  <w:r>
                    <w:rPr>
                      <w:color w:val="auto"/>
                      <w:kern w:val="0"/>
                    </w:rPr>
                    <w:t>0</w:t>
                  </w:r>
                </w:p>
              </w:tc>
            </w:tr>
            <w:tr w14:paraId="3A84F4F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EE">
                  <w:pPr>
                    <w:widowControl/>
                    <w:adjustRightInd w:val="0"/>
                    <w:snapToGrid w:val="0"/>
                    <w:jc w:val="center"/>
                    <w:rPr>
                      <w:color w:val="auto"/>
                      <w:kern w:val="0"/>
                    </w:rPr>
                  </w:pPr>
                  <w:r>
                    <w:rPr>
                      <w:color w:val="auto"/>
                      <w:kern w:val="0"/>
                    </w:rPr>
                    <w:t>振动筛分</w:t>
                  </w:r>
                </w:p>
              </w:tc>
              <w:tc>
                <w:tcPr>
                  <w:tcW w:w="1245" w:type="pct"/>
                  <w:tcBorders>
                    <w:tl2br w:val="nil"/>
                    <w:tr2bl w:val="nil"/>
                  </w:tcBorders>
                  <w:shd w:val="clear" w:color="auto" w:fill="auto"/>
                  <w:vAlign w:val="center"/>
                </w:tcPr>
                <w:p w14:paraId="3A84F4EF">
                  <w:pPr>
                    <w:widowControl/>
                    <w:adjustRightInd w:val="0"/>
                    <w:snapToGrid w:val="0"/>
                    <w:jc w:val="center"/>
                    <w:rPr>
                      <w:color w:val="auto"/>
                      <w:kern w:val="0"/>
                    </w:rPr>
                  </w:pPr>
                  <w:r>
                    <w:rPr>
                      <w:color w:val="auto"/>
                      <w:kern w:val="0"/>
                    </w:rPr>
                    <w:t>振动离析设备</w:t>
                  </w:r>
                </w:p>
              </w:tc>
              <w:tc>
                <w:tcPr>
                  <w:tcW w:w="1493" w:type="pct"/>
                  <w:tcBorders>
                    <w:tl2br w:val="nil"/>
                    <w:tr2bl w:val="nil"/>
                  </w:tcBorders>
                  <w:vAlign w:val="center"/>
                </w:tcPr>
                <w:p w14:paraId="3A84F4F0">
                  <w:pPr>
                    <w:widowControl/>
                    <w:adjustRightInd w:val="0"/>
                    <w:snapToGrid w:val="0"/>
                    <w:jc w:val="center"/>
                    <w:rPr>
                      <w:color w:val="auto"/>
                      <w:kern w:val="0"/>
                    </w:rPr>
                  </w:pPr>
                  <w:r>
                    <w:rPr>
                      <w:color w:val="auto"/>
                      <w:kern w:val="0"/>
                    </w:rPr>
                    <w:t>非标进口</w:t>
                  </w:r>
                </w:p>
              </w:tc>
              <w:tc>
                <w:tcPr>
                  <w:tcW w:w="532" w:type="pct"/>
                  <w:tcBorders>
                    <w:tl2br w:val="nil"/>
                    <w:tr2bl w:val="nil"/>
                  </w:tcBorders>
                  <w:shd w:val="clear" w:color="auto" w:fill="auto"/>
                  <w:vAlign w:val="center"/>
                </w:tcPr>
                <w:p w14:paraId="3A84F4F1">
                  <w:pPr>
                    <w:widowControl/>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4F2">
                  <w:pPr>
                    <w:widowControl/>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4F3">
                  <w:pPr>
                    <w:adjustRightInd w:val="0"/>
                    <w:snapToGrid w:val="0"/>
                    <w:jc w:val="center"/>
                    <w:rPr>
                      <w:color w:val="auto"/>
                      <w:kern w:val="0"/>
                    </w:rPr>
                  </w:pPr>
                  <w:r>
                    <w:rPr>
                      <w:color w:val="auto"/>
                      <w:kern w:val="0"/>
                    </w:rPr>
                    <w:t>0</w:t>
                  </w:r>
                </w:p>
              </w:tc>
            </w:tr>
            <w:tr w14:paraId="3A84F4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6"/>
                  <w:tcBorders>
                    <w:tl2br w:val="nil"/>
                    <w:tr2bl w:val="nil"/>
                  </w:tcBorders>
                  <w:shd w:val="clear" w:color="auto" w:fill="auto"/>
                  <w:vAlign w:val="center"/>
                </w:tcPr>
                <w:p w14:paraId="3A84F4F5">
                  <w:pPr>
                    <w:adjustRightInd w:val="0"/>
                    <w:snapToGrid w:val="0"/>
                    <w:jc w:val="center"/>
                    <w:rPr>
                      <w:color w:val="auto"/>
                      <w:kern w:val="0"/>
                    </w:rPr>
                  </w:pPr>
                  <w:r>
                    <w:rPr>
                      <w:b/>
                      <w:bCs/>
                      <w:color w:val="auto"/>
                      <w:kern w:val="0"/>
                    </w:rPr>
                    <w:t>传火管生产设备</w:t>
                  </w:r>
                </w:p>
              </w:tc>
            </w:tr>
            <w:tr w14:paraId="3A84F4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F7">
                  <w:pPr>
                    <w:widowControl/>
                    <w:adjustRightInd w:val="0"/>
                    <w:snapToGrid w:val="0"/>
                    <w:jc w:val="center"/>
                    <w:rPr>
                      <w:color w:val="auto"/>
                      <w:kern w:val="0"/>
                    </w:rPr>
                  </w:pPr>
                  <w:r>
                    <w:rPr>
                      <w:color w:val="auto"/>
                      <w:kern w:val="0"/>
                    </w:rPr>
                    <w:t>填药</w:t>
                  </w:r>
                </w:p>
              </w:tc>
              <w:tc>
                <w:tcPr>
                  <w:tcW w:w="1245" w:type="pct"/>
                  <w:tcBorders>
                    <w:tl2br w:val="nil"/>
                    <w:tr2bl w:val="nil"/>
                  </w:tcBorders>
                  <w:shd w:val="clear" w:color="auto" w:fill="auto"/>
                  <w:vAlign w:val="center"/>
                </w:tcPr>
                <w:p w14:paraId="3A84F4F8">
                  <w:pPr>
                    <w:widowControl/>
                    <w:adjustRightInd w:val="0"/>
                    <w:snapToGrid w:val="0"/>
                    <w:jc w:val="center"/>
                    <w:rPr>
                      <w:color w:val="auto"/>
                      <w:kern w:val="0"/>
                    </w:rPr>
                  </w:pPr>
                  <w:r>
                    <w:rPr>
                      <w:color w:val="auto"/>
                      <w:kern w:val="0"/>
                    </w:rPr>
                    <w:t>填药设备</w:t>
                  </w:r>
                </w:p>
              </w:tc>
              <w:tc>
                <w:tcPr>
                  <w:tcW w:w="1493" w:type="pct"/>
                  <w:tcBorders>
                    <w:tl2br w:val="nil"/>
                    <w:tr2bl w:val="nil"/>
                  </w:tcBorders>
                  <w:vAlign w:val="center"/>
                </w:tcPr>
                <w:p w14:paraId="3A84F4F9">
                  <w:pPr>
                    <w:widowControl/>
                    <w:adjustRightInd w:val="0"/>
                    <w:snapToGrid w:val="0"/>
                    <w:jc w:val="center"/>
                    <w:rPr>
                      <w:color w:val="auto"/>
                      <w:kern w:val="0"/>
                    </w:rPr>
                  </w:pPr>
                  <w:r>
                    <w:rPr>
                      <w:color w:val="auto"/>
                      <w:kern w:val="0"/>
                    </w:rPr>
                    <w:t>非标进口</w:t>
                  </w:r>
                </w:p>
              </w:tc>
              <w:tc>
                <w:tcPr>
                  <w:tcW w:w="532" w:type="pct"/>
                  <w:tcBorders>
                    <w:tl2br w:val="nil"/>
                    <w:tr2bl w:val="nil"/>
                  </w:tcBorders>
                  <w:shd w:val="clear" w:color="auto" w:fill="auto"/>
                  <w:vAlign w:val="center"/>
                </w:tcPr>
                <w:p w14:paraId="3A84F4FA">
                  <w:pPr>
                    <w:widowControl/>
                    <w:adjustRightInd w:val="0"/>
                    <w:snapToGrid w:val="0"/>
                    <w:jc w:val="center"/>
                    <w:rPr>
                      <w:color w:val="auto"/>
                      <w:kern w:val="0"/>
                    </w:rPr>
                  </w:pPr>
                  <w:r>
                    <w:rPr>
                      <w:color w:val="auto"/>
                      <w:kern w:val="0"/>
                    </w:rPr>
                    <w:t>9</w:t>
                  </w:r>
                </w:p>
              </w:tc>
              <w:tc>
                <w:tcPr>
                  <w:tcW w:w="532" w:type="pct"/>
                  <w:tcBorders>
                    <w:tl2br w:val="nil"/>
                    <w:tr2bl w:val="nil"/>
                  </w:tcBorders>
                  <w:shd w:val="clear" w:color="auto" w:fill="auto"/>
                  <w:vAlign w:val="center"/>
                </w:tcPr>
                <w:p w14:paraId="3A84F4FB">
                  <w:pPr>
                    <w:widowControl/>
                    <w:adjustRightInd w:val="0"/>
                    <w:snapToGrid w:val="0"/>
                    <w:jc w:val="center"/>
                    <w:rPr>
                      <w:color w:val="auto"/>
                      <w:kern w:val="0"/>
                    </w:rPr>
                  </w:pPr>
                  <w:r>
                    <w:rPr>
                      <w:color w:val="auto"/>
                      <w:kern w:val="0"/>
                    </w:rPr>
                    <w:t>9</w:t>
                  </w:r>
                </w:p>
              </w:tc>
              <w:tc>
                <w:tcPr>
                  <w:tcW w:w="544" w:type="pct"/>
                  <w:tcBorders>
                    <w:tl2br w:val="nil"/>
                    <w:tr2bl w:val="nil"/>
                  </w:tcBorders>
                  <w:shd w:val="clear" w:color="auto" w:fill="auto"/>
                  <w:vAlign w:val="center"/>
                </w:tcPr>
                <w:p w14:paraId="3A84F4FC">
                  <w:pPr>
                    <w:adjustRightInd w:val="0"/>
                    <w:snapToGrid w:val="0"/>
                    <w:jc w:val="center"/>
                    <w:rPr>
                      <w:color w:val="auto"/>
                      <w:kern w:val="0"/>
                    </w:rPr>
                  </w:pPr>
                  <w:r>
                    <w:rPr>
                      <w:color w:val="auto"/>
                      <w:kern w:val="0"/>
                    </w:rPr>
                    <w:t>0</w:t>
                  </w:r>
                </w:p>
              </w:tc>
            </w:tr>
            <w:tr w14:paraId="3A84F5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4FE">
                  <w:pPr>
                    <w:widowControl/>
                    <w:adjustRightInd w:val="0"/>
                    <w:snapToGrid w:val="0"/>
                    <w:jc w:val="center"/>
                    <w:rPr>
                      <w:color w:val="auto"/>
                      <w:kern w:val="0"/>
                    </w:rPr>
                  </w:pPr>
                  <w:r>
                    <w:rPr>
                      <w:color w:val="auto"/>
                      <w:kern w:val="0"/>
                    </w:rPr>
                    <w:t>称重</w:t>
                  </w:r>
                </w:p>
              </w:tc>
              <w:tc>
                <w:tcPr>
                  <w:tcW w:w="1245" w:type="pct"/>
                  <w:tcBorders>
                    <w:tl2br w:val="nil"/>
                    <w:tr2bl w:val="nil"/>
                  </w:tcBorders>
                  <w:shd w:val="clear" w:color="auto" w:fill="auto"/>
                  <w:vAlign w:val="center"/>
                </w:tcPr>
                <w:p w14:paraId="3A84F4FF">
                  <w:pPr>
                    <w:widowControl/>
                    <w:adjustRightInd w:val="0"/>
                    <w:snapToGrid w:val="0"/>
                    <w:jc w:val="center"/>
                    <w:rPr>
                      <w:color w:val="auto"/>
                      <w:kern w:val="0"/>
                    </w:rPr>
                  </w:pPr>
                  <w:r>
                    <w:rPr>
                      <w:color w:val="auto"/>
                      <w:kern w:val="0"/>
                    </w:rPr>
                    <w:t>称重设备</w:t>
                  </w:r>
                </w:p>
              </w:tc>
              <w:tc>
                <w:tcPr>
                  <w:tcW w:w="1493" w:type="pct"/>
                  <w:tcBorders>
                    <w:tl2br w:val="nil"/>
                    <w:tr2bl w:val="nil"/>
                  </w:tcBorders>
                  <w:vAlign w:val="center"/>
                </w:tcPr>
                <w:p w14:paraId="3A84F500">
                  <w:pPr>
                    <w:widowControl/>
                    <w:adjustRightInd w:val="0"/>
                    <w:snapToGrid w:val="0"/>
                    <w:jc w:val="center"/>
                    <w:rPr>
                      <w:color w:val="auto"/>
                      <w:kern w:val="0"/>
                    </w:rPr>
                  </w:pPr>
                  <w:r>
                    <w:rPr>
                      <w:color w:val="auto"/>
                      <w:kern w:val="0"/>
                    </w:rPr>
                    <w:t>非标进口</w:t>
                  </w:r>
                </w:p>
              </w:tc>
              <w:tc>
                <w:tcPr>
                  <w:tcW w:w="532" w:type="pct"/>
                  <w:tcBorders>
                    <w:tl2br w:val="nil"/>
                    <w:tr2bl w:val="nil"/>
                  </w:tcBorders>
                  <w:shd w:val="clear" w:color="auto" w:fill="auto"/>
                  <w:vAlign w:val="center"/>
                </w:tcPr>
                <w:p w14:paraId="3A84F501">
                  <w:pPr>
                    <w:widowControl/>
                    <w:adjustRightInd w:val="0"/>
                    <w:snapToGrid w:val="0"/>
                    <w:jc w:val="center"/>
                    <w:rPr>
                      <w:color w:val="auto"/>
                      <w:kern w:val="0"/>
                    </w:rPr>
                  </w:pPr>
                  <w:r>
                    <w:rPr>
                      <w:color w:val="auto"/>
                      <w:kern w:val="0"/>
                    </w:rPr>
                    <w:t>9</w:t>
                  </w:r>
                </w:p>
              </w:tc>
              <w:tc>
                <w:tcPr>
                  <w:tcW w:w="532" w:type="pct"/>
                  <w:tcBorders>
                    <w:tl2br w:val="nil"/>
                    <w:tr2bl w:val="nil"/>
                  </w:tcBorders>
                  <w:shd w:val="clear" w:color="auto" w:fill="auto"/>
                  <w:vAlign w:val="center"/>
                </w:tcPr>
                <w:p w14:paraId="3A84F502">
                  <w:pPr>
                    <w:widowControl/>
                    <w:adjustRightInd w:val="0"/>
                    <w:snapToGrid w:val="0"/>
                    <w:jc w:val="center"/>
                    <w:rPr>
                      <w:color w:val="auto"/>
                      <w:kern w:val="0"/>
                    </w:rPr>
                  </w:pPr>
                  <w:r>
                    <w:rPr>
                      <w:color w:val="auto"/>
                      <w:kern w:val="0"/>
                    </w:rPr>
                    <w:t>9</w:t>
                  </w:r>
                </w:p>
              </w:tc>
              <w:tc>
                <w:tcPr>
                  <w:tcW w:w="544" w:type="pct"/>
                  <w:tcBorders>
                    <w:tl2br w:val="nil"/>
                    <w:tr2bl w:val="nil"/>
                  </w:tcBorders>
                  <w:shd w:val="clear" w:color="auto" w:fill="auto"/>
                  <w:vAlign w:val="center"/>
                </w:tcPr>
                <w:p w14:paraId="3A84F503">
                  <w:pPr>
                    <w:adjustRightInd w:val="0"/>
                    <w:snapToGrid w:val="0"/>
                    <w:jc w:val="center"/>
                    <w:rPr>
                      <w:color w:val="auto"/>
                      <w:kern w:val="0"/>
                    </w:rPr>
                  </w:pPr>
                  <w:r>
                    <w:rPr>
                      <w:color w:val="auto"/>
                      <w:kern w:val="0"/>
                    </w:rPr>
                    <w:t>0</w:t>
                  </w:r>
                </w:p>
              </w:tc>
            </w:tr>
            <w:tr w14:paraId="3A84F50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505">
                  <w:pPr>
                    <w:widowControl/>
                    <w:adjustRightInd w:val="0"/>
                    <w:snapToGrid w:val="0"/>
                    <w:jc w:val="center"/>
                    <w:rPr>
                      <w:color w:val="auto"/>
                      <w:kern w:val="0"/>
                    </w:rPr>
                  </w:pPr>
                  <w:r>
                    <w:rPr>
                      <w:color w:val="auto"/>
                      <w:kern w:val="0"/>
                    </w:rPr>
                    <w:t>封口压接</w:t>
                  </w:r>
                </w:p>
              </w:tc>
              <w:tc>
                <w:tcPr>
                  <w:tcW w:w="1245" w:type="pct"/>
                  <w:tcBorders>
                    <w:tl2br w:val="nil"/>
                    <w:tr2bl w:val="nil"/>
                  </w:tcBorders>
                  <w:shd w:val="clear" w:color="auto" w:fill="auto"/>
                  <w:vAlign w:val="center"/>
                </w:tcPr>
                <w:p w14:paraId="3A84F506">
                  <w:pPr>
                    <w:widowControl/>
                    <w:adjustRightInd w:val="0"/>
                    <w:snapToGrid w:val="0"/>
                    <w:jc w:val="center"/>
                    <w:rPr>
                      <w:color w:val="auto"/>
                      <w:kern w:val="0"/>
                    </w:rPr>
                  </w:pPr>
                  <w:r>
                    <w:rPr>
                      <w:color w:val="auto"/>
                      <w:kern w:val="0"/>
                    </w:rPr>
                    <w:t>封口压接设备</w:t>
                  </w:r>
                </w:p>
              </w:tc>
              <w:tc>
                <w:tcPr>
                  <w:tcW w:w="1493" w:type="pct"/>
                  <w:tcBorders>
                    <w:tl2br w:val="nil"/>
                    <w:tr2bl w:val="nil"/>
                  </w:tcBorders>
                  <w:vAlign w:val="center"/>
                </w:tcPr>
                <w:p w14:paraId="3A84F507">
                  <w:pPr>
                    <w:widowControl/>
                    <w:adjustRightInd w:val="0"/>
                    <w:snapToGrid w:val="0"/>
                    <w:jc w:val="center"/>
                    <w:rPr>
                      <w:color w:val="auto"/>
                      <w:kern w:val="0"/>
                    </w:rPr>
                  </w:pPr>
                  <w:r>
                    <w:rPr>
                      <w:color w:val="auto"/>
                      <w:kern w:val="0"/>
                    </w:rPr>
                    <w:t>非标进口</w:t>
                  </w:r>
                </w:p>
              </w:tc>
              <w:tc>
                <w:tcPr>
                  <w:tcW w:w="532" w:type="pct"/>
                  <w:tcBorders>
                    <w:tl2br w:val="nil"/>
                    <w:tr2bl w:val="nil"/>
                  </w:tcBorders>
                  <w:shd w:val="clear" w:color="auto" w:fill="auto"/>
                  <w:vAlign w:val="center"/>
                </w:tcPr>
                <w:p w14:paraId="3A84F508">
                  <w:pPr>
                    <w:widowControl/>
                    <w:adjustRightInd w:val="0"/>
                    <w:snapToGrid w:val="0"/>
                    <w:jc w:val="center"/>
                    <w:rPr>
                      <w:color w:val="auto"/>
                      <w:kern w:val="0"/>
                    </w:rPr>
                  </w:pPr>
                  <w:r>
                    <w:rPr>
                      <w:color w:val="auto"/>
                      <w:kern w:val="0"/>
                    </w:rPr>
                    <w:t>10</w:t>
                  </w:r>
                </w:p>
              </w:tc>
              <w:tc>
                <w:tcPr>
                  <w:tcW w:w="532" w:type="pct"/>
                  <w:tcBorders>
                    <w:tl2br w:val="nil"/>
                    <w:tr2bl w:val="nil"/>
                  </w:tcBorders>
                  <w:shd w:val="clear" w:color="auto" w:fill="auto"/>
                  <w:vAlign w:val="center"/>
                </w:tcPr>
                <w:p w14:paraId="3A84F509">
                  <w:pPr>
                    <w:widowControl/>
                    <w:adjustRightInd w:val="0"/>
                    <w:snapToGrid w:val="0"/>
                    <w:jc w:val="center"/>
                    <w:rPr>
                      <w:color w:val="auto"/>
                      <w:kern w:val="0"/>
                    </w:rPr>
                  </w:pPr>
                  <w:r>
                    <w:rPr>
                      <w:color w:val="auto"/>
                      <w:kern w:val="0"/>
                    </w:rPr>
                    <w:t>10</w:t>
                  </w:r>
                </w:p>
              </w:tc>
              <w:tc>
                <w:tcPr>
                  <w:tcW w:w="544" w:type="pct"/>
                  <w:tcBorders>
                    <w:tl2br w:val="nil"/>
                    <w:tr2bl w:val="nil"/>
                  </w:tcBorders>
                  <w:shd w:val="clear" w:color="auto" w:fill="auto"/>
                  <w:vAlign w:val="center"/>
                </w:tcPr>
                <w:p w14:paraId="3A84F50A">
                  <w:pPr>
                    <w:adjustRightInd w:val="0"/>
                    <w:snapToGrid w:val="0"/>
                    <w:jc w:val="center"/>
                    <w:rPr>
                      <w:color w:val="auto"/>
                      <w:kern w:val="0"/>
                    </w:rPr>
                  </w:pPr>
                  <w:r>
                    <w:rPr>
                      <w:color w:val="auto"/>
                      <w:kern w:val="0"/>
                    </w:rPr>
                    <w:t>0</w:t>
                  </w:r>
                </w:p>
              </w:tc>
            </w:tr>
            <w:tr w14:paraId="3A84F51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50C">
                  <w:pPr>
                    <w:widowControl/>
                    <w:adjustRightInd w:val="0"/>
                    <w:snapToGrid w:val="0"/>
                    <w:jc w:val="center"/>
                    <w:rPr>
                      <w:color w:val="auto"/>
                      <w:kern w:val="0"/>
                    </w:rPr>
                  </w:pPr>
                  <w:r>
                    <w:rPr>
                      <w:color w:val="auto"/>
                      <w:kern w:val="0"/>
                    </w:rPr>
                    <w:t>组装</w:t>
                  </w:r>
                </w:p>
              </w:tc>
              <w:tc>
                <w:tcPr>
                  <w:tcW w:w="1245" w:type="pct"/>
                  <w:tcBorders>
                    <w:tl2br w:val="nil"/>
                    <w:tr2bl w:val="nil"/>
                  </w:tcBorders>
                  <w:shd w:val="clear" w:color="auto" w:fill="auto"/>
                  <w:vAlign w:val="center"/>
                </w:tcPr>
                <w:p w14:paraId="3A84F50D">
                  <w:pPr>
                    <w:widowControl/>
                    <w:adjustRightInd w:val="0"/>
                    <w:snapToGrid w:val="0"/>
                    <w:jc w:val="center"/>
                    <w:rPr>
                      <w:color w:val="auto"/>
                      <w:kern w:val="0"/>
                    </w:rPr>
                  </w:pPr>
                  <w:r>
                    <w:rPr>
                      <w:color w:val="auto"/>
                      <w:kern w:val="0"/>
                    </w:rPr>
                    <w:t>组装设备</w:t>
                  </w:r>
                </w:p>
              </w:tc>
              <w:tc>
                <w:tcPr>
                  <w:tcW w:w="1493" w:type="pct"/>
                  <w:tcBorders>
                    <w:tl2br w:val="nil"/>
                    <w:tr2bl w:val="nil"/>
                  </w:tcBorders>
                  <w:vAlign w:val="center"/>
                </w:tcPr>
                <w:p w14:paraId="3A84F50E">
                  <w:pPr>
                    <w:widowControl/>
                    <w:adjustRightInd w:val="0"/>
                    <w:snapToGrid w:val="0"/>
                    <w:jc w:val="center"/>
                    <w:rPr>
                      <w:color w:val="auto"/>
                      <w:kern w:val="0"/>
                    </w:rPr>
                  </w:pPr>
                  <w:r>
                    <w:rPr>
                      <w:color w:val="auto"/>
                      <w:kern w:val="0"/>
                    </w:rPr>
                    <w:t>非标进口</w:t>
                  </w:r>
                </w:p>
              </w:tc>
              <w:tc>
                <w:tcPr>
                  <w:tcW w:w="532" w:type="pct"/>
                  <w:tcBorders>
                    <w:tl2br w:val="nil"/>
                    <w:tr2bl w:val="nil"/>
                  </w:tcBorders>
                  <w:shd w:val="clear" w:color="auto" w:fill="auto"/>
                  <w:vAlign w:val="center"/>
                </w:tcPr>
                <w:p w14:paraId="3A84F50F">
                  <w:pPr>
                    <w:widowControl/>
                    <w:adjustRightInd w:val="0"/>
                    <w:snapToGrid w:val="0"/>
                    <w:jc w:val="center"/>
                    <w:rPr>
                      <w:color w:val="auto"/>
                      <w:kern w:val="0"/>
                    </w:rPr>
                  </w:pPr>
                  <w:r>
                    <w:rPr>
                      <w:color w:val="auto"/>
                      <w:kern w:val="0"/>
                    </w:rPr>
                    <w:t>10</w:t>
                  </w:r>
                </w:p>
              </w:tc>
              <w:tc>
                <w:tcPr>
                  <w:tcW w:w="532" w:type="pct"/>
                  <w:tcBorders>
                    <w:tl2br w:val="nil"/>
                    <w:tr2bl w:val="nil"/>
                  </w:tcBorders>
                  <w:shd w:val="clear" w:color="auto" w:fill="auto"/>
                  <w:vAlign w:val="center"/>
                </w:tcPr>
                <w:p w14:paraId="3A84F510">
                  <w:pPr>
                    <w:widowControl/>
                    <w:adjustRightInd w:val="0"/>
                    <w:snapToGrid w:val="0"/>
                    <w:jc w:val="center"/>
                    <w:rPr>
                      <w:color w:val="auto"/>
                      <w:kern w:val="0"/>
                    </w:rPr>
                  </w:pPr>
                  <w:r>
                    <w:rPr>
                      <w:color w:val="auto"/>
                      <w:kern w:val="0"/>
                    </w:rPr>
                    <w:t>10</w:t>
                  </w:r>
                </w:p>
              </w:tc>
              <w:tc>
                <w:tcPr>
                  <w:tcW w:w="544" w:type="pct"/>
                  <w:tcBorders>
                    <w:tl2br w:val="nil"/>
                    <w:tr2bl w:val="nil"/>
                  </w:tcBorders>
                  <w:shd w:val="clear" w:color="auto" w:fill="auto"/>
                  <w:vAlign w:val="center"/>
                </w:tcPr>
                <w:p w14:paraId="3A84F511">
                  <w:pPr>
                    <w:adjustRightInd w:val="0"/>
                    <w:snapToGrid w:val="0"/>
                    <w:jc w:val="center"/>
                    <w:rPr>
                      <w:color w:val="auto"/>
                      <w:kern w:val="0"/>
                    </w:rPr>
                  </w:pPr>
                  <w:r>
                    <w:rPr>
                      <w:color w:val="auto"/>
                      <w:kern w:val="0"/>
                    </w:rPr>
                    <w:t>0</w:t>
                  </w:r>
                </w:p>
              </w:tc>
            </w:tr>
            <w:tr w14:paraId="3A84F51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6"/>
                  <w:tcBorders>
                    <w:tl2br w:val="nil"/>
                    <w:tr2bl w:val="nil"/>
                  </w:tcBorders>
                  <w:shd w:val="clear" w:color="auto" w:fill="auto"/>
                  <w:vAlign w:val="center"/>
                </w:tcPr>
                <w:p w14:paraId="3A84F513">
                  <w:pPr>
                    <w:adjustRightInd w:val="0"/>
                    <w:snapToGrid w:val="0"/>
                    <w:jc w:val="center"/>
                    <w:rPr>
                      <w:color w:val="auto"/>
                      <w:kern w:val="0"/>
                    </w:rPr>
                  </w:pPr>
                  <w:r>
                    <w:rPr>
                      <w:b/>
                      <w:bCs/>
                      <w:color w:val="auto"/>
                      <w:kern w:val="0"/>
                    </w:rPr>
                    <w:t>小型气体发生器生产线生产设备</w:t>
                  </w:r>
                </w:p>
              </w:tc>
            </w:tr>
            <w:tr w14:paraId="3A84F51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515">
                  <w:pPr>
                    <w:widowControl/>
                    <w:adjustRightInd w:val="0"/>
                    <w:snapToGrid w:val="0"/>
                    <w:jc w:val="center"/>
                    <w:rPr>
                      <w:color w:val="auto"/>
                      <w:kern w:val="0"/>
                    </w:rPr>
                  </w:pPr>
                  <w:r>
                    <w:rPr>
                      <w:color w:val="auto"/>
                      <w:kern w:val="0"/>
                    </w:rPr>
                    <w:t>Holder上料</w:t>
                  </w:r>
                </w:p>
              </w:tc>
              <w:tc>
                <w:tcPr>
                  <w:tcW w:w="1245" w:type="pct"/>
                  <w:tcBorders>
                    <w:tl2br w:val="nil"/>
                    <w:tr2bl w:val="nil"/>
                  </w:tcBorders>
                  <w:shd w:val="clear" w:color="auto" w:fill="auto"/>
                  <w:vAlign w:val="center"/>
                </w:tcPr>
                <w:p w14:paraId="3A84F516">
                  <w:pPr>
                    <w:widowControl/>
                    <w:adjustRightInd w:val="0"/>
                    <w:snapToGrid w:val="0"/>
                    <w:jc w:val="center"/>
                    <w:rPr>
                      <w:color w:val="auto"/>
                      <w:kern w:val="0"/>
                    </w:rPr>
                  </w:pPr>
                  <w:r>
                    <w:rPr>
                      <w:color w:val="auto"/>
                      <w:kern w:val="0"/>
                    </w:rPr>
                    <w:t>Holder上料盘机构</w:t>
                  </w:r>
                </w:p>
              </w:tc>
              <w:tc>
                <w:tcPr>
                  <w:tcW w:w="1493" w:type="pct"/>
                  <w:tcBorders>
                    <w:tl2br w:val="nil"/>
                    <w:tr2bl w:val="nil"/>
                  </w:tcBorders>
                  <w:vAlign w:val="center"/>
                </w:tcPr>
                <w:p w14:paraId="3A84F517">
                  <w:pPr>
                    <w:widowControl/>
                    <w:adjustRightInd w:val="0"/>
                    <w:snapToGrid w:val="0"/>
                    <w:jc w:val="center"/>
                    <w:rPr>
                      <w:color w:val="auto"/>
                      <w:kern w:val="0"/>
                    </w:rPr>
                  </w:pPr>
                  <w:r>
                    <w:rPr>
                      <w:color w:val="auto"/>
                      <w:kern w:val="0"/>
                    </w:rPr>
                    <w:t>BFCN MB-300D</w:t>
                  </w:r>
                </w:p>
              </w:tc>
              <w:tc>
                <w:tcPr>
                  <w:tcW w:w="532" w:type="pct"/>
                  <w:tcBorders>
                    <w:tl2br w:val="nil"/>
                    <w:tr2bl w:val="nil"/>
                  </w:tcBorders>
                  <w:shd w:val="clear" w:color="auto" w:fill="auto"/>
                  <w:vAlign w:val="center"/>
                </w:tcPr>
                <w:p w14:paraId="3A84F518">
                  <w:pPr>
                    <w:widowControl/>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519">
                  <w:pPr>
                    <w:widowControl/>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51A">
                  <w:pPr>
                    <w:adjustRightInd w:val="0"/>
                    <w:snapToGrid w:val="0"/>
                    <w:jc w:val="center"/>
                    <w:rPr>
                      <w:color w:val="auto"/>
                      <w:kern w:val="0"/>
                    </w:rPr>
                  </w:pPr>
                  <w:r>
                    <w:rPr>
                      <w:color w:val="auto"/>
                      <w:kern w:val="0"/>
                    </w:rPr>
                    <w:t>0</w:t>
                  </w:r>
                </w:p>
              </w:tc>
            </w:tr>
            <w:tr w14:paraId="3A84F5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51C">
                  <w:pPr>
                    <w:widowControl/>
                    <w:adjustRightInd w:val="0"/>
                    <w:snapToGrid w:val="0"/>
                    <w:jc w:val="center"/>
                    <w:rPr>
                      <w:color w:val="auto"/>
                      <w:kern w:val="0"/>
                    </w:rPr>
                  </w:pPr>
                  <w:r>
                    <w:rPr>
                      <w:color w:val="auto"/>
                      <w:kern w:val="0"/>
                    </w:rPr>
                    <w:t>密封圈装载</w:t>
                  </w:r>
                </w:p>
              </w:tc>
              <w:tc>
                <w:tcPr>
                  <w:tcW w:w="1245" w:type="pct"/>
                  <w:tcBorders>
                    <w:tl2br w:val="nil"/>
                    <w:tr2bl w:val="nil"/>
                  </w:tcBorders>
                  <w:shd w:val="clear" w:color="auto" w:fill="auto"/>
                  <w:vAlign w:val="center"/>
                </w:tcPr>
                <w:p w14:paraId="3A84F51D">
                  <w:pPr>
                    <w:widowControl/>
                    <w:adjustRightInd w:val="0"/>
                    <w:snapToGrid w:val="0"/>
                    <w:jc w:val="center"/>
                    <w:rPr>
                      <w:color w:val="auto"/>
                      <w:kern w:val="0"/>
                    </w:rPr>
                  </w:pPr>
                  <w:r>
                    <w:rPr>
                      <w:color w:val="auto"/>
                      <w:kern w:val="0"/>
                    </w:rPr>
                    <w:t>密封圈装载机构</w:t>
                  </w:r>
                </w:p>
              </w:tc>
              <w:tc>
                <w:tcPr>
                  <w:tcW w:w="1493" w:type="pct"/>
                  <w:tcBorders>
                    <w:tl2br w:val="nil"/>
                    <w:tr2bl w:val="nil"/>
                  </w:tcBorders>
                  <w:vAlign w:val="center"/>
                </w:tcPr>
                <w:p w14:paraId="3A84F51E">
                  <w:pPr>
                    <w:widowControl/>
                    <w:adjustRightInd w:val="0"/>
                    <w:snapToGrid w:val="0"/>
                    <w:jc w:val="center"/>
                    <w:rPr>
                      <w:color w:val="auto"/>
                      <w:kern w:val="0"/>
                    </w:rPr>
                  </w:pPr>
                  <w:r>
                    <w:rPr>
                      <w:color w:val="auto"/>
                      <w:kern w:val="0"/>
                    </w:rPr>
                    <w:t>BFCN ML-002JD</w:t>
                  </w:r>
                </w:p>
              </w:tc>
              <w:tc>
                <w:tcPr>
                  <w:tcW w:w="532" w:type="pct"/>
                  <w:tcBorders>
                    <w:tl2br w:val="nil"/>
                    <w:tr2bl w:val="nil"/>
                  </w:tcBorders>
                  <w:shd w:val="clear" w:color="auto" w:fill="auto"/>
                  <w:vAlign w:val="center"/>
                </w:tcPr>
                <w:p w14:paraId="3A84F51F">
                  <w:pPr>
                    <w:widowControl/>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520">
                  <w:pPr>
                    <w:widowControl/>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521">
                  <w:pPr>
                    <w:adjustRightInd w:val="0"/>
                    <w:snapToGrid w:val="0"/>
                    <w:jc w:val="center"/>
                    <w:rPr>
                      <w:color w:val="auto"/>
                      <w:kern w:val="0"/>
                    </w:rPr>
                  </w:pPr>
                  <w:r>
                    <w:rPr>
                      <w:color w:val="auto"/>
                      <w:kern w:val="0"/>
                    </w:rPr>
                    <w:t>0</w:t>
                  </w:r>
                </w:p>
              </w:tc>
            </w:tr>
            <w:tr w14:paraId="3A84F52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523">
                  <w:pPr>
                    <w:widowControl/>
                    <w:adjustRightInd w:val="0"/>
                    <w:snapToGrid w:val="0"/>
                    <w:jc w:val="center"/>
                    <w:rPr>
                      <w:color w:val="auto"/>
                      <w:kern w:val="0"/>
                    </w:rPr>
                  </w:pPr>
                  <w:r>
                    <w:rPr>
                      <w:color w:val="auto"/>
                      <w:kern w:val="0"/>
                    </w:rPr>
                    <w:t>引爆器安装</w:t>
                  </w:r>
                </w:p>
              </w:tc>
              <w:tc>
                <w:tcPr>
                  <w:tcW w:w="1245" w:type="pct"/>
                  <w:tcBorders>
                    <w:tl2br w:val="nil"/>
                    <w:tr2bl w:val="nil"/>
                  </w:tcBorders>
                  <w:shd w:val="clear" w:color="auto" w:fill="auto"/>
                  <w:vAlign w:val="center"/>
                </w:tcPr>
                <w:p w14:paraId="3A84F524">
                  <w:pPr>
                    <w:widowControl/>
                    <w:adjustRightInd w:val="0"/>
                    <w:snapToGrid w:val="0"/>
                    <w:jc w:val="center"/>
                    <w:rPr>
                      <w:color w:val="auto"/>
                      <w:kern w:val="0"/>
                    </w:rPr>
                  </w:pPr>
                  <w:r>
                    <w:rPr>
                      <w:color w:val="auto"/>
                      <w:kern w:val="0"/>
                    </w:rPr>
                    <w:t>引爆器安装机构</w:t>
                  </w:r>
                </w:p>
              </w:tc>
              <w:tc>
                <w:tcPr>
                  <w:tcW w:w="1493" w:type="pct"/>
                  <w:tcBorders>
                    <w:tl2br w:val="nil"/>
                    <w:tr2bl w:val="nil"/>
                  </w:tcBorders>
                  <w:vAlign w:val="center"/>
                </w:tcPr>
                <w:p w14:paraId="3A84F525">
                  <w:pPr>
                    <w:widowControl/>
                    <w:adjustRightInd w:val="0"/>
                    <w:snapToGrid w:val="0"/>
                    <w:jc w:val="center"/>
                    <w:rPr>
                      <w:color w:val="auto"/>
                      <w:kern w:val="0"/>
                    </w:rPr>
                  </w:pPr>
                  <w:r>
                    <w:rPr>
                      <w:color w:val="auto"/>
                      <w:kern w:val="0"/>
                    </w:rPr>
                    <w:t>BFCN MB-300D</w:t>
                  </w:r>
                </w:p>
              </w:tc>
              <w:tc>
                <w:tcPr>
                  <w:tcW w:w="532" w:type="pct"/>
                  <w:tcBorders>
                    <w:tl2br w:val="nil"/>
                    <w:tr2bl w:val="nil"/>
                  </w:tcBorders>
                  <w:shd w:val="clear" w:color="auto" w:fill="auto"/>
                  <w:vAlign w:val="center"/>
                </w:tcPr>
                <w:p w14:paraId="3A84F526">
                  <w:pPr>
                    <w:widowControl/>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527">
                  <w:pPr>
                    <w:widowControl/>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528">
                  <w:pPr>
                    <w:adjustRightInd w:val="0"/>
                    <w:snapToGrid w:val="0"/>
                    <w:jc w:val="center"/>
                    <w:rPr>
                      <w:color w:val="auto"/>
                      <w:kern w:val="0"/>
                    </w:rPr>
                  </w:pPr>
                  <w:r>
                    <w:rPr>
                      <w:color w:val="auto"/>
                      <w:kern w:val="0"/>
                    </w:rPr>
                    <w:t>0</w:t>
                  </w:r>
                </w:p>
              </w:tc>
            </w:tr>
            <w:tr w14:paraId="3A84F5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52A">
                  <w:pPr>
                    <w:widowControl/>
                    <w:adjustRightInd w:val="0"/>
                    <w:snapToGrid w:val="0"/>
                    <w:jc w:val="center"/>
                    <w:rPr>
                      <w:color w:val="auto"/>
                      <w:kern w:val="0"/>
                    </w:rPr>
                  </w:pPr>
                  <w:r>
                    <w:rPr>
                      <w:color w:val="auto"/>
                      <w:kern w:val="0"/>
                    </w:rPr>
                    <w:t>引爆器卷边</w:t>
                  </w:r>
                </w:p>
              </w:tc>
              <w:tc>
                <w:tcPr>
                  <w:tcW w:w="1245" w:type="pct"/>
                  <w:tcBorders>
                    <w:tl2br w:val="nil"/>
                    <w:tr2bl w:val="nil"/>
                  </w:tcBorders>
                  <w:shd w:val="clear" w:color="auto" w:fill="auto"/>
                  <w:vAlign w:val="center"/>
                </w:tcPr>
                <w:p w14:paraId="3A84F52B">
                  <w:pPr>
                    <w:widowControl/>
                    <w:adjustRightInd w:val="0"/>
                    <w:snapToGrid w:val="0"/>
                    <w:jc w:val="center"/>
                    <w:rPr>
                      <w:color w:val="auto"/>
                      <w:kern w:val="0"/>
                    </w:rPr>
                  </w:pPr>
                  <w:r>
                    <w:rPr>
                      <w:color w:val="auto"/>
                      <w:kern w:val="0"/>
                    </w:rPr>
                    <w:t>引爆器卷边机构</w:t>
                  </w:r>
                </w:p>
              </w:tc>
              <w:tc>
                <w:tcPr>
                  <w:tcW w:w="1493" w:type="pct"/>
                  <w:tcBorders>
                    <w:tl2br w:val="nil"/>
                    <w:tr2bl w:val="nil"/>
                  </w:tcBorders>
                  <w:vAlign w:val="center"/>
                </w:tcPr>
                <w:p w14:paraId="3A84F52C">
                  <w:pPr>
                    <w:widowControl/>
                    <w:adjustRightInd w:val="0"/>
                    <w:snapToGrid w:val="0"/>
                    <w:jc w:val="center"/>
                    <w:rPr>
                      <w:color w:val="auto"/>
                      <w:kern w:val="0"/>
                    </w:rPr>
                  </w:pPr>
                  <w:r>
                    <w:rPr>
                      <w:color w:val="auto"/>
                      <w:kern w:val="0"/>
                    </w:rPr>
                    <w:t>S04.30.050.06D.US</w:t>
                  </w:r>
                </w:p>
              </w:tc>
              <w:tc>
                <w:tcPr>
                  <w:tcW w:w="532" w:type="pct"/>
                  <w:tcBorders>
                    <w:tl2br w:val="nil"/>
                    <w:tr2bl w:val="nil"/>
                  </w:tcBorders>
                  <w:shd w:val="clear" w:color="auto" w:fill="auto"/>
                  <w:vAlign w:val="center"/>
                </w:tcPr>
                <w:p w14:paraId="3A84F52D">
                  <w:pPr>
                    <w:widowControl/>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52E">
                  <w:pPr>
                    <w:widowControl/>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52F">
                  <w:pPr>
                    <w:adjustRightInd w:val="0"/>
                    <w:snapToGrid w:val="0"/>
                    <w:jc w:val="center"/>
                    <w:rPr>
                      <w:color w:val="auto"/>
                      <w:kern w:val="0"/>
                    </w:rPr>
                  </w:pPr>
                  <w:r>
                    <w:rPr>
                      <w:color w:val="auto"/>
                      <w:kern w:val="0"/>
                    </w:rPr>
                    <w:t>0</w:t>
                  </w:r>
                </w:p>
              </w:tc>
            </w:tr>
            <w:tr w14:paraId="3A84F5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531">
                  <w:pPr>
                    <w:widowControl/>
                    <w:adjustRightInd w:val="0"/>
                    <w:snapToGrid w:val="0"/>
                    <w:jc w:val="center"/>
                    <w:rPr>
                      <w:color w:val="auto"/>
                      <w:kern w:val="0"/>
                    </w:rPr>
                  </w:pPr>
                  <w:r>
                    <w:rPr>
                      <w:color w:val="auto"/>
                      <w:kern w:val="0"/>
                    </w:rPr>
                    <w:t>真空清洁</w:t>
                  </w:r>
                </w:p>
              </w:tc>
              <w:tc>
                <w:tcPr>
                  <w:tcW w:w="1245" w:type="pct"/>
                  <w:tcBorders>
                    <w:tl2br w:val="nil"/>
                    <w:tr2bl w:val="nil"/>
                  </w:tcBorders>
                  <w:shd w:val="clear" w:color="auto" w:fill="auto"/>
                  <w:vAlign w:val="center"/>
                </w:tcPr>
                <w:p w14:paraId="3A84F532">
                  <w:pPr>
                    <w:widowControl/>
                    <w:adjustRightInd w:val="0"/>
                    <w:snapToGrid w:val="0"/>
                    <w:jc w:val="center"/>
                    <w:rPr>
                      <w:color w:val="auto"/>
                      <w:kern w:val="0"/>
                    </w:rPr>
                  </w:pPr>
                  <w:r>
                    <w:rPr>
                      <w:color w:val="auto"/>
                      <w:kern w:val="0"/>
                    </w:rPr>
                    <w:t>真空清洁机构</w:t>
                  </w:r>
                </w:p>
              </w:tc>
              <w:tc>
                <w:tcPr>
                  <w:tcW w:w="1493" w:type="pct"/>
                  <w:tcBorders>
                    <w:tl2br w:val="nil"/>
                    <w:tr2bl w:val="nil"/>
                  </w:tcBorders>
                  <w:vAlign w:val="center"/>
                </w:tcPr>
                <w:p w14:paraId="3A84F533">
                  <w:pPr>
                    <w:widowControl/>
                    <w:adjustRightInd w:val="0"/>
                    <w:snapToGrid w:val="0"/>
                    <w:jc w:val="center"/>
                    <w:rPr>
                      <w:color w:val="auto"/>
                      <w:kern w:val="0"/>
                    </w:rPr>
                  </w:pPr>
                  <w:r>
                    <w:rPr>
                      <w:color w:val="auto"/>
                      <w:kern w:val="0"/>
                    </w:rPr>
                    <w:t>FLT-4-1.5</w:t>
                  </w:r>
                </w:p>
              </w:tc>
              <w:tc>
                <w:tcPr>
                  <w:tcW w:w="532" w:type="pct"/>
                  <w:tcBorders>
                    <w:tl2br w:val="nil"/>
                    <w:tr2bl w:val="nil"/>
                  </w:tcBorders>
                  <w:shd w:val="clear" w:color="auto" w:fill="auto"/>
                  <w:vAlign w:val="center"/>
                </w:tcPr>
                <w:p w14:paraId="3A84F534">
                  <w:pPr>
                    <w:widowControl/>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535">
                  <w:pPr>
                    <w:widowControl/>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536">
                  <w:pPr>
                    <w:adjustRightInd w:val="0"/>
                    <w:snapToGrid w:val="0"/>
                    <w:jc w:val="center"/>
                    <w:rPr>
                      <w:color w:val="auto"/>
                      <w:kern w:val="0"/>
                    </w:rPr>
                  </w:pPr>
                  <w:r>
                    <w:rPr>
                      <w:color w:val="auto"/>
                      <w:kern w:val="0"/>
                    </w:rPr>
                    <w:t>0</w:t>
                  </w:r>
                </w:p>
              </w:tc>
            </w:tr>
            <w:tr w14:paraId="3A84F53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538">
                  <w:pPr>
                    <w:widowControl/>
                    <w:adjustRightInd w:val="0"/>
                    <w:snapToGrid w:val="0"/>
                    <w:jc w:val="center"/>
                    <w:rPr>
                      <w:color w:val="auto"/>
                      <w:kern w:val="0"/>
                    </w:rPr>
                  </w:pPr>
                  <w:r>
                    <w:rPr>
                      <w:color w:val="auto"/>
                      <w:kern w:val="0"/>
                    </w:rPr>
                    <w:t>激光打码</w:t>
                  </w:r>
                </w:p>
              </w:tc>
              <w:tc>
                <w:tcPr>
                  <w:tcW w:w="1245" w:type="pct"/>
                  <w:tcBorders>
                    <w:tl2br w:val="nil"/>
                    <w:tr2bl w:val="nil"/>
                  </w:tcBorders>
                  <w:shd w:val="clear" w:color="auto" w:fill="auto"/>
                  <w:vAlign w:val="center"/>
                </w:tcPr>
                <w:p w14:paraId="3A84F539">
                  <w:pPr>
                    <w:widowControl/>
                    <w:adjustRightInd w:val="0"/>
                    <w:snapToGrid w:val="0"/>
                    <w:jc w:val="center"/>
                    <w:rPr>
                      <w:color w:val="auto"/>
                      <w:kern w:val="0"/>
                    </w:rPr>
                  </w:pPr>
                  <w:r>
                    <w:rPr>
                      <w:color w:val="auto"/>
                      <w:kern w:val="0"/>
                    </w:rPr>
                    <w:t>激光打码机构</w:t>
                  </w:r>
                </w:p>
              </w:tc>
              <w:tc>
                <w:tcPr>
                  <w:tcW w:w="1493" w:type="pct"/>
                  <w:tcBorders>
                    <w:tl2br w:val="nil"/>
                    <w:tr2bl w:val="nil"/>
                  </w:tcBorders>
                  <w:vAlign w:val="center"/>
                </w:tcPr>
                <w:p w14:paraId="3A84F53A">
                  <w:pPr>
                    <w:widowControl/>
                    <w:adjustRightInd w:val="0"/>
                    <w:snapToGrid w:val="0"/>
                    <w:jc w:val="center"/>
                    <w:rPr>
                      <w:color w:val="auto"/>
                      <w:kern w:val="0"/>
                    </w:rPr>
                  </w:pPr>
                  <w:r>
                    <w:rPr>
                      <w:color w:val="auto"/>
                      <w:kern w:val="0"/>
                    </w:rPr>
                    <w:t>KEYENCE MDX-1500</w:t>
                  </w:r>
                </w:p>
              </w:tc>
              <w:tc>
                <w:tcPr>
                  <w:tcW w:w="532" w:type="pct"/>
                  <w:tcBorders>
                    <w:tl2br w:val="nil"/>
                    <w:tr2bl w:val="nil"/>
                  </w:tcBorders>
                  <w:shd w:val="clear" w:color="auto" w:fill="auto"/>
                  <w:vAlign w:val="center"/>
                </w:tcPr>
                <w:p w14:paraId="3A84F53B">
                  <w:pPr>
                    <w:widowControl/>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53C">
                  <w:pPr>
                    <w:widowControl/>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53D">
                  <w:pPr>
                    <w:adjustRightInd w:val="0"/>
                    <w:snapToGrid w:val="0"/>
                    <w:jc w:val="center"/>
                    <w:rPr>
                      <w:color w:val="auto"/>
                      <w:kern w:val="0"/>
                    </w:rPr>
                  </w:pPr>
                  <w:r>
                    <w:rPr>
                      <w:color w:val="auto"/>
                      <w:kern w:val="0"/>
                    </w:rPr>
                    <w:t>0</w:t>
                  </w:r>
                </w:p>
              </w:tc>
            </w:tr>
            <w:tr w14:paraId="3A84F54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53F">
                  <w:pPr>
                    <w:widowControl/>
                    <w:adjustRightInd w:val="0"/>
                    <w:snapToGrid w:val="0"/>
                    <w:jc w:val="center"/>
                    <w:rPr>
                      <w:color w:val="auto"/>
                      <w:kern w:val="0"/>
                    </w:rPr>
                  </w:pPr>
                  <w:r>
                    <w:rPr>
                      <w:color w:val="auto"/>
                      <w:kern w:val="0"/>
                    </w:rPr>
                    <w:t>重量测量</w:t>
                  </w:r>
                </w:p>
              </w:tc>
              <w:tc>
                <w:tcPr>
                  <w:tcW w:w="1245" w:type="pct"/>
                  <w:tcBorders>
                    <w:tl2br w:val="nil"/>
                    <w:tr2bl w:val="nil"/>
                  </w:tcBorders>
                  <w:shd w:val="clear" w:color="auto" w:fill="auto"/>
                  <w:vAlign w:val="center"/>
                </w:tcPr>
                <w:p w14:paraId="3A84F540">
                  <w:pPr>
                    <w:widowControl/>
                    <w:adjustRightInd w:val="0"/>
                    <w:snapToGrid w:val="0"/>
                    <w:jc w:val="center"/>
                    <w:rPr>
                      <w:color w:val="auto"/>
                      <w:kern w:val="0"/>
                    </w:rPr>
                  </w:pPr>
                  <w:r>
                    <w:rPr>
                      <w:color w:val="auto"/>
                      <w:kern w:val="0"/>
                    </w:rPr>
                    <w:t>重量测量机构</w:t>
                  </w:r>
                </w:p>
              </w:tc>
              <w:tc>
                <w:tcPr>
                  <w:tcW w:w="1493" w:type="pct"/>
                  <w:tcBorders>
                    <w:tl2br w:val="nil"/>
                    <w:tr2bl w:val="nil"/>
                  </w:tcBorders>
                  <w:vAlign w:val="center"/>
                </w:tcPr>
                <w:p w14:paraId="3A84F541">
                  <w:pPr>
                    <w:widowControl/>
                    <w:adjustRightInd w:val="0"/>
                    <w:snapToGrid w:val="0"/>
                    <w:jc w:val="center"/>
                    <w:rPr>
                      <w:color w:val="auto"/>
                      <w:kern w:val="0"/>
                    </w:rPr>
                  </w:pPr>
                  <w:r>
                    <w:rPr>
                      <w:color w:val="auto"/>
                      <w:kern w:val="0"/>
                    </w:rPr>
                    <w:t>WMS1203C-L</w:t>
                  </w:r>
                </w:p>
              </w:tc>
              <w:tc>
                <w:tcPr>
                  <w:tcW w:w="532" w:type="pct"/>
                  <w:tcBorders>
                    <w:tl2br w:val="nil"/>
                    <w:tr2bl w:val="nil"/>
                  </w:tcBorders>
                  <w:shd w:val="clear" w:color="auto" w:fill="auto"/>
                  <w:vAlign w:val="center"/>
                </w:tcPr>
                <w:p w14:paraId="3A84F542">
                  <w:pPr>
                    <w:widowControl/>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543">
                  <w:pPr>
                    <w:widowControl/>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544">
                  <w:pPr>
                    <w:adjustRightInd w:val="0"/>
                    <w:snapToGrid w:val="0"/>
                    <w:jc w:val="center"/>
                    <w:rPr>
                      <w:color w:val="auto"/>
                      <w:kern w:val="0"/>
                    </w:rPr>
                  </w:pPr>
                  <w:r>
                    <w:rPr>
                      <w:color w:val="auto"/>
                      <w:kern w:val="0"/>
                    </w:rPr>
                    <w:t>0</w:t>
                  </w:r>
                </w:p>
              </w:tc>
            </w:tr>
            <w:tr w14:paraId="3A84F54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546">
                  <w:pPr>
                    <w:widowControl/>
                    <w:adjustRightInd w:val="0"/>
                    <w:snapToGrid w:val="0"/>
                    <w:jc w:val="center"/>
                    <w:rPr>
                      <w:color w:val="auto"/>
                      <w:kern w:val="0"/>
                    </w:rPr>
                  </w:pPr>
                  <w:r>
                    <w:rPr>
                      <w:color w:val="auto"/>
                      <w:kern w:val="0"/>
                    </w:rPr>
                    <w:t>加药</w:t>
                  </w:r>
                </w:p>
              </w:tc>
              <w:tc>
                <w:tcPr>
                  <w:tcW w:w="1245" w:type="pct"/>
                  <w:tcBorders>
                    <w:tl2br w:val="nil"/>
                    <w:tr2bl w:val="nil"/>
                  </w:tcBorders>
                  <w:shd w:val="clear" w:color="auto" w:fill="auto"/>
                  <w:vAlign w:val="center"/>
                </w:tcPr>
                <w:p w14:paraId="3A84F547">
                  <w:pPr>
                    <w:widowControl/>
                    <w:adjustRightInd w:val="0"/>
                    <w:snapToGrid w:val="0"/>
                    <w:jc w:val="center"/>
                    <w:rPr>
                      <w:color w:val="auto"/>
                      <w:kern w:val="0"/>
                    </w:rPr>
                  </w:pPr>
                  <w:r>
                    <w:rPr>
                      <w:color w:val="auto"/>
                      <w:kern w:val="0"/>
                    </w:rPr>
                    <w:t>加药机构</w:t>
                  </w:r>
                </w:p>
              </w:tc>
              <w:tc>
                <w:tcPr>
                  <w:tcW w:w="1493" w:type="pct"/>
                  <w:tcBorders>
                    <w:tl2br w:val="nil"/>
                    <w:tr2bl w:val="nil"/>
                  </w:tcBorders>
                  <w:vAlign w:val="center"/>
                </w:tcPr>
                <w:p w14:paraId="3A84F548">
                  <w:pPr>
                    <w:widowControl/>
                    <w:adjustRightInd w:val="0"/>
                    <w:snapToGrid w:val="0"/>
                    <w:jc w:val="center"/>
                    <w:rPr>
                      <w:color w:val="auto"/>
                      <w:kern w:val="0"/>
                    </w:rPr>
                  </w:pPr>
                  <w:r>
                    <w:rPr>
                      <w:color w:val="auto"/>
                      <w:kern w:val="0"/>
                    </w:rPr>
                    <w:t>9.562.803 B2</w:t>
                  </w:r>
                </w:p>
              </w:tc>
              <w:tc>
                <w:tcPr>
                  <w:tcW w:w="532" w:type="pct"/>
                  <w:tcBorders>
                    <w:tl2br w:val="nil"/>
                    <w:tr2bl w:val="nil"/>
                  </w:tcBorders>
                  <w:shd w:val="clear" w:color="auto" w:fill="auto"/>
                  <w:vAlign w:val="center"/>
                </w:tcPr>
                <w:p w14:paraId="3A84F549">
                  <w:pPr>
                    <w:widowControl/>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54A">
                  <w:pPr>
                    <w:widowControl/>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54B">
                  <w:pPr>
                    <w:adjustRightInd w:val="0"/>
                    <w:snapToGrid w:val="0"/>
                    <w:jc w:val="center"/>
                    <w:rPr>
                      <w:color w:val="auto"/>
                      <w:kern w:val="0"/>
                    </w:rPr>
                  </w:pPr>
                  <w:r>
                    <w:rPr>
                      <w:color w:val="auto"/>
                      <w:kern w:val="0"/>
                    </w:rPr>
                    <w:t>0</w:t>
                  </w:r>
                </w:p>
              </w:tc>
            </w:tr>
            <w:tr w14:paraId="3A84F55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54D">
                  <w:pPr>
                    <w:widowControl/>
                    <w:adjustRightInd w:val="0"/>
                    <w:snapToGrid w:val="0"/>
                    <w:jc w:val="center"/>
                    <w:rPr>
                      <w:color w:val="auto"/>
                      <w:kern w:val="0"/>
                    </w:rPr>
                  </w:pPr>
                  <w:r>
                    <w:rPr>
                      <w:color w:val="auto"/>
                      <w:kern w:val="0"/>
                    </w:rPr>
                    <w:t>短路片安装</w:t>
                  </w:r>
                </w:p>
              </w:tc>
              <w:tc>
                <w:tcPr>
                  <w:tcW w:w="1245" w:type="pct"/>
                  <w:tcBorders>
                    <w:tl2br w:val="nil"/>
                    <w:tr2bl w:val="nil"/>
                  </w:tcBorders>
                  <w:shd w:val="clear" w:color="auto" w:fill="auto"/>
                  <w:vAlign w:val="center"/>
                </w:tcPr>
                <w:p w14:paraId="3A84F54E">
                  <w:pPr>
                    <w:widowControl/>
                    <w:adjustRightInd w:val="0"/>
                    <w:snapToGrid w:val="0"/>
                    <w:jc w:val="center"/>
                    <w:rPr>
                      <w:color w:val="auto"/>
                      <w:kern w:val="0"/>
                    </w:rPr>
                  </w:pPr>
                  <w:r>
                    <w:rPr>
                      <w:color w:val="auto"/>
                      <w:kern w:val="0"/>
                    </w:rPr>
                    <w:t>短路片安装机构</w:t>
                  </w:r>
                </w:p>
              </w:tc>
              <w:tc>
                <w:tcPr>
                  <w:tcW w:w="1493" w:type="pct"/>
                  <w:tcBorders>
                    <w:tl2br w:val="nil"/>
                    <w:tr2bl w:val="nil"/>
                  </w:tcBorders>
                  <w:vAlign w:val="center"/>
                </w:tcPr>
                <w:p w14:paraId="3A84F54F">
                  <w:pPr>
                    <w:widowControl/>
                    <w:adjustRightInd w:val="0"/>
                    <w:snapToGrid w:val="0"/>
                    <w:jc w:val="center"/>
                    <w:rPr>
                      <w:color w:val="auto"/>
                      <w:kern w:val="0"/>
                    </w:rPr>
                  </w:pPr>
                  <w:r>
                    <w:rPr>
                      <w:color w:val="auto"/>
                      <w:kern w:val="0"/>
                    </w:rPr>
                    <w:t>Epson G3</w:t>
                  </w:r>
                </w:p>
              </w:tc>
              <w:tc>
                <w:tcPr>
                  <w:tcW w:w="532" w:type="pct"/>
                  <w:tcBorders>
                    <w:tl2br w:val="nil"/>
                    <w:tr2bl w:val="nil"/>
                  </w:tcBorders>
                  <w:shd w:val="clear" w:color="auto" w:fill="auto"/>
                  <w:vAlign w:val="center"/>
                </w:tcPr>
                <w:p w14:paraId="3A84F550">
                  <w:pPr>
                    <w:widowControl/>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551">
                  <w:pPr>
                    <w:widowControl/>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552">
                  <w:pPr>
                    <w:adjustRightInd w:val="0"/>
                    <w:snapToGrid w:val="0"/>
                    <w:jc w:val="center"/>
                    <w:rPr>
                      <w:color w:val="auto"/>
                      <w:kern w:val="0"/>
                    </w:rPr>
                  </w:pPr>
                  <w:r>
                    <w:rPr>
                      <w:color w:val="auto"/>
                      <w:kern w:val="0"/>
                    </w:rPr>
                    <w:t>0</w:t>
                  </w:r>
                </w:p>
              </w:tc>
            </w:tr>
            <w:tr w14:paraId="3A84F55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554">
                  <w:pPr>
                    <w:widowControl/>
                    <w:adjustRightInd w:val="0"/>
                    <w:snapToGrid w:val="0"/>
                    <w:jc w:val="center"/>
                    <w:rPr>
                      <w:color w:val="auto"/>
                      <w:kern w:val="0"/>
                    </w:rPr>
                  </w:pPr>
                  <w:r>
                    <w:rPr>
                      <w:color w:val="auto"/>
                      <w:kern w:val="0"/>
                    </w:rPr>
                    <w:t>电子检测</w:t>
                  </w:r>
                </w:p>
              </w:tc>
              <w:tc>
                <w:tcPr>
                  <w:tcW w:w="1245" w:type="pct"/>
                  <w:tcBorders>
                    <w:tl2br w:val="nil"/>
                    <w:tr2bl w:val="nil"/>
                  </w:tcBorders>
                  <w:shd w:val="clear" w:color="auto" w:fill="auto"/>
                  <w:vAlign w:val="center"/>
                </w:tcPr>
                <w:p w14:paraId="3A84F555">
                  <w:pPr>
                    <w:widowControl/>
                    <w:adjustRightInd w:val="0"/>
                    <w:snapToGrid w:val="0"/>
                    <w:jc w:val="center"/>
                    <w:rPr>
                      <w:color w:val="auto"/>
                      <w:kern w:val="0"/>
                    </w:rPr>
                  </w:pPr>
                  <w:r>
                    <w:rPr>
                      <w:color w:val="auto"/>
                      <w:kern w:val="0"/>
                    </w:rPr>
                    <w:t>电子检测机构</w:t>
                  </w:r>
                </w:p>
              </w:tc>
              <w:tc>
                <w:tcPr>
                  <w:tcW w:w="1493" w:type="pct"/>
                  <w:tcBorders>
                    <w:tl2br w:val="nil"/>
                    <w:tr2bl w:val="nil"/>
                  </w:tcBorders>
                  <w:vAlign w:val="center"/>
                </w:tcPr>
                <w:p w14:paraId="3A84F556">
                  <w:pPr>
                    <w:widowControl/>
                    <w:adjustRightInd w:val="0"/>
                    <w:snapToGrid w:val="0"/>
                    <w:jc w:val="center"/>
                    <w:rPr>
                      <w:color w:val="auto"/>
                      <w:kern w:val="0"/>
                    </w:rPr>
                  </w:pPr>
                  <w:r>
                    <w:rPr>
                      <w:color w:val="auto"/>
                      <w:kern w:val="0"/>
                    </w:rPr>
                    <w:t>KEITHLEY 2790</w:t>
                  </w:r>
                </w:p>
              </w:tc>
              <w:tc>
                <w:tcPr>
                  <w:tcW w:w="532" w:type="pct"/>
                  <w:tcBorders>
                    <w:tl2br w:val="nil"/>
                    <w:tr2bl w:val="nil"/>
                  </w:tcBorders>
                  <w:shd w:val="clear" w:color="auto" w:fill="auto"/>
                  <w:vAlign w:val="center"/>
                </w:tcPr>
                <w:p w14:paraId="3A84F557">
                  <w:pPr>
                    <w:widowControl/>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558">
                  <w:pPr>
                    <w:widowControl/>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559">
                  <w:pPr>
                    <w:adjustRightInd w:val="0"/>
                    <w:snapToGrid w:val="0"/>
                    <w:jc w:val="center"/>
                    <w:rPr>
                      <w:color w:val="auto"/>
                      <w:kern w:val="0"/>
                    </w:rPr>
                  </w:pPr>
                  <w:r>
                    <w:rPr>
                      <w:color w:val="auto"/>
                      <w:kern w:val="0"/>
                    </w:rPr>
                    <w:t>0</w:t>
                  </w:r>
                </w:p>
              </w:tc>
            </w:tr>
            <w:tr w14:paraId="3A84F5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55B">
                  <w:pPr>
                    <w:widowControl/>
                    <w:adjustRightInd w:val="0"/>
                    <w:snapToGrid w:val="0"/>
                    <w:jc w:val="center"/>
                    <w:rPr>
                      <w:color w:val="auto"/>
                      <w:kern w:val="0"/>
                    </w:rPr>
                  </w:pPr>
                  <w:r>
                    <w:rPr>
                      <w:color w:val="auto"/>
                      <w:kern w:val="0"/>
                    </w:rPr>
                    <w:t>最终检测</w:t>
                  </w:r>
                </w:p>
              </w:tc>
              <w:tc>
                <w:tcPr>
                  <w:tcW w:w="1245" w:type="pct"/>
                  <w:tcBorders>
                    <w:tl2br w:val="nil"/>
                    <w:tr2bl w:val="nil"/>
                  </w:tcBorders>
                  <w:shd w:val="clear" w:color="auto" w:fill="auto"/>
                  <w:vAlign w:val="center"/>
                </w:tcPr>
                <w:p w14:paraId="3A84F55C">
                  <w:pPr>
                    <w:widowControl/>
                    <w:adjustRightInd w:val="0"/>
                    <w:snapToGrid w:val="0"/>
                    <w:jc w:val="center"/>
                    <w:rPr>
                      <w:color w:val="auto"/>
                      <w:kern w:val="0"/>
                    </w:rPr>
                  </w:pPr>
                  <w:r>
                    <w:rPr>
                      <w:color w:val="auto"/>
                      <w:kern w:val="0"/>
                    </w:rPr>
                    <w:t>最终检测机构</w:t>
                  </w:r>
                </w:p>
              </w:tc>
              <w:tc>
                <w:tcPr>
                  <w:tcW w:w="1493" w:type="pct"/>
                  <w:tcBorders>
                    <w:tl2br w:val="nil"/>
                    <w:tr2bl w:val="nil"/>
                  </w:tcBorders>
                  <w:vAlign w:val="center"/>
                </w:tcPr>
                <w:p w14:paraId="3A84F55D">
                  <w:pPr>
                    <w:widowControl/>
                    <w:adjustRightInd w:val="0"/>
                    <w:snapToGrid w:val="0"/>
                    <w:jc w:val="center"/>
                    <w:rPr>
                      <w:color w:val="auto"/>
                      <w:kern w:val="0"/>
                    </w:rPr>
                  </w:pPr>
                  <w:r>
                    <w:rPr>
                      <w:color w:val="auto"/>
                      <w:kern w:val="0"/>
                    </w:rPr>
                    <w:t>RCS-C18730.01</w:t>
                  </w:r>
                </w:p>
              </w:tc>
              <w:tc>
                <w:tcPr>
                  <w:tcW w:w="532" w:type="pct"/>
                  <w:tcBorders>
                    <w:tl2br w:val="nil"/>
                    <w:tr2bl w:val="nil"/>
                  </w:tcBorders>
                  <w:shd w:val="clear" w:color="auto" w:fill="auto"/>
                  <w:vAlign w:val="center"/>
                </w:tcPr>
                <w:p w14:paraId="3A84F55E">
                  <w:pPr>
                    <w:widowControl/>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55F">
                  <w:pPr>
                    <w:widowControl/>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560">
                  <w:pPr>
                    <w:adjustRightInd w:val="0"/>
                    <w:snapToGrid w:val="0"/>
                    <w:jc w:val="center"/>
                    <w:rPr>
                      <w:color w:val="auto"/>
                      <w:kern w:val="0"/>
                    </w:rPr>
                  </w:pPr>
                  <w:r>
                    <w:rPr>
                      <w:color w:val="auto"/>
                      <w:kern w:val="0"/>
                    </w:rPr>
                    <w:t>0</w:t>
                  </w:r>
                </w:p>
              </w:tc>
            </w:tr>
            <w:tr w14:paraId="3A84F56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562">
                  <w:pPr>
                    <w:widowControl/>
                    <w:adjustRightInd w:val="0"/>
                    <w:snapToGrid w:val="0"/>
                    <w:jc w:val="center"/>
                    <w:rPr>
                      <w:color w:val="auto"/>
                      <w:kern w:val="0"/>
                    </w:rPr>
                  </w:pPr>
                  <w:r>
                    <w:rPr>
                      <w:color w:val="auto"/>
                      <w:kern w:val="0"/>
                    </w:rPr>
                    <w:t>下料</w:t>
                  </w:r>
                </w:p>
              </w:tc>
              <w:tc>
                <w:tcPr>
                  <w:tcW w:w="1245" w:type="pct"/>
                  <w:tcBorders>
                    <w:tl2br w:val="nil"/>
                    <w:tr2bl w:val="nil"/>
                  </w:tcBorders>
                  <w:shd w:val="clear" w:color="auto" w:fill="auto"/>
                  <w:vAlign w:val="center"/>
                </w:tcPr>
                <w:p w14:paraId="3A84F563">
                  <w:pPr>
                    <w:widowControl/>
                    <w:adjustRightInd w:val="0"/>
                    <w:snapToGrid w:val="0"/>
                    <w:jc w:val="center"/>
                    <w:rPr>
                      <w:color w:val="auto"/>
                      <w:kern w:val="0"/>
                    </w:rPr>
                  </w:pPr>
                  <w:r>
                    <w:rPr>
                      <w:color w:val="auto"/>
                      <w:kern w:val="0"/>
                    </w:rPr>
                    <w:t>下料机构</w:t>
                  </w:r>
                </w:p>
              </w:tc>
              <w:tc>
                <w:tcPr>
                  <w:tcW w:w="1493" w:type="pct"/>
                  <w:tcBorders>
                    <w:tl2br w:val="nil"/>
                    <w:tr2bl w:val="nil"/>
                  </w:tcBorders>
                  <w:vAlign w:val="center"/>
                </w:tcPr>
                <w:p w14:paraId="3A84F564">
                  <w:pPr>
                    <w:widowControl/>
                    <w:adjustRightInd w:val="0"/>
                    <w:snapToGrid w:val="0"/>
                    <w:jc w:val="center"/>
                    <w:rPr>
                      <w:color w:val="auto"/>
                      <w:kern w:val="0"/>
                    </w:rPr>
                  </w:pPr>
                  <w:r>
                    <w:rPr>
                      <w:color w:val="auto"/>
                      <w:kern w:val="0"/>
                    </w:rPr>
                    <w:t>Epson G3</w:t>
                  </w:r>
                </w:p>
              </w:tc>
              <w:tc>
                <w:tcPr>
                  <w:tcW w:w="532" w:type="pct"/>
                  <w:tcBorders>
                    <w:tl2br w:val="nil"/>
                    <w:tr2bl w:val="nil"/>
                  </w:tcBorders>
                  <w:shd w:val="clear" w:color="auto" w:fill="auto"/>
                  <w:vAlign w:val="center"/>
                </w:tcPr>
                <w:p w14:paraId="3A84F565">
                  <w:pPr>
                    <w:widowControl/>
                    <w:adjustRightInd w:val="0"/>
                    <w:snapToGrid w:val="0"/>
                    <w:jc w:val="center"/>
                    <w:rPr>
                      <w:color w:val="auto"/>
                      <w:kern w:val="0"/>
                    </w:rPr>
                  </w:pPr>
                  <w:r>
                    <w:rPr>
                      <w:color w:val="auto"/>
                      <w:kern w:val="0"/>
                    </w:rPr>
                    <w:t>4</w:t>
                  </w:r>
                </w:p>
              </w:tc>
              <w:tc>
                <w:tcPr>
                  <w:tcW w:w="532" w:type="pct"/>
                  <w:tcBorders>
                    <w:tl2br w:val="nil"/>
                    <w:tr2bl w:val="nil"/>
                  </w:tcBorders>
                  <w:shd w:val="clear" w:color="auto" w:fill="auto"/>
                  <w:vAlign w:val="center"/>
                </w:tcPr>
                <w:p w14:paraId="3A84F566">
                  <w:pPr>
                    <w:widowControl/>
                    <w:adjustRightInd w:val="0"/>
                    <w:snapToGrid w:val="0"/>
                    <w:jc w:val="center"/>
                    <w:rPr>
                      <w:color w:val="auto"/>
                      <w:kern w:val="0"/>
                    </w:rPr>
                  </w:pPr>
                  <w:r>
                    <w:rPr>
                      <w:color w:val="auto"/>
                      <w:kern w:val="0"/>
                    </w:rPr>
                    <w:t>4</w:t>
                  </w:r>
                </w:p>
              </w:tc>
              <w:tc>
                <w:tcPr>
                  <w:tcW w:w="544" w:type="pct"/>
                  <w:tcBorders>
                    <w:tl2br w:val="nil"/>
                    <w:tr2bl w:val="nil"/>
                  </w:tcBorders>
                  <w:shd w:val="clear" w:color="auto" w:fill="auto"/>
                  <w:vAlign w:val="center"/>
                </w:tcPr>
                <w:p w14:paraId="3A84F567">
                  <w:pPr>
                    <w:adjustRightInd w:val="0"/>
                    <w:snapToGrid w:val="0"/>
                    <w:jc w:val="center"/>
                    <w:rPr>
                      <w:color w:val="auto"/>
                      <w:kern w:val="0"/>
                    </w:rPr>
                  </w:pPr>
                  <w:r>
                    <w:rPr>
                      <w:color w:val="auto"/>
                      <w:kern w:val="0"/>
                    </w:rPr>
                    <w:t>0</w:t>
                  </w:r>
                </w:p>
              </w:tc>
            </w:tr>
            <w:tr w14:paraId="3A84F5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6"/>
                  <w:tcBorders>
                    <w:tl2br w:val="nil"/>
                    <w:tr2bl w:val="nil"/>
                  </w:tcBorders>
                  <w:shd w:val="clear" w:color="auto" w:fill="auto"/>
                  <w:vAlign w:val="center"/>
                </w:tcPr>
                <w:p w14:paraId="3A84F569">
                  <w:pPr>
                    <w:adjustRightInd w:val="0"/>
                    <w:snapToGrid w:val="0"/>
                    <w:jc w:val="center"/>
                    <w:rPr>
                      <w:color w:val="auto"/>
                      <w:kern w:val="0"/>
                    </w:rPr>
                  </w:pPr>
                  <w:r>
                    <w:rPr>
                      <w:b/>
                      <w:bCs/>
                      <w:color w:val="auto"/>
                      <w:kern w:val="0"/>
                    </w:rPr>
                    <w:t>PSS4</w:t>
                  </w:r>
                </w:p>
              </w:tc>
            </w:tr>
            <w:tr w14:paraId="3A84F5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56B">
                  <w:pPr>
                    <w:widowControl/>
                    <w:adjustRightInd w:val="0"/>
                    <w:snapToGrid w:val="0"/>
                    <w:jc w:val="center"/>
                    <w:rPr>
                      <w:color w:val="auto"/>
                      <w:kern w:val="0"/>
                    </w:rPr>
                  </w:pPr>
                  <w:r>
                    <w:rPr>
                      <w:color w:val="auto"/>
                      <w:kern w:val="0"/>
                    </w:rPr>
                    <w:t>注塑</w:t>
                  </w:r>
                </w:p>
              </w:tc>
              <w:tc>
                <w:tcPr>
                  <w:tcW w:w="1245" w:type="pct"/>
                  <w:tcBorders>
                    <w:tl2br w:val="nil"/>
                    <w:tr2bl w:val="nil"/>
                  </w:tcBorders>
                  <w:shd w:val="clear" w:color="auto" w:fill="auto"/>
                  <w:vAlign w:val="center"/>
                </w:tcPr>
                <w:p w14:paraId="3A84F56C">
                  <w:pPr>
                    <w:widowControl/>
                    <w:adjustRightInd w:val="0"/>
                    <w:snapToGrid w:val="0"/>
                    <w:jc w:val="center"/>
                    <w:rPr>
                      <w:color w:val="auto"/>
                      <w:kern w:val="0"/>
                    </w:rPr>
                  </w:pPr>
                  <w:r>
                    <w:rPr>
                      <w:color w:val="auto"/>
                      <w:kern w:val="0"/>
                    </w:rPr>
                    <w:t>点火具腔体注塑</w:t>
                  </w:r>
                </w:p>
              </w:tc>
              <w:tc>
                <w:tcPr>
                  <w:tcW w:w="1493" w:type="pct"/>
                  <w:tcBorders>
                    <w:tl2br w:val="nil"/>
                    <w:tr2bl w:val="nil"/>
                  </w:tcBorders>
                  <w:vAlign w:val="center"/>
                </w:tcPr>
                <w:p w14:paraId="3A84F56D">
                  <w:pPr>
                    <w:widowControl/>
                    <w:adjustRightInd w:val="0"/>
                    <w:snapToGrid w:val="0"/>
                    <w:jc w:val="center"/>
                    <w:rPr>
                      <w:color w:val="auto"/>
                      <w:kern w:val="0"/>
                    </w:rPr>
                  </w:pPr>
                  <w:r>
                    <w:rPr>
                      <w:color w:val="auto"/>
                      <w:kern w:val="0"/>
                    </w:rPr>
                    <w:t>Nissei TNX50RⅢ5A</w:t>
                  </w:r>
                </w:p>
              </w:tc>
              <w:tc>
                <w:tcPr>
                  <w:tcW w:w="532" w:type="pct"/>
                  <w:tcBorders>
                    <w:tl2br w:val="nil"/>
                    <w:tr2bl w:val="nil"/>
                  </w:tcBorders>
                  <w:shd w:val="clear" w:color="auto" w:fill="auto"/>
                  <w:vAlign w:val="center"/>
                </w:tcPr>
                <w:p w14:paraId="3A84F56E">
                  <w:pPr>
                    <w:widowControl/>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56F">
                  <w:pPr>
                    <w:widowControl/>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570">
                  <w:pPr>
                    <w:adjustRightInd w:val="0"/>
                    <w:snapToGrid w:val="0"/>
                    <w:jc w:val="center"/>
                    <w:rPr>
                      <w:color w:val="auto"/>
                      <w:kern w:val="0"/>
                    </w:rPr>
                  </w:pPr>
                  <w:r>
                    <w:rPr>
                      <w:color w:val="auto"/>
                      <w:kern w:val="0"/>
                    </w:rPr>
                    <w:t>0</w:t>
                  </w:r>
                </w:p>
              </w:tc>
            </w:tr>
            <w:tr w14:paraId="3A84F57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572">
                  <w:pPr>
                    <w:widowControl/>
                    <w:adjustRightInd w:val="0"/>
                    <w:snapToGrid w:val="0"/>
                    <w:jc w:val="center"/>
                    <w:rPr>
                      <w:color w:val="auto"/>
                      <w:kern w:val="0"/>
                    </w:rPr>
                  </w:pPr>
                  <w:r>
                    <w:rPr>
                      <w:color w:val="auto"/>
                      <w:kern w:val="0"/>
                    </w:rPr>
                    <w:t>活塞安装</w:t>
                  </w:r>
                </w:p>
              </w:tc>
              <w:tc>
                <w:tcPr>
                  <w:tcW w:w="1245" w:type="pct"/>
                  <w:tcBorders>
                    <w:tl2br w:val="nil"/>
                    <w:tr2bl w:val="nil"/>
                  </w:tcBorders>
                  <w:shd w:val="clear" w:color="auto" w:fill="auto"/>
                  <w:vAlign w:val="center"/>
                </w:tcPr>
                <w:p w14:paraId="3A84F573">
                  <w:pPr>
                    <w:widowControl/>
                    <w:adjustRightInd w:val="0"/>
                    <w:snapToGrid w:val="0"/>
                    <w:jc w:val="center"/>
                    <w:rPr>
                      <w:color w:val="auto"/>
                      <w:kern w:val="0"/>
                    </w:rPr>
                  </w:pPr>
                  <w:r>
                    <w:rPr>
                      <w:color w:val="auto"/>
                      <w:kern w:val="0"/>
                    </w:rPr>
                    <w:t>活塞安装机构</w:t>
                  </w:r>
                </w:p>
              </w:tc>
              <w:tc>
                <w:tcPr>
                  <w:tcW w:w="1493" w:type="pct"/>
                  <w:tcBorders>
                    <w:tl2br w:val="nil"/>
                    <w:tr2bl w:val="nil"/>
                  </w:tcBorders>
                  <w:vAlign w:val="center"/>
                </w:tcPr>
                <w:p w14:paraId="3A84F574">
                  <w:pPr>
                    <w:widowControl/>
                    <w:adjustRightInd w:val="0"/>
                    <w:snapToGrid w:val="0"/>
                    <w:jc w:val="center"/>
                    <w:rPr>
                      <w:color w:val="auto"/>
                      <w:kern w:val="0"/>
                    </w:rPr>
                  </w:pPr>
                  <w:r>
                    <w:rPr>
                      <w:color w:val="auto"/>
                      <w:kern w:val="0"/>
                    </w:rPr>
                    <w:t>YAMAHA YK500XG</w:t>
                  </w:r>
                </w:p>
              </w:tc>
              <w:tc>
                <w:tcPr>
                  <w:tcW w:w="532" w:type="pct"/>
                  <w:tcBorders>
                    <w:tl2br w:val="nil"/>
                    <w:tr2bl w:val="nil"/>
                  </w:tcBorders>
                  <w:shd w:val="clear" w:color="auto" w:fill="auto"/>
                  <w:vAlign w:val="center"/>
                </w:tcPr>
                <w:p w14:paraId="3A84F575">
                  <w:pPr>
                    <w:widowControl/>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576">
                  <w:pPr>
                    <w:widowControl/>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577">
                  <w:pPr>
                    <w:adjustRightInd w:val="0"/>
                    <w:snapToGrid w:val="0"/>
                    <w:jc w:val="center"/>
                    <w:rPr>
                      <w:color w:val="auto"/>
                      <w:kern w:val="0"/>
                    </w:rPr>
                  </w:pPr>
                  <w:r>
                    <w:rPr>
                      <w:color w:val="auto"/>
                      <w:kern w:val="0"/>
                    </w:rPr>
                    <w:t>0</w:t>
                  </w:r>
                </w:p>
              </w:tc>
            </w:tr>
            <w:tr w14:paraId="3A84F5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579">
                  <w:pPr>
                    <w:widowControl/>
                    <w:adjustRightInd w:val="0"/>
                    <w:snapToGrid w:val="0"/>
                    <w:jc w:val="center"/>
                    <w:rPr>
                      <w:color w:val="auto"/>
                      <w:kern w:val="0"/>
                    </w:rPr>
                  </w:pPr>
                  <w:r>
                    <w:rPr>
                      <w:color w:val="auto"/>
                      <w:kern w:val="0"/>
                    </w:rPr>
                    <w:t>冷却器安装</w:t>
                  </w:r>
                </w:p>
              </w:tc>
              <w:tc>
                <w:tcPr>
                  <w:tcW w:w="1245" w:type="pct"/>
                  <w:tcBorders>
                    <w:tl2br w:val="nil"/>
                    <w:tr2bl w:val="nil"/>
                  </w:tcBorders>
                  <w:shd w:val="clear" w:color="auto" w:fill="auto"/>
                  <w:vAlign w:val="center"/>
                </w:tcPr>
                <w:p w14:paraId="3A84F57A">
                  <w:pPr>
                    <w:widowControl/>
                    <w:adjustRightInd w:val="0"/>
                    <w:snapToGrid w:val="0"/>
                    <w:jc w:val="center"/>
                    <w:rPr>
                      <w:color w:val="auto"/>
                      <w:kern w:val="0"/>
                    </w:rPr>
                  </w:pPr>
                  <w:r>
                    <w:rPr>
                      <w:color w:val="auto"/>
                      <w:kern w:val="0"/>
                    </w:rPr>
                    <w:t>切割腔体安装冷却器机构</w:t>
                  </w:r>
                </w:p>
              </w:tc>
              <w:tc>
                <w:tcPr>
                  <w:tcW w:w="1493" w:type="pct"/>
                  <w:tcBorders>
                    <w:tl2br w:val="nil"/>
                    <w:tr2bl w:val="nil"/>
                  </w:tcBorders>
                  <w:vAlign w:val="center"/>
                </w:tcPr>
                <w:p w14:paraId="3A84F57B">
                  <w:pPr>
                    <w:widowControl/>
                    <w:adjustRightInd w:val="0"/>
                    <w:snapToGrid w:val="0"/>
                    <w:jc w:val="center"/>
                    <w:rPr>
                      <w:color w:val="auto"/>
                      <w:kern w:val="0"/>
                    </w:rPr>
                  </w:pPr>
                  <w:r>
                    <w:rPr>
                      <w:color w:val="auto"/>
                      <w:kern w:val="0"/>
                    </w:rPr>
                    <w:t>FANUC 200iD</w:t>
                  </w:r>
                </w:p>
              </w:tc>
              <w:tc>
                <w:tcPr>
                  <w:tcW w:w="532" w:type="pct"/>
                  <w:tcBorders>
                    <w:tl2br w:val="nil"/>
                    <w:tr2bl w:val="nil"/>
                  </w:tcBorders>
                  <w:shd w:val="clear" w:color="auto" w:fill="auto"/>
                  <w:vAlign w:val="center"/>
                </w:tcPr>
                <w:p w14:paraId="3A84F57C">
                  <w:pPr>
                    <w:widowControl/>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57D">
                  <w:pPr>
                    <w:widowControl/>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57E">
                  <w:pPr>
                    <w:adjustRightInd w:val="0"/>
                    <w:snapToGrid w:val="0"/>
                    <w:jc w:val="center"/>
                    <w:rPr>
                      <w:color w:val="auto"/>
                      <w:kern w:val="0"/>
                    </w:rPr>
                  </w:pPr>
                  <w:r>
                    <w:rPr>
                      <w:color w:val="auto"/>
                      <w:kern w:val="0"/>
                    </w:rPr>
                    <w:t>0</w:t>
                  </w:r>
                </w:p>
              </w:tc>
            </w:tr>
            <w:tr w14:paraId="3A84F58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580">
                  <w:pPr>
                    <w:widowControl/>
                    <w:adjustRightInd w:val="0"/>
                    <w:snapToGrid w:val="0"/>
                    <w:jc w:val="center"/>
                    <w:rPr>
                      <w:color w:val="auto"/>
                      <w:kern w:val="0"/>
                    </w:rPr>
                  </w:pPr>
                  <w:r>
                    <w:rPr>
                      <w:color w:val="auto"/>
                      <w:kern w:val="0"/>
                    </w:rPr>
                    <w:t>汇流排安装</w:t>
                  </w:r>
                </w:p>
              </w:tc>
              <w:tc>
                <w:tcPr>
                  <w:tcW w:w="1245" w:type="pct"/>
                  <w:tcBorders>
                    <w:tl2br w:val="nil"/>
                    <w:tr2bl w:val="nil"/>
                  </w:tcBorders>
                  <w:shd w:val="clear" w:color="auto" w:fill="auto"/>
                  <w:vAlign w:val="center"/>
                </w:tcPr>
                <w:p w14:paraId="3A84F581">
                  <w:pPr>
                    <w:widowControl/>
                    <w:adjustRightInd w:val="0"/>
                    <w:snapToGrid w:val="0"/>
                    <w:jc w:val="center"/>
                    <w:rPr>
                      <w:color w:val="auto"/>
                      <w:kern w:val="0"/>
                    </w:rPr>
                  </w:pPr>
                  <w:r>
                    <w:rPr>
                      <w:color w:val="auto"/>
                      <w:kern w:val="0"/>
                    </w:rPr>
                    <w:t>汇流排装在切割腔体上机构</w:t>
                  </w:r>
                </w:p>
              </w:tc>
              <w:tc>
                <w:tcPr>
                  <w:tcW w:w="1493" w:type="pct"/>
                  <w:tcBorders>
                    <w:tl2br w:val="nil"/>
                    <w:tr2bl w:val="nil"/>
                  </w:tcBorders>
                  <w:vAlign w:val="center"/>
                </w:tcPr>
                <w:p w14:paraId="3A84F582">
                  <w:pPr>
                    <w:widowControl/>
                    <w:adjustRightInd w:val="0"/>
                    <w:snapToGrid w:val="0"/>
                    <w:jc w:val="center"/>
                    <w:rPr>
                      <w:color w:val="auto"/>
                      <w:kern w:val="0"/>
                    </w:rPr>
                  </w:pPr>
                  <w:r>
                    <w:rPr>
                      <w:color w:val="auto"/>
                      <w:kern w:val="0"/>
                    </w:rPr>
                    <w:t>FANUC 200iD</w:t>
                  </w:r>
                </w:p>
              </w:tc>
              <w:tc>
                <w:tcPr>
                  <w:tcW w:w="532" w:type="pct"/>
                  <w:tcBorders>
                    <w:tl2br w:val="nil"/>
                    <w:tr2bl w:val="nil"/>
                  </w:tcBorders>
                  <w:shd w:val="clear" w:color="auto" w:fill="auto"/>
                  <w:vAlign w:val="center"/>
                </w:tcPr>
                <w:p w14:paraId="3A84F583">
                  <w:pPr>
                    <w:widowControl/>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584">
                  <w:pPr>
                    <w:widowControl/>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585">
                  <w:pPr>
                    <w:adjustRightInd w:val="0"/>
                    <w:snapToGrid w:val="0"/>
                    <w:jc w:val="center"/>
                    <w:rPr>
                      <w:color w:val="auto"/>
                      <w:kern w:val="0"/>
                    </w:rPr>
                  </w:pPr>
                  <w:r>
                    <w:rPr>
                      <w:color w:val="auto"/>
                      <w:kern w:val="0"/>
                    </w:rPr>
                    <w:t>0</w:t>
                  </w:r>
                </w:p>
              </w:tc>
            </w:tr>
            <w:tr w14:paraId="3A84F5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587">
                  <w:pPr>
                    <w:widowControl/>
                    <w:adjustRightInd w:val="0"/>
                    <w:snapToGrid w:val="0"/>
                    <w:jc w:val="center"/>
                    <w:rPr>
                      <w:color w:val="auto"/>
                      <w:kern w:val="0"/>
                    </w:rPr>
                  </w:pPr>
                  <w:r>
                    <w:rPr>
                      <w:color w:val="auto"/>
                      <w:kern w:val="0"/>
                    </w:rPr>
                    <w:t>气密检测</w:t>
                  </w:r>
                </w:p>
              </w:tc>
              <w:tc>
                <w:tcPr>
                  <w:tcW w:w="1245" w:type="pct"/>
                  <w:tcBorders>
                    <w:tl2br w:val="nil"/>
                    <w:tr2bl w:val="nil"/>
                  </w:tcBorders>
                  <w:shd w:val="clear" w:color="auto" w:fill="auto"/>
                  <w:vAlign w:val="center"/>
                </w:tcPr>
                <w:p w14:paraId="3A84F588">
                  <w:pPr>
                    <w:widowControl/>
                    <w:adjustRightInd w:val="0"/>
                    <w:snapToGrid w:val="0"/>
                    <w:jc w:val="center"/>
                    <w:rPr>
                      <w:color w:val="auto"/>
                      <w:kern w:val="0"/>
                    </w:rPr>
                  </w:pPr>
                  <w:r>
                    <w:rPr>
                      <w:color w:val="auto"/>
                      <w:kern w:val="0"/>
                    </w:rPr>
                    <w:t>气密检测机构</w:t>
                  </w:r>
                </w:p>
              </w:tc>
              <w:tc>
                <w:tcPr>
                  <w:tcW w:w="1493" w:type="pct"/>
                  <w:tcBorders>
                    <w:tl2br w:val="nil"/>
                    <w:tr2bl w:val="nil"/>
                  </w:tcBorders>
                  <w:vAlign w:val="center"/>
                </w:tcPr>
                <w:p w14:paraId="3A84F589">
                  <w:pPr>
                    <w:widowControl/>
                    <w:adjustRightInd w:val="0"/>
                    <w:snapToGrid w:val="0"/>
                    <w:jc w:val="center"/>
                    <w:rPr>
                      <w:color w:val="auto"/>
                      <w:kern w:val="0"/>
                    </w:rPr>
                  </w:pPr>
                  <w:r>
                    <w:rPr>
                      <w:rFonts w:hint="eastAsia"/>
                      <w:color w:val="auto"/>
                      <w:kern w:val="0"/>
                    </w:rPr>
                    <w:t>/</w:t>
                  </w:r>
                </w:p>
              </w:tc>
              <w:tc>
                <w:tcPr>
                  <w:tcW w:w="532" w:type="pct"/>
                  <w:tcBorders>
                    <w:tl2br w:val="nil"/>
                    <w:tr2bl w:val="nil"/>
                  </w:tcBorders>
                  <w:shd w:val="clear" w:color="auto" w:fill="auto"/>
                  <w:vAlign w:val="center"/>
                </w:tcPr>
                <w:p w14:paraId="3A84F58A">
                  <w:pPr>
                    <w:widowControl/>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58B">
                  <w:pPr>
                    <w:widowControl/>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58C">
                  <w:pPr>
                    <w:adjustRightInd w:val="0"/>
                    <w:snapToGrid w:val="0"/>
                    <w:jc w:val="center"/>
                    <w:rPr>
                      <w:color w:val="auto"/>
                      <w:kern w:val="0"/>
                    </w:rPr>
                  </w:pPr>
                  <w:r>
                    <w:rPr>
                      <w:color w:val="auto"/>
                      <w:kern w:val="0"/>
                    </w:rPr>
                    <w:t>0</w:t>
                  </w:r>
                </w:p>
              </w:tc>
            </w:tr>
            <w:tr w14:paraId="3A84F5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58E">
                  <w:pPr>
                    <w:widowControl/>
                    <w:adjustRightInd w:val="0"/>
                    <w:snapToGrid w:val="0"/>
                    <w:jc w:val="center"/>
                    <w:rPr>
                      <w:color w:val="auto"/>
                      <w:kern w:val="0"/>
                    </w:rPr>
                  </w:pPr>
                  <w:r>
                    <w:rPr>
                      <w:color w:val="auto"/>
                      <w:kern w:val="0"/>
                    </w:rPr>
                    <w:t>铆接</w:t>
                  </w:r>
                </w:p>
              </w:tc>
              <w:tc>
                <w:tcPr>
                  <w:tcW w:w="1245" w:type="pct"/>
                  <w:tcBorders>
                    <w:tl2br w:val="nil"/>
                    <w:tr2bl w:val="nil"/>
                  </w:tcBorders>
                  <w:shd w:val="clear" w:color="auto" w:fill="auto"/>
                  <w:vAlign w:val="center"/>
                </w:tcPr>
                <w:p w14:paraId="3A84F58F">
                  <w:pPr>
                    <w:widowControl/>
                    <w:adjustRightInd w:val="0"/>
                    <w:snapToGrid w:val="0"/>
                    <w:jc w:val="center"/>
                    <w:rPr>
                      <w:color w:val="auto"/>
                      <w:kern w:val="0"/>
                    </w:rPr>
                  </w:pPr>
                  <w:r>
                    <w:rPr>
                      <w:color w:val="auto"/>
                      <w:kern w:val="0"/>
                    </w:rPr>
                    <w:t>铆接注塑腔体和切割腔体机构</w:t>
                  </w:r>
                </w:p>
              </w:tc>
              <w:tc>
                <w:tcPr>
                  <w:tcW w:w="1493" w:type="pct"/>
                  <w:tcBorders>
                    <w:tl2br w:val="nil"/>
                    <w:tr2bl w:val="nil"/>
                  </w:tcBorders>
                  <w:vAlign w:val="center"/>
                </w:tcPr>
                <w:p w14:paraId="3A84F590">
                  <w:pPr>
                    <w:widowControl/>
                    <w:adjustRightInd w:val="0"/>
                    <w:snapToGrid w:val="0"/>
                    <w:jc w:val="center"/>
                    <w:rPr>
                      <w:color w:val="auto"/>
                      <w:kern w:val="0"/>
                    </w:rPr>
                  </w:pPr>
                  <w:r>
                    <w:rPr>
                      <w:color w:val="auto"/>
                      <w:kern w:val="0"/>
                    </w:rPr>
                    <w:t>RNE281</w:t>
                  </w:r>
                </w:p>
              </w:tc>
              <w:tc>
                <w:tcPr>
                  <w:tcW w:w="532" w:type="pct"/>
                  <w:tcBorders>
                    <w:tl2br w:val="nil"/>
                    <w:tr2bl w:val="nil"/>
                  </w:tcBorders>
                  <w:shd w:val="clear" w:color="auto" w:fill="auto"/>
                  <w:vAlign w:val="center"/>
                </w:tcPr>
                <w:p w14:paraId="3A84F591">
                  <w:pPr>
                    <w:widowControl/>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592">
                  <w:pPr>
                    <w:widowControl/>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593">
                  <w:pPr>
                    <w:adjustRightInd w:val="0"/>
                    <w:snapToGrid w:val="0"/>
                    <w:jc w:val="center"/>
                    <w:rPr>
                      <w:color w:val="auto"/>
                      <w:kern w:val="0"/>
                    </w:rPr>
                  </w:pPr>
                  <w:r>
                    <w:rPr>
                      <w:color w:val="auto"/>
                      <w:kern w:val="0"/>
                    </w:rPr>
                    <w:t>0</w:t>
                  </w:r>
                </w:p>
              </w:tc>
            </w:tr>
            <w:tr w14:paraId="3A84F59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595">
                  <w:pPr>
                    <w:widowControl/>
                    <w:adjustRightInd w:val="0"/>
                    <w:snapToGrid w:val="0"/>
                    <w:jc w:val="center"/>
                    <w:rPr>
                      <w:color w:val="auto"/>
                      <w:kern w:val="0"/>
                    </w:rPr>
                  </w:pPr>
                  <w:r>
                    <w:rPr>
                      <w:color w:val="auto"/>
                      <w:kern w:val="0"/>
                    </w:rPr>
                    <w:t>短路环安装</w:t>
                  </w:r>
                </w:p>
              </w:tc>
              <w:tc>
                <w:tcPr>
                  <w:tcW w:w="1245" w:type="pct"/>
                  <w:tcBorders>
                    <w:tl2br w:val="nil"/>
                    <w:tr2bl w:val="nil"/>
                  </w:tcBorders>
                  <w:shd w:val="clear" w:color="auto" w:fill="auto"/>
                  <w:vAlign w:val="center"/>
                </w:tcPr>
                <w:p w14:paraId="3A84F596">
                  <w:pPr>
                    <w:widowControl/>
                    <w:adjustRightInd w:val="0"/>
                    <w:snapToGrid w:val="0"/>
                    <w:jc w:val="center"/>
                    <w:rPr>
                      <w:color w:val="auto"/>
                      <w:kern w:val="0"/>
                    </w:rPr>
                  </w:pPr>
                  <w:r>
                    <w:rPr>
                      <w:color w:val="auto"/>
                      <w:kern w:val="0"/>
                    </w:rPr>
                    <w:t>短路环安装机构</w:t>
                  </w:r>
                </w:p>
              </w:tc>
              <w:tc>
                <w:tcPr>
                  <w:tcW w:w="1493" w:type="pct"/>
                  <w:tcBorders>
                    <w:tl2br w:val="nil"/>
                    <w:tr2bl w:val="nil"/>
                  </w:tcBorders>
                  <w:vAlign w:val="center"/>
                </w:tcPr>
                <w:p w14:paraId="3A84F597">
                  <w:pPr>
                    <w:widowControl/>
                    <w:adjustRightInd w:val="0"/>
                    <w:snapToGrid w:val="0"/>
                    <w:jc w:val="center"/>
                    <w:rPr>
                      <w:color w:val="auto"/>
                      <w:kern w:val="0"/>
                    </w:rPr>
                  </w:pPr>
                  <w:r>
                    <w:rPr>
                      <w:color w:val="auto"/>
                      <w:kern w:val="0"/>
                    </w:rPr>
                    <w:t>YK600XG</w:t>
                  </w:r>
                </w:p>
              </w:tc>
              <w:tc>
                <w:tcPr>
                  <w:tcW w:w="532" w:type="pct"/>
                  <w:tcBorders>
                    <w:tl2br w:val="nil"/>
                    <w:tr2bl w:val="nil"/>
                  </w:tcBorders>
                  <w:shd w:val="clear" w:color="auto" w:fill="auto"/>
                  <w:vAlign w:val="center"/>
                </w:tcPr>
                <w:p w14:paraId="3A84F598">
                  <w:pPr>
                    <w:widowControl/>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599">
                  <w:pPr>
                    <w:widowControl/>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59A">
                  <w:pPr>
                    <w:adjustRightInd w:val="0"/>
                    <w:snapToGrid w:val="0"/>
                    <w:jc w:val="center"/>
                    <w:rPr>
                      <w:color w:val="auto"/>
                      <w:kern w:val="0"/>
                    </w:rPr>
                  </w:pPr>
                  <w:r>
                    <w:rPr>
                      <w:color w:val="auto"/>
                      <w:kern w:val="0"/>
                    </w:rPr>
                    <w:t>0</w:t>
                  </w:r>
                </w:p>
              </w:tc>
            </w:tr>
            <w:tr w14:paraId="3A84F5A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59C">
                  <w:pPr>
                    <w:widowControl/>
                    <w:adjustRightInd w:val="0"/>
                    <w:snapToGrid w:val="0"/>
                    <w:jc w:val="center"/>
                    <w:rPr>
                      <w:color w:val="auto"/>
                      <w:kern w:val="0"/>
                    </w:rPr>
                  </w:pPr>
                  <w:r>
                    <w:rPr>
                      <w:color w:val="auto"/>
                      <w:kern w:val="0"/>
                    </w:rPr>
                    <w:t>激光打码</w:t>
                  </w:r>
                </w:p>
              </w:tc>
              <w:tc>
                <w:tcPr>
                  <w:tcW w:w="1245" w:type="pct"/>
                  <w:tcBorders>
                    <w:tl2br w:val="nil"/>
                    <w:tr2bl w:val="nil"/>
                  </w:tcBorders>
                  <w:shd w:val="clear" w:color="auto" w:fill="auto"/>
                  <w:vAlign w:val="center"/>
                </w:tcPr>
                <w:p w14:paraId="3A84F59D">
                  <w:pPr>
                    <w:widowControl/>
                    <w:adjustRightInd w:val="0"/>
                    <w:snapToGrid w:val="0"/>
                    <w:jc w:val="center"/>
                    <w:rPr>
                      <w:color w:val="auto"/>
                      <w:kern w:val="0"/>
                    </w:rPr>
                  </w:pPr>
                  <w:r>
                    <w:rPr>
                      <w:color w:val="auto"/>
                      <w:kern w:val="0"/>
                    </w:rPr>
                    <w:t>激光打码机构</w:t>
                  </w:r>
                </w:p>
              </w:tc>
              <w:tc>
                <w:tcPr>
                  <w:tcW w:w="1493" w:type="pct"/>
                  <w:tcBorders>
                    <w:tl2br w:val="nil"/>
                    <w:tr2bl w:val="nil"/>
                  </w:tcBorders>
                  <w:vAlign w:val="center"/>
                </w:tcPr>
                <w:p w14:paraId="3A84F59E">
                  <w:pPr>
                    <w:widowControl/>
                    <w:adjustRightInd w:val="0"/>
                    <w:snapToGrid w:val="0"/>
                    <w:jc w:val="center"/>
                    <w:rPr>
                      <w:color w:val="auto"/>
                      <w:kern w:val="0"/>
                    </w:rPr>
                  </w:pPr>
                  <w:r>
                    <w:rPr>
                      <w:color w:val="auto"/>
                      <w:kern w:val="0"/>
                    </w:rPr>
                    <w:t>LP-Z130-LS1-C</w:t>
                  </w:r>
                </w:p>
              </w:tc>
              <w:tc>
                <w:tcPr>
                  <w:tcW w:w="532" w:type="pct"/>
                  <w:tcBorders>
                    <w:tl2br w:val="nil"/>
                    <w:tr2bl w:val="nil"/>
                  </w:tcBorders>
                  <w:shd w:val="clear" w:color="auto" w:fill="auto"/>
                  <w:vAlign w:val="center"/>
                </w:tcPr>
                <w:p w14:paraId="3A84F59F">
                  <w:pPr>
                    <w:widowControl/>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5A0">
                  <w:pPr>
                    <w:widowControl/>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5A1">
                  <w:pPr>
                    <w:adjustRightInd w:val="0"/>
                    <w:snapToGrid w:val="0"/>
                    <w:jc w:val="center"/>
                    <w:rPr>
                      <w:color w:val="auto"/>
                      <w:kern w:val="0"/>
                    </w:rPr>
                  </w:pPr>
                  <w:r>
                    <w:rPr>
                      <w:color w:val="auto"/>
                      <w:kern w:val="0"/>
                    </w:rPr>
                    <w:t>0</w:t>
                  </w:r>
                </w:p>
              </w:tc>
            </w:tr>
            <w:tr w14:paraId="3A84F5A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52" w:type="pct"/>
                  <w:tcBorders>
                    <w:tl2br w:val="nil"/>
                    <w:tr2bl w:val="nil"/>
                  </w:tcBorders>
                  <w:shd w:val="clear" w:color="auto" w:fill="auto"/>
                  <w:vAlign w:val="center"/>
                </w:tcPr>
                <w:p w14:paraId="3A84F5A3">
                  <w:pPr>
                    <w:widowControl/>
                    <w:adjustRightInd w:val="0"/>
                    <w:snapToGrid w:val="0"/>
                    <w:jc w:val="center"/>
                    <w:rPr>
                      <w:color w:val="auto"/>
                      <w:kern w:val="0"/>
                    </w:rPr>
                  </w:pPr>
                  <w:r>
                    <w:rPr>
                      <w:color w:val="auto"/>
                      <w:kern w:val="0"/>
                    </w:rPr>
                    <w:t>自动装箱</w:t>
                  </w:r>
                </w:p>
              </w:tc>
              <w:tc>
                <w:tcPr>
                  <w:tcW w:w="1245" w:type="pct"/>
                  <w:tcBorders>
                    <w:tl2br w:val="nil"/>
                    <w:tr2bl w:val="nil"/>
                  </w:tcBorders>
                  <w:shd w:val="clear" w:color="auto" w:fill="auto"/>
                  <w:vAlign w:val="center"/>
                </w:tcPr>
                <w:p w14:paraId="3A84F5A4">
                  <w:pPr>
                    <w:widowControl/>
                    <w:adjustRightInd w:val="0"/>
                    <w:snapToGrid w:val="0"/>
                    <w:jc w:val="center"/>
                    <w:rPr>
                      <w:color w:val="auto"/>
                      <w:kern w:val="0"/>
                    </w:rPr>
                  </w:pPr>
                  <w:r>
                    <w:rPr>
                      <w:color w:val="auto"/>
                      <w:kern w:val="0"/>
                    </w:rPr>
                    <w:t>自动装箱机构</w:t>
                  </w:r>
                </w:p>
              </w:tc>
              <w:tc>
                <w:tcPr>
                  <w:tcW w:w="1493" w:type="pct"/>
                  <w:tcBorders>
                    <w:tl2br w:val="nil"/>
                    <w:tr2bl w:val="nil"/>
                  </w:tcBorders>
                  <w:vAlign w:val="center"/>
                </w:tcPr>
                <w:p w14:paraId="3A84F5A5">
                  <w:pPr>
                    <w:widowControl/>
                    <w:adjustRightInd w:val="0"/>
                    <w:snapToGrid w:val="0"/>
                    <w:jc w:val="center"/>
                    <w:rPr>
                      <w:color w:val="auto"/>
                      <w:kern w:val="0"/>
                    </w:rPr>
                  </w:pPr>
                  <w:r>
                    <w:rPr>
                      <w:color w:val="auto"/>
                      <w:kern w:val="0"/>
                    </w:rPr>
                    <w:t>C-040</w:t>
                  </w:r>
                </w:p>
              </w:tc>
              <w:tc>
                <w:tcPr>
                  <w:tcW w:w="532" w:type="pct"/>
                  <w:tcBorders>
                    <w:tl2br w:val="nil"/>
                    <w:tr2bl w:val="nil"/>
                  </w:tcBorders>
                  <w:shd w:val="clear" w:color="auto" w:fill="auto"/>
                  <w:vAlign w:val="center"/>
                </w:tcPr>
                <w:p w14:paraId="3A84F5A6">
                  <w:pPr>
                    <w:widowControl/>
                    <w:adjustRightInd w:val="0"/>
                    <w:snapToGrid w:val="0"/>
                    <w:jc w:val="center"/>
                    <w:rPr>
                      <w:color w:val="auto"/>
                      <w:kern w:val="0"/>
                    </w:rPr>
                  </w:pPr>
                  <w:r>
                    <w:rPr>
                      <w:color w:val="auto"/>
                      <w:kern w:val="0"/>
                    </w:rPr>
                    <w:t>1</w:t>
                  </w:r>
                </w:p>
              </w:tc>
              <w:tc>
                <w:tcPr>
                  <w:tcW w:w="532" w:type="pct"/>
                  <w:tcBorders>
                    <w:tl2br w:val="nil"/>
                    <w:tr2bl w:val="nil"/>
                  </w:tcBorders>
                  <w:shd w:val="clear" w:color="auto" w:fill="auto"/>
                  <w:vAlign w:val="center"/>
                </w:tcPr>
                <w:p w14:paraId="3A84F5A7">
                  <w:pPr>
                    <w:widowControl/>
                    <w:adjustRightInd w:val="0"/>
                    <w:snapToGrid w:val="0"/>
                    <w:jc w:val="center"/>
                    <w:rPr>
                      <w:color w:val="auto"/>
                      <w:kern w:val="0"/>
                    </w:rPr>
                  </w:pPr>
                  <w:r>
                    <w:rPr>
                      <w:color w:val="auto"/>
                      <w:kern w:val="0"/>
                    </w:rPr>
                    <w:t>1</w:t>
                  </w:r>
                </w:p>
              </w:tc>
              <w:tc>
                <w:tcPr>
                  <w:tcW w:w="544" w:type="pct"/>
                  <w:tcBorders>
                    <w:tl2br w:val="nil"/>
                    <w:tr2bl w:val="nil"/>
                  </w:tcBorders>
                  <w:shd w:val="clear" w:color="auto" w:fill="auto"/>
                  <w:vAlign w:val="center"/>
                </w:tcPr>
                <w:p w14:paraId="3A84F5A8">
                  <w:pPr>
                    <w:adjustRightInd w:val="0"/>
                    <w:snapToGrid w:val="0"/>
                    <w:jc w:val="center"/>
                    <w:rPr>
                      <w:color w:val="auto"/>
                      <w:kern w:val="0"/>
                    </w:rPr>
                  </w:pPr>
                  <w:r>
                    <w:rPr>
                      <w:color w:val="auto"/>
                      <w:kern w:val="0"/>
                    </w:rPr>
                    <w:t>0</w:t>
                  </w:r>
                </w:p>
              </w:tc>
            </w:tr>
          </w:tbl>
          <w:p w14:paraId="3A84F5AA">
            <w:pPr>
              <w:autoSpaceDE w:val="0"/>
              <w:autoSpaceDN w:val="0"/>
              <w:adjustRightInd w:val="0"/>
              <w:snapToGrid w:val="0"/>
              <w:spacing w:line="360" w:lineRule="auto"/>
              <w:jc w:val="left"/>
              <w:rPr>
                <w:rFonts w:cs="宋体"/>
                <w:b/>
                <w:bCs/>
                <w:color w:val="auto"/>
              </w:rPr>
            </w:pPr>
            <w:r>
              <w:rPr>
                <w:rFonts w:hint="eastAsia" w:cs="宋体"/>
                <w:b/>
                <w:bCs/>
                <w:color w:val="auto"/>
              </w:rPr>
              <w:t>2.1.5 原辅材料</w:t>
            </w:r>
          </w:p>
          <w:p w14:paraId="3A84F5AB">
            <w:pPr>
              <w:autoSpaceDE w:val="0"/>
              <w:autoSpaceDN w:val="0"/>
              <w:adjustRightInd w:val="0"/>
              <w:snapToGrid w:val="0"/>
              <w:spacing w:line="360" w:lineRule="auto"/>
              <w:ind w:firstLine="420" w:firstLineChars="200"/>
              <w:jc w:val="left"/>
              <w:rPr>
                <w:rFonts w:cs="宋体"/>
                <w:bCs/>
                <w:color w:val="auto"/>
              </w:rPr>
            </w:pPr>
            <w:r>
              <w:rPr>
                <w:rFonts w:hint="eastAsia" w:cs="宋体"/>
                <w:bCs/>
                <w:color w:val="auto"/>
              </w:rPr>
              <w:t>项目主要原辅材料见表2-4，原辅料理化性质见表2-5。</w:t>
            </w:r>
          </w:p>
          <w:p w14:paraId="3A84F5AC">
            <w:pPr>
              <w:pStyle w:val="16"/>
              <w:keepNext/>
              <w:adjustRightInd w:val="0"/>
              <w:snapToGrid w:val="0"/>
              <w:jc w:val="center"/>
              <w:rPr>
                <w:rFonts w:ascii="Times New Roman" w:hAnsi="Times New Roman" w:eastAsia="宋体" w:cs="宋体"/>
                <w:color w:val="auto"/>
                <w:sz w:val="21"/>
                <w:szCs w:val="21"/>
              </w:rPr>
            </w:pPr>
            <w:r>
              <w:rPr>
                <w:rFonts w:hint="eastAsia" w:ascii="Times New Roman" w:hAnsi="Times New Roman" w:eastAsia="宋体" w:cs="宋体"/>
                <w:b/>
                <w:color w:val="auto"/>
                <w:sz w:val="21"/>
                <w:szCs w:val="21"/>
              </w:rPr>
              <w:t>表2-4   主要原辅材料消耗情况</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502"/>
              <w:gridCol w:w="702"/>
              <w:gridCol w:w="1150"/>
              <w:gridCol w:w="774"/>
              <w:gridCol w:w="945"/>
              <w:gridCol w:w="945"/>
              <w:gridCol w:w="955"/>
              <w:gridCol w:w="455"/>
              <w:gridCol w:w="1164"/>
              <w:gridCol w:w="952"/>
            </w:tblGrid>
            <w:tr w14:paraId="3A84F5B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vMerge w:val="restart"/>
                  <w:tcBorders>
                    <w:tl2br w:val="nil"/>
                    <w:tr2bl w:val="nil"/>
                  </w:tcBorders>
                  <w:vAlign w:val="center"/>
                </w:tcPr>
                <w:p w14:paraId="3A84F5AD">
                  <w:pPr>
                    <w:pStyle w:val="693"/>
                    <w:adjustRightInd w:val="0"/>
                    <w:snapToGrid w:val="0"/>
                    <w:rPr>
                      <w:rFonts w:eastAsia="宋体"/>
                      <w:color w:val="auto"/>
                      <w:kern w:val="0"/>
                    </w:rPr>
                  </w:pPr>
                  <w:r>
                    <w:rPr>
                      <w:rFonts w:eastAsia="宋体"/>
                      <w:color w:val="auto"/>
                      <w:kern w:val="0"/>
                    </w:rPr>
                    <w:t>名称</w:t>
                  </w:r>
                </w:p>
              </w:tc>
              <w:tc>
                <w:tcPr>
                  <w:tcW w:w="673" w:type="pct"/>
                  <w:vMerge w:val="restart"/>
                  <w:tcBorders>
                    <w:tl2br w:val="nil"/>
                    <w:tr2bl w:val="nil"/>
                  </w:tcBorders>
                  <w:vAlign w:val="center"/>
                </w:tcPr>
                <w:p w14:paraId="3A84F5AE">
                  <w:pPr>
                    <w:pStyle w:val="693"/>
                    <w:adjustRightInd w:val="0"/>
                    <w:snapToGrid w:val="0"/>
                    <w:rPr>
                      <w:rFonts w:eastAsia="宋体"/>
                      <w:color w:val="auto"/>
                      <w:kern w:val="0"/>
                    </w:rPr>
                  </w:pPr>
                  <w:r>
                    <w:rPr>
                      <w:rFonts w:eastAsia="宋体"/>
                      <w:color w:val="auto"/>
                      <w:kern w:val="0"/>
                    </w:rPr>
                    <w:t>组份</w:t>
                  </w:r>
                </w:p>
              </w:tc>
              <w:tc>
                <w:tcPr>
                  <w:tcW w:w="453" w:type="pct"/>
                  <w:vMerge w:val="restart"/>
                  <w:tcBorders>
                    <w:tl2br w:val="nil"/>
                    <w:tr2bl w:val="nil"/>
                  </w:tcBorders>
                  <w:vAlign w:val="center"/>
                </w:tcPr>
                <w:p w14:paraId="6250DFAD">
                  <w:pPr>
                    <w:pStyle w:val="693"/>
                    <w:adjustRightInd w:val="0"/>
                    <w:snapToGrid w:val="0"/>
                    <w:rPr>
                      <w:rFonts w:hint="eastAsia" w:eastAsia="宋体"/>
                      <w:color w:val="auto"/>
                      <w:kern w:val="0"/>
                      <w:lang w:val="en-US" w:eastAsia="zh-CN"/>
                    </w:rPr>
                  </w:pPr>
                  <w:r>
                    <w:rPr>
                      <w:rFonts w:hint="eastAsia" w:eastAsia="宋体"/>
                      <w:color w:val="auto"/>
                      <w:kern w:val="0"/>
                      <w:lang w:val="en-US" w:eastAsia="zh-CN"/>
                    </w:rPr>
                    <w:t>单位</w:t>
                  </w:r>
                </w:p>
              </w:tc>
              <w:tc>
                <w:tcPr>
                  <w:tcW w:w="1665" w:type="pct"/>
                  <w:gridSpan w:val="3"/>
                  <w:tcBorders>
                    <w:tl2br w:val="nil"/>
                    <w:tr2bl w:val="nil"/>
                  </w:tcBorders>
                  <w:vAlign w:val="center"/>
                </w:tcPr>
                <w:p w14:paraId="3A84F5AF">
                  <w:pPr>
                    <w:pStyle w:val="693"/>
                    <w:adjustRightInd w:val="0"/>
                    <w:snapToGrid w:val="0"/>
                    <w:rPr>
                      <w:rFonts w:eastAsia="宋体"/>
                      <w:color w:val="auto"/>
                      <w:kern w:val="0"/>
                    </w:rPr>
                  </w:pPr>
                  <w:r>
                    <w:rPr>
                      <w:rFonts w:hint="eastAsia" w:eastAsia="宋体"/>
                      <w:color w:val="auto"/>
                      <w:kern w:val="0"/>
                      <w:lang w:val="en-US" w:eastAsia="zh-CN"/>
                    </w:rPr>
                    <w:t>年</w:t>
                  </w:r>
                  <w:r>
                    <w:rPr>
                      <w:rFonts w:eastAsia="宋体"/>
                      <w:color w:val="auto"/>
                      <w:kern w:val="0"/>
                    </w:rPr>
                    <w:t>用量</w:t>
                  </w:r>
                </w:p>
              </w:tc>
              <w:tc>
                <w:tcPr>
                  <w:tcW w:w="266" w:type="pct"/>
                  <w:vMerge w:val="restart"/>
                  <w:tcBorders>
                    <w:tl2br w:val="nil"/>
                    <w:tr2bl w:val="nil"/>
                  </w:tcBorders>
                  <w:vAlign w:val="center"/>
                </w:tcPr>
                <w:p w14:paraId="3A84F5B0">
                  <w:pPr>
                    <w:pStyle w:val="693"/>
                    <w:adjustRightInd w:val="0"/>
                    <w:snapToGrid w:val="0"/>
                    <w:rPr>
                      <w:rFonts w:eastAsia="宋体"/>
                      <w:color w:val="auto"/>
                      <w:kern w:val="0"/>
                    </w:rPr>
                  </w:pPr>
                  <w:r>
                    <w:rPr>
                      <w:rFonts w:eastAsia="宋体"/>
                      <w:color w:val="auto"/>
                      <w:kern w:val="0"/>
                    </w:rPr>
                    <w:t>物料形态</w:t>
                  </w:r>
                </w:p>
              </w:tc>
              <w:tc>
                <w:tcPr>
                  <w:tcW w:w="681" w:type="pct"/>
                  <w:vMerge w:val="restart"/>
                  <w:tcBorders>
                    <w:tl2br w:val="nil"/>
                    <w:tr2bl w:val="nil"/>
                  </w:tcBorders>
                  <w:vAlign w:val="center"/>
                </w:tcPr>
                <w:p w14:paraId="3A84F5B1">
                  <w:pPr>
                    <w:pStyle w:val="693"/>
                    <w:adjustRightInd w:val="0"/>
                    <w:snapToGrid w:val="0"/>
                    <w:rPr>
                      <w:rFonts w:eastAsia="宋体"/>
                      <w:color w:val="auto"/>
                      <w:kern w:val="0"/>
                    </w:rPr>
                  </w:pPr>
                  <w:r>
                    <w:rPr>
                      <w:rFonts w:eastAsia="宋体"/>
                      <w:color w:val="auto"/>
                      <w:kern w:val="0"/>
                    </w:rPr>
                    <w:t>包装规格</w:t>
                  </w:r>
                </w:p>
              </w:tc>
              <w:tc>
                <w:tcPr>
                  <w:tcW w:w="554" w:type="pct"/>
                  <w:vMerge w:val="restart"/>
                  <w:tcBorders>
                    <w:tl2br w:val="nil"/>
                    <w:tr2bl w:val="nil"/>
                  </w:tcBorders>
                  <w:vAlign w:val="center"/>
                </w:tcPr>
                <w:p w14:paraId="3A84F5B2">
                  <w:pPr>
                    <w:pStyle w:val="693"/>
                    <w:adjustRightInd w:val="0"/>
                    <w:snapToGrid w:val="0"/>
                    <w:rPr>
                      <w:rFonts w:eastAsia="宋体"/>
                      <w:color w:val="auto"/>
                      <w:kern w:val="0"/>
                    </w:rPr>
                  </w:pPr>
                  <w:r>
                    <w:rPr>
                      <w:rFonts w:eastAsia="宋体"/>
                      <w:color w:val="auto"/>
                      <w:kern w:val="0"/>
                    </w:rPr>
                    <w:t>最大储存量t</w:t>
                  </w:r>
                </w:p>
              </w:tc>
            </w:tr>
            <w:tr w14:paraId="3A84F5B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vMerge w:val="continue"/>
                  <w:tcBorders>
                    <w:tl2br w:val="nil"/>
                    <w:tr2bl w:val="nil"/>
                  </w:tcBorders>
                  <w:vAlign w:val="center"/>
                </w:tcPr>
                <w:p w14:paraId="3A84F5B4">
                  <w:pPr>
                    <w:pStyle w:val="693"/>
                    <w:adjustRightInd w:val="0"/>
                    <w:snapToGrid w:val="0"/>
                    <w:rPr>
                      <w:rFonts w:eastAsia="宋体"/>
                      <w:color w:val="auto"/>
                      <w:kern w:val="0"/>
                    </w:rPr>
                  </w:pPr>
                </w:p>
              </w:tc>
              <w:tc>
                <w:tcPr>
                  <w:tcW w:w="673" w:type="pct"/>
                  <w:vMerge w:val="continue"/>
                  <w:tcBorders>
                    <w:tl2br w:val="nil"/>
                    <w:tr2bl w:val="nil"/>
                  </w:tcBorders>
                  <w:vAlign w:val="center"/>
                </w:tcPr>
                <w:p w14:paraId="3A84F5B5">
                  <w:pPr>
                    <w:pStyle w:val="693"/>
                    <w:adjustRightInd w:val="0"/>
                    <w:snapToGrid w:val="0"/>
                    <w:rPr>
                      <w:rFonts w:eastAsia="宋体"/>
                      <w:color w:val="auto"/>
                      <w:kern w:val="0"/>
                    </w:rPr>
                  </w:pPr>
                </w:p>
              </w:tc>
              <w:tc>
                <w:tcPr>
                  <w:tcW w:w="453" w:type="pct"/>
                  <w:vMerge w:val="continue"/>
                  <w:tcBorders>
                    <w:tl2br w:val="nil"/>
                    <w:tr2bl w:val="nil"/>
                  </w:tcBorders>
                  <w:vAlign w:val="center"/>
                </w:tcPr>
                <w:p w14:paraId="430E418F">
                  <w:pPr>
                    <w:pStyle w:val="693"/>
                    <w:adjustRightInd w:val="0"/>
                    <w:snapToGrid w:val="0"/>
                    <w:rPr>
                      <w:rFonts w:eastAsia="宋体"/>
                      <w:color w:val="auto"/>
                      <w:kern w:val="0"/>
                    </w:rPr>
                  </w:pPr>
                </w:p>
              </w:tc>
              <w:tc>
                <w:tcPr>
                  <w:tcW w:w="553" w:type="pct"/>
                  <w:tcBorders>
                    <w:tl2br w:val="nil"/>
                    <w:tr2bl w:val="nil"/>
                  </w:tcBorders>
                  <w:vAlign w:val="center"/>
                </w:tcPr>
                <w:p w14:paraId="3A84F5B6">
                  <w:pPr>
                    <w:pStyle w:val="693"/>
                    <w:adjustRightInd w:val="0"/>
                    <w:snapToGrid w:val="0"/>
                    <w:rPr>
                      <w:rFonts w:eastAsia="宋体"/>
                      <w:color w:val="auto"/>
                      <w:kern w:val="0"/>
                    </w:rPr>
                  </w:pPr>
                  <w:r>
                    <w:rPr>
                      <w:rFonts w:eastAsia="宋体"/>
                      <w:color w:val="auto"/>
                      <w:kern w:val="0"/>
                    </w:rPr>
                    <w:t>扩建前</w:t>
                  </w:r>
                </w:p>
              </w:tc>
              <w:tc>
                <w:tcPr>
                  <w:tcW w:w="553" w:type="pct"/>
                  <w:tcBorders>
                    <w:tl2br w:val="nil"/>
                    <w:tr2bl w:val="nil"/>
                  </w:tcBorders>
                  <w:vAlign w:val="center"/>
                </w:tcPr>
                <w:p w14:paraId="3A84F5B7">
                  <w:pPr>
                    <w:pStyle w:val="693"/>
                    <w:adjustRightInd w:val="0"/>
                    <w:snapToGrid w:val="0"/>
                    <w:rPr>
                      <w:rFonts w:eastAsia="宋体"/>
                      <w:color w:val="auto"/>
                      <w:kern w:val="0"/>
                    </w:rPr>
                  </w:pPr>
                  <w:r>
                    <w:rPr>
                      <w:rFonts w:eastAsia="宋体"/>
                      <w:color w:val="auto"/>
                      <w:kern w:val="0"/>
                    </w:rPr>
                    <w:t>扩建后</w:t>
                  </w:r>
                </w:p>
              </w:tc>
              <w:tc>
                <w:tcPr>
                  <w:tcW w:w="559" w:type="pct"/>
                  <w:tcBorders>
                    <w:tl2br w:val="nil"/>
                    <w:tr2bl w:val="nil"/>
                  </w:tcBorders>
                  <w:vAlign w:val="center"/>
                </w:tcPr>
                <w:p w14:paraId="3A84F5B8">
                  <w:pPr>
                    <w:pStyle w:val="693"/>
                    <w:adjustRightInd w:val="0"/>
                    <w:snapToGrid w:val="0"/>
                    <w:rPr>
                      <w:rFonts w:eastAsia="宋体"/>
                      <w:color w:val="auto"/>
                      <w:kern w:val="0"/>
                    </w:rPr>
                  </w:pPr>
                  <w:r>
                    <w:rPr>
                      <w:rFonts w:eastAsia="宋体"/>
                      <w:color w:val="auto"/>
                      <w:kern w:val="0"/>
                    </w:rPr>
                    <w:t>增减量</w:t>
                  </w:r>
                </w:p>
              </w:tc>
              <w:tc>
                <w:tcPr>
                  <w:tcW w:w="266" w:type="pct"/>
                  <w:vMerge w:val="continue"/>
                  <w:tcBorders>
                    <w:tl2br w:val="nil"/>
                    <w:tr2bl w:val="nil"/>
                  </w:tcBorders>
                  <w:vAlign w:val="center"/>
                </w:tcPr>
                <w:p w14:paraId="3A84F5B9">
                  <w:pPr>
                    <w:pStyle w:val="693"/>
                    <w:adjustRightInd w:val="0"/>
                    <w:snapToGrid w:val="0"/>
                    <w:rPr>
                      <w:rFonts w:eastAsia="宋体"/>
                      <w:color w:val="auto"/>
                      <w:kern w:val="0"/>
                    </w:rPr>
                  </w:pPr>
                </w:p>
              </w:tc>
              <w:tc>
                <w:tcPr>
                  <w:tcW w:w="681" w:type="pct"/>
                  <w:vMerge w:val="continue"/>
                  <w:tcBorders>
                    <w:tl2br w:val="nil"/>
                    <w:tr2bl w:val="nil"/>
                  </w:tcBorders>
                  <w:vAlign w:val="center"/>
                </w:tcPr>
                <w:p w14:paraId="3A84F5BA">
                  <w:pPr>
                    <w:pStyle w:val="693"/>
                    <w:adjustRightInd w:val="0"/>
                    <w:snapToGrid w:val="0"/>
                    <w:rPr>
                      <w:rFonts w:eastAsia="宋体"/>
                      <w:color w:val="auto"/>
                      <w:kern w:val="0"/>
                    </w:rPr>
                  </w:pPr>
                </w:p>
              </w:tc>
              <w:tc>
                <w:tcPr>
                  <w:tcW w:w="554" w:type="pct"/>
                  <w:vMerge w:val="continue"/>
                  <w:tcBorders>
                    <w:tl2br w:val="nil"/>
                    <w:tr2bl w:val="nil"/>
                  </w:tcBorders>
                  <w:vAlign w:val="center"/>
                </w:tcPr>
                <w:p w14:paraId="3A84F5BB">
                  <w:pPr>
                    <w:pStyle w:val="693"/>
                    <w:adjustRightInd w:val="0"/>
                    <w:snapToGrid w:val="0"/>
                    <w:rPr>
                      <w:rFonts w:eastAsia="宋体"/>
                      <w:color w:val="auto"/>
                      <w:kern w:val="0"/>
                    </w:rPr>
                  </w:pPr>
                </w:p>
              </w:tc>
            </w:tr>
            <w:tr w14:paraId="50E8771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10"/>
                  <w:tcBorders>
                    <w:tl2br w:val="nil"/>
                    <w:tr2bl w:val="nil"/>
                  </w:tcBorders>
                  <w:vAlign w:val="center"/>
                </w:tcPr>
                <w:p w14:paraId="1026481C">
                  <w:pPr>
                    <w:adjustRightInd w:val="0"/>
                    <w:snapToGrid w:val="0"/>
                    <w:jc w:val="center"/>
                    <w:rPr>
                      <w:b/>
                      <w:bCs/>
                      <w:color w:val="auto"/>
                      <w:kern w:val="0"/>
                    </w:rPr>
                  </w:pPr>
                  <w:r>
                    <w:rPr>
                      <w:b/>
                      <w:bCs/>
                      <w:color w:val="auto"/>
                      <w:kern w:val="0"/>
                    </w:rPr>
                    <w:t>点火具注塑</w:t>
                  </w:r>
                </w:p>
              </w:tc>
            </w:tr>
            <w:tr w14:paraId="3A84F5C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5BF">
                  <w:pPr>
                    <w:adjustRightInd w:val="0"/>
                    <w:snapToGrid w:val="0"/>
                    <w:jc w:val="center"/>
                    <w:rPr>
                      <w:color w:val="auto"/>
                      <w:kern w:val="0"/>
                    </w:rPr>
                  </w:pPr>
                  <w:r>
                    <w:rPr>
                      <w:color w:val="auto"/>
                      <w:kern w:val="0"/>
                    </w:rPr>
                    <w:t>塑料尼龙</w:t>
                  </w:r>
                </w:p>
              </w:tc>
              <w:tc>
                <w:tcPr>
                  <w:tcW w:w="673" w:type="pct"/>
                  <w:tcBorders>
                    <w:tl2br w:val="nil"/>
                    <w:tr2bl w:val="nil"/>
                  </w:tcBorders>
                  <w:vAlign w:val="center"/>
                </w:tcPr>
                <w:p w14:paraId="3A84F5C0">
                  <w:pPr>
                    <w:adjustRightInd w:val="0"/>
                    <w:snapToGrid w:val="0"/>
                    <w:jc w:val="center"/>
                    <w:rPr>
                      <w:color w:val="auto"/>
                      <w:kern w:val="0"/>
                      <w:lang w:bidi="ar"/>
                    </w:rPr>
                  </w:pPr>
                  <w:r>
                    <w:rPr>
                      <w:color w:val="auto"/>
                      <w:kern w:val="0"/>
                    </w:rPr>
                    <w:t>尼龙树脂</w:t>
                  </w:r>
                </w:p>
              </w:tc>
              <w:tc>
                <w:tcPr>
                  <w:tcW w:w="453" w:type="pct"/>
                  <w:tcBorders>
                    <w:tl2br w:val="nil"/>
                    <w:tr2bl w:val="nil"/>
                  </w:tcBorders>
                  <w:vAlign w:val="center"/>
                </w:tcPr>
                <w:p w14:paraId="4664B908">
                  <w:pPr>
                    <w:adjustRightInd w:val="0"/>
                    <w:snapToGrid w:val="0"/>
                    <w:jc w:val="center"/>
                    <w:rPr>
                      <w:rFonts w:hint="eastAsia" w:eastAsia="宋体"/>
                      <w:color w:val="auto"/>
                      <w:kern w:val="0"/>
                      <w:lang w:val="en-US" w:eastAsia="zh-CN"/>
                    </w:rPr>
                  </w:pPr>
                  <w:r>
                    <w:rPr>
                      <w:rFonts w:hint="eastAsia"/>
                      <w:color w:val="auto"/>
                      <w:kern w:val="0"/>
                      <w:lang w:val="en-US" w:eastAsia="zh-CN"/>
                    </w:rPr>
                    <w:t>吨</w:t>
                  </w:r>
                </w:p>
              </w:tc>
              <w:tc>
                <w:tcPr>
                  <w:tcW w:w="553" w:type="pct"/>
                  <w:tcBorders>
                    <w:tl2br w:val="nil"/>
                    <w:tr2bl w:val="nil"/>
                  </w:tcBorders>
                  <w:vAlign w:val="center"/>
                </w:tcPr>
                <w:p w14:paraId="3A84F5C1">
                  <w:pPr>
                    <w:adjustRightInd w:val="0"/>
                    <w:snapToGrid w:val="0"/>
                    <w:jc w:val="center"/>
                    <w:rPr>
                      <w:rFonts w:hint="eastAsia" w:eastAsia="宋体"/>
                      <w:color w:val="auto"/>
                      <w:kern w:val="0"/>
                      <w:lang w:val="en-US" w:eastAsia="zh-CN"/>
                    </w:rPr>
                  </w:pPr>
                  <w:r>
                    <w:rPr>
                      <w:color w:val="auto"/>
                      <w:kern w:val="0"/>
                    </w:rPr>
                    <w:t>600</w:t>
                  </w:r>
                </w:p>
              </w:tc>
              <w:tc>
                <w:tcPr>
                  <w:tcW w:w="553" w:type="pct"/>
                  <w:tcBorders>
                    <w:tl2br w:val="nil"/>
                    <w:tr2bl w:val="nil"/>
                  </w:tcBorders>
                  <w:shd w:val="clear" w:color="auto" w:fill="auto"/>
                  <w:vAlign w:val="center"/>
                </w:tcPr>
                <w:p w14:paraId="3A84F5C2">
                  <w:pPr>
                    <w:adjustRightInd w:val="0"/>
                    <w:snapToGrid w:val="0"/>
                    <w:jc w:val="center"/>
                    <w:rPr>
                      <w:color w:val="auto"/>
                      <w:kern w:val="0"/>
                    </w:rPr>
                  </w:pPr>
                  <w:r>
                    <w:rPr>
                      <w:color w:val="auto"/>
                      <w:kern w:val="0"/>
                    </w:rPr>
                    <w:t>600</w:t>
                  </w:r>
                </w:p>
              </w:tc>
              <w:tc>
                <w:tcPr>
                  <w:tcW w:w="559" w:type="pct"/>
                  <w:tcBorders>
                    <w:tl2br w:val="nil"/>
                    <w:tr2bl w:val="nil"/>
                  </w:tcBorders>
                  <w:vAlign w:val="center"/>
                </w:tcPr>
                <w:p w14:paraId="3A84F5C3">
                  <w:pPr>
                    <w:adjustRightInd w:val="0"/>
                    <w:snapToGrid w:val="0"/>
                    <w:jc w:val="center"/>
                    <w:rPr>
                      <w:color w:val="auto"/>
                      <w:kern w:val="0"/>
                    </w:rPr>
                  </w:pPr>
                  <w:r>
                    <w:rPr>
                      <w:color w:val="auto"/>
                      <w:kern w:val="0"/>
                    </w:rPr>
                    <w:t>0</w:t>
                  </w:r>
                </w:p>
              </w:tc>
              <w:tc>
                <w:tcPr>
                  <w:tcW w:w="266" w:type="pct"/>
                  <w:tcBorders>
                    <w:tl2br w:val="nil"/>
                    <w:tr2bl w:val="nil"/>
                  </w:tcBorders>
                  <w:vAlign w:val="center"/>
                </w:tcPr>
                <w:p w14:paraId="3A84F5C4">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5C5">
                  <w:pPr>
                    <w:adjustRightInd w:val="0"/>
                    <w:snapToGrid w:val="0"/>
                    <w:jc w:val="center"/>
                    <w:rPr>
                      <w:color w:val="auto"/>
                      <w:kern w:val="0"/>
                    </w:rPr>
                  </w:pPr>
                  <w:r>
                    <w:rPr>
                      <w:color w:val="auto"/>
                      <w:kern w:val="0"/>
                    </w:rPr>
                    <w:t>25kg/袋</w:t>
                  </w:r>
                </w:p>
              </w:tc>
              <w:tc>
                <w:tcPr>
                  <w:tcW w:w="554" w:type="pct"/>
                  <w:tcBorders>
                    <w:tl2br w:val="nil"/>
                    <w:tr2bl w:val="nil"/>
                  </w:tcBorders>
                  <w:vAlign w:val="center"/>
                </w:tcPr>
                <w:p w14:paraId="3A84F5C6">
                  <w:pPr>
                    <w:adjustRightInd w:val="0"/>
                    <w:snapToGrid w:val="0"/>
                    <w:jc w:val="center"/>
                    <w:rPr>
                      <w:color w:val="auto"/>
                      <w:kern w:val="0"/>
                    </w:rPr>
                  </w:pPr>
                  <w:r>
                    <w:rPr>
                      <w:color w:val="auto"/>
                      <w:kern w:val="0"/>
                    </w:rPr>
                    <w:t>20</w:t>
                  </w:r>
                </w:p>
              </w:tc>
            </w:tr>
            <w:tr w14:paraId="3A84F5D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5C8">
                  <w:pPr>
                    <w:adjustRightInd w:val="0"/>
                    <w:snapToGrid w:val="0"/>
                    <w:jc w:val="center"/>
                    <w:rPr>
                      <w:color w:val="auto"/>
                      <w:kern w:val="0"/>
                    </w:rPr>
                  </w:pPr>
                  <w:r>
                    <w:rPr>
                      <w:color w:val="auto"/>
                      <w:kern w:val="0"/>
                    </w:rPr>
                    <w:t>MIB金属基板</w:t>
                  </w:r>
                </w:p>
              </w:tc>
              <w:tc>
                <w:tcPr>
                  <w:tcW w:w="673" w:type="pct"/>
                  <w:tcBorders>
                    <w:tl2br w:val="nil"/>
                    <w:tr2bl w:val="nil"/>
                  </w:tcBorders>
                  <w:vAlign w:val="center"/>
                </w:tcPr>
                <w:p w14:paraId="3A84F5C9">
                  <w:pPr>
                    <w:adjustRightInd w:val="0"/>
                    <w:snapToGrid w:val="0"/>
                    <w:jc w:val="center"/>
                    <w:rPr>
                      <w:color w:val="auto"/>
                      <w:kern w:val="0"/>
                    </w:rPr>
                  </w:pPr>
                  <w:r>
                    <w:rPr>
                      <w:color w:val="auto"/>
                      <w:kern w:val="0"/>
                    </w:rPr>
                    <w:t>碳钢</w:t>
                  </w:r>
                </w:p>
              </w:tc>
              <w:tc>
                <w:tcPr>
                  <w:tcW w:w="453" w:type="pct"/>
                  <w:tcBorders>
                    <w:tl2br w:val="nil"/>
                    <w:tr2bl w:val="nil"/>
                  </w:tcBorders>
                  <w:vAlign w:val="center"/>
                </w:tcPr>
                <w:p w14:paraId="09683DC0">
                  <w:pPr>
                    <w:adjustRightInd w:val="0"/>
                    <w:snapToGrid w:val="0"/>
                    <w:jc w:val="center"/>
                    <w:rPr>
                      <w:rFonts w:hint="default" w:eastAsia="宋体"/>
                      <w:color w:val="auto"/>
                      <w:kern w:val="0"/>
                      <w:lang w:val="en-US" w:eastAsia="zh-CN"/>
                    </w:rPr>
                  </w:pPr>
                  <w:r>
                    <w:rPr>
                      <w:rFonts w:hint="eastAsia"/>
                      <w:color w:val="auto"/>
                      <w:kern w:val="0"/>
                      <w:lang w:val="en-US" w:eastAsia="zh-CN"/>
                    </w:rPr>
                    <w:t>万个</w:t>
                  </w:r>
                </w:p>
              </w:tc>
              <w:tc>
                <w:tcPr>
                  <w:tcW w:w="553" w:type="pct"/>
                  <w:tcBorders>
                    <w:tl2br w:val="nil"/>
                    <w:tr2bl w:val="nil"/>
                  </w:tcBorders>
                  <w:vAlign w:val="center"/>
                </w:tcPr>
                <w:p w14:paraId="3A84F5CA">
                  <w:pPr>
                    <w:adjustRightInd w:val="0"/>
                    <w:snapToGrid w:val="0"/>
                    <w:jc w:val="center"/>
                    <w:rPr>
                      <w:color w:val="auto"/>
                      <w:kern w:val="0"/>
                    </w:rPr>
                  </w:pPr>
                  <w:r>
                    <w:rPr>
                      <w:color w:val="auto"/>
                      <w:kern w:val="0"/>
                    </w:rPr>
                    <w:t>3000</w:t>
                  </w:r>
                </w:p>
              </w:tc>
              <w:tc>
                <w:tcPr>
                  <w:tcW w:w="553" w:type="pct"/>
                  <w:tcBorders>
                    <w:tl2br w:val="nil"/>
                    <w:tr2bl w:val="nil"/>
                  </w:tcBorders>
                  <w:shd w:val="clear" w:color="auto" w:fill="auto"/>
                  <w:vAlign w:val="center"/>
                </w:tcPr>
                <w:p w14:paraId="3A84F5CB">
                  <w:pPr>
                    <w:adjustRightInd w:val="0"/>
                    <w:snapToGrid w:val="0"/>
                    <w:jc w:val="center"/>
                    <w:rPr>
                      <w:color w:val="auto"/>
                      <w:kern w:val="0"/>
                    </w:rPr>
                  </w:pPr>
                  <w:r>
                    <w:rPr>
                      <w:color w:val="auto"/>
                      <w:kern w:val="0"/>
                    </w:rPr>
                    <w:t>3000</w:t>
                  </w:r>
                </w:p>
              </w:tc>
              <w:tc>
                <w:tcPr>
                  <w:tcW w:w="559" w:type="pct"/>
                  <w:tcBorders>
                    <w:tl2br w:val="nil"/>
                    <w:tr2bl w:val="nil"/>
                  </w:tcBorders>
                  <w:vAlign w:val="center"/>
                </w:tcPr>
                <w:p w14:paraId="3A84F5CC">
                  <w:pPr>
                    <w:adjustRightInd w:val="0"/>
                    <w:snapToGrid w:val="0"/>
                    <w:jc w:val="center"/>
                    <w:rPr>
                      <w:color w:val="auto"/>
                      <w:kern w:val="0"/>
                    </w:rPr>
                  </w:pPr>
                  <w:r>
                    <w:rPr>
                      <w:color w:val="auto"/>
                      <w:kern w:val="0"/>
                    </w:rPr>
                    <w:t>0</w:t>
                  </w:r>
                </w:p>
              </w:tc>
              <w:tc>
                <w:tcPr>
                  <w:tcW w:w="266" w:type="pct"/>
                  <w:tcBorders>
                    <w:tl2br w:val="nil"/>
                    <w:tr2bl w:val="nil"/>
                  </w:tcBorders>
                  <w:vAlign w:val="center"/>
                </w:tcPr>
                <w:p w14:paraId="3A84F5CD">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5CE">
                  <w:pPr>
                    <w:adjustRightInd w:val="0"/>
                    <w:snapToGrid w:val="0"/>
                    <w:jc w:val="center"/>
                    <w:rPr>
                      <w:color w:val="auto"/>
                      <w:kern w:val="0"/>
                    </w:rPr>
                  </w:pPr>
                  <w:r>
                    <w:rPr>
                      <w:color w:val="auto"/>
                      <w:kern w:val="0"/>
                    </w:rPr>
                    <w:t>100个/箱</w:t>
                  </w:r>
                </w:p>
              </w:tc>
              <w:tc>
                <w:tcPr>
                  <w:tcW w:w="554" w:type="pct"/>
                  <w:tcBorders>
                    <w:tl2br w:val="nil"/>
                    <w:tr2bl w:val="nil"/>
                  </w:tcBorders>
                  <w:vAlign w:val="center"/>
                </w:tcPr>
                <w:p w14:paraId="3A84F5CF">
                  <w:pPr>
                    <w:adjustRightInd w:val="0"/>
                    <w:snapToGrid w:val="0"/>
                    <w:jc w:val="center"/>
                    <w:rPr>
                      <w:color w:val="auto"/>
                      <w:kern w:val="0"/>
                    </w:rPr>
                  </w:pPr>
                  <w:r>
                    <w:rPr>
                      <w:color w:val="auto"/>
                      <w:kern w:val="0"/>
                    </w:rPr>
                    <w:t>100</w:t>
                  </w:r>
                </w:p>
              </w:tc>
            </w:tr>
            <w:tr w14:paraId="3A84F5D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5D1">
                  <w:pPr>
                    <w:adjustRightInd w:val="0"/>
                    <w:snapToGrid w:val="0"/>
                    <w:jc w:val="center"/>
                    <w:rPr>
                      <w:color w:val="auto"/>
                      <w:kern w:val="0"/>
                    </w:rPr>
                  </w:pPr>
                  <w:r>
                    <w:rPr>
                      <w:color w:val="auto"/>
                      <w:kern w:val="0"/>
                    </w:rPr>
                    <w:t>金属圆环</w:t>
                  </w:r>
                </w:p>
              </w:tc>
              <w:tc>
                <w:tcPr>
                  <w:tcW w:w="673" w:type="pct"/>
                  <w:tcBorders>
                    <w:tl2br w:val="nil"/>
                    <w:tr2bl w:val="nil"/>
                  </w:tcBorders>
                  <w:vAlign w:val="center"/>
                </w:tcPr>
                <w:p w14:paraId="3A84F5D2">
                  <w:pPr>
                    <w:adjustRightInd w:val="0"/>
                    <w:snapToGrid w:val="0"/>
                    <w:jc w:val="center"/>
                    <w:rPr>
                      <w:color w:val="auto"/>
                      <w:kern w:val="0"/>
                    </w:rPr>
                  </w:pPr>
                  <w:r>
                    <w:rPr>
                      <w:color w:val="auto"/>
                      <w:kern w:val="0"/>
                    </w:rPr>
                    <w:t>铁</w:t>
                  </w:r>
                </w:p>
              </w:tc>
              <w:tc>
                <w:tcPr>
                  <w:tcW w:w="453" w:type="pct"/>
                  <w:tcBorders>
                    <w:tl2br w:val="nil"/>
                    <w:tr2bl w:val="nil"/>
                  </w:tcBorders>
                  <w:vAlign w:val="center"/>
                </w:tcPr>
                <w:p w14:paraId="2B467F0D">
                  <w:pPr>
                    <w:adjustRightInd w:val="0"/>
                    <w:snapToGrid w:val="0"/>
                    <w:jc w:val="center"/>
                    <w:rPr>
                      <w:rFonts w:hint="eastAsia" w:eastAsia="宋体"/>
                      <w:color w:val="auto"/>
                      <w:kern w:val="0"/>
                      <w:lang w:val="en-US" w:eastAsia="zh-CN"/>
                    </w:rPr>
                  </w:pPr>
                  <w:r>
                    <w:rPr>
                      <w:rFonts w:hint="eastAsia"/>
                      <w:color w:val="auto"/>
                      <w:kern w:val="0"/>
                      <w:lang w:val="en-US" w:eastAsia="zh-CN"/>
                    </w:rPr>
                    <w:t>万个</w:t>
                  </w:r>
                </w:p>
              </w:tc>
              <w:tc>
                <w:tcPr>
                  <w:tcW w:w="553" w:type="pct"/>
                  <w:tcBorders>
                    <w:tl2br w:val="nil"/>
                    <w:tr2bl w:val="nil"/>
                  </w:tcBorders>
                  <w:vAlign w:val="center"/>
                </w:tcPr>
                <w:p w14:paraId="3A84F5D3">
                  <w:pPr>
                    <w:adjustRightInd w:val="0"/>
                    <w:snapToGrid w:val="0"/>
                    <w:jc w:val="center"/>
                    <w:rPr>
                      <w:color w:val="auto"/>
                      <w:kern w:val="0"/>
                    </w:rPr>
                  </w:pPr>
                  <w:r>
                    <w:rPr>
                      <w:color w:val="auto"/>
                      <w:kern w:val="0"/>
                    </w:rPr>
                    <w:t>6000</w:t>
                  </w:r>
                </w:p>
              </w:tc>
              <w:tc>
                <w:tcPr>
                  <w:tcW w:w="553" w:type="pct"/>
                  <w:tcBorders>
                    <w:tl2br w:val="nil"/>
                    <w:tr2bl w:val="nil"/>
                  </w:tcBorders>
                  <w:shd w:val="clear" w:color="auto" w:fill="auto"/>
                  <w:vAlign w:val="center"/>
                </w:tcPr>
                <w:p w14:paraId="3A84F5D4">
                  <w:pPr>
                    <w:adjustRightInd w:val="0"/>
                    <w:snapToGrid w:val="0"/>
                    <w:jc w:val="center"/>
                    <w:rPr>
                      <w:color w:val="auto"/>
                      <w:kern w:val="0"/>
                    </w:rPr>
                  </w:pPr>
                  <w:r>
                    <w:rPr>
                      <w:color w:val="auto"/>
                      <w:kern w:val="0"/>
                    </w:rPr>
                    <w:t>6000</w:t>
                  </w:r>
                </w:p>
              </w:tc>
              <w:tc>
                <w:tcPr>
                  <w:tcW w:w="559" w:type="pct"/>
                  <w:tcBorders>
                    <w:tl2br w:val="nil"/>
                    <w:tr2bl w:val="nil"/>
                  </w:tcBorders>
                  <w:vAlign w:val="center"/>
                </w:tcPr>
                <w:p w14:paraId="3A84F5D5">
                  <w:pPr>
                    <w:adjustRightInd w:val="0"/>
                    <w:snapToGrid w:val="0"/>
                    <w:jc w:val="center"/>
                    <w:rPr>
                      <w:color w:val="auto"/>
                      <w:kern w:val="0"/>
                    </w:rPr>
                  </w:pPr>
                  <w:r>
                    <w:rPr>
                      <w:color w:val="auto"/>
                      <w:kern w:val="0"/>
                    </w:rPr>
                    <w:t>0</w:t>
                  </w:r>
                </w:p>
              </w:tc>
              <w:tc>
                <w:tcPr>
                  <w:tcW w:w="266" w:type="pct"/>
                  <w:tcBorders>
                    <w:tl2br w:val="nil"/>
                    <w:tr2bl w:val="nil"/>
                  </w:tcBorders>
                  <w:vAlign w:val="center"/>
                </w:tcPr>
                <w:p w14:paraId="3A84F5D6">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5D7">
                  <w:pPr>
                    <w:adjustRightInd w:val="0"/>
                    <w:snapToGrid w:val="0"/>
                    <w:jc w:val="center"/>
                    <w:rPr>
                      <w:color w:val="auto"/>
                      <w:kern w:val="0"/>
                    </w:rPr>
                  </w:pPr>
                  <w:r>
                    <w:rPr>
                      <w:color w:val="auto"/>
                      <w:kern w:val="0"/>
                    </w:rPr>
                    <w:t>1500个/箱</w:t>
                  </w:r>
                </w:p>
              </w:tc>
              <w:tc>
                <w:tcPr>
                  <w:tcW w:w="554" w:type="pct"/>
                  <w:tcBorders>
                    <w:tl2br w:val="nil"/>
                    <w:tr2bl w:val="nil"/>
                  </w:tcBorders>
                  <w:vAlign w:val="center"/>
                </w:tcPr>
                <w:p w14:paraId="3A84F5D8">
                  <w:pPr>
                    <w:adjustRightInd w:val="0"/>
                    <w:snapToGrid w:val="0"/>
                    <w:jc w:val="center"/>
                    <w:rPr>
                      <w:color w:val="auto"/>
                      <w:kern w:val="0"/>
                    </w:rPr>
                  </w:pPr>
                  <w:r>
                    <w:rPr>
                      <w:color w:val="auto"/>
                      <w:kern w:val="0"/>
                    </w:rPr>
                    <w:t>200</w:t>
                  </w:r>
                </w:p>
              </w:tc>
            </w:tr>
            <w:tr w14:paraId="3A84F5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5DA">
                  <w:pPr>
                    <w:adjustRightInd w:val="0"/>
                    <w:snapToGrid w:val="0"/>
                    <w:jc w:val="center"/>
                    <w:rPr>
                      <w:color w:val="auto"/>
                      <w:kern w:val="0"/>
                    </w:rPr>
                  </w:pPr>
                  <w:r>
                    <w:rPr>
                      <w:color w:val="auto"/>
                      <w:kern w:val="0"/>
                    </w:rPr>
                    <w:t>点火具</w:t>
                  </w:r>
                </w:p>
              </w:tc>
              <w:tc>
                <w:tcPr>
                  <w:tcW w:w="673" w:type="pct"/>
                  <w:tcBorders>
                    <w:tl2br w:val="nil"/>
                    <w:tr2bl w:val="nil"/>
                  </w:tcBorders>
                  <w:vAlign w:val="center"/>
                </w:tcPr>
                <w:p w14:paraId="3A84F5DB">
                  <w:pPr>
                    <w:adjustRightInd w:val="0"/>
                    <w:snapToGrid w:val="0"/>
                    <w:jc w:val="center"/>
                    <w:rPr>
                      <w:color w:val="auto"/>
                      <w:kern w:val="0"/>
                    </w:rPr>
                  </w:pPr>
                  <w:r>
                    <w:rPr>
                      <w:color w:val="auto"/>
                      <w:kern w:val="0"/>
                    </w:rPr>
                    <w:t>点火药</w:t>
                  </w:r>
                </w:p>
              </w:tc>
              <w:tc>
                <w:tcPr>
                  <w:tcW w:w="453" w:type="pct"/>
                  <w:tcBorders>
                    <w:tl2br w:val="nil"/>
                    <w:tr2bl w:val="nil"/>
                  </w:tcBorders>
                  <w:vAlign w:val="center"/>
                </w:tcPr>
                <w:p w14:paraId="1C10B8AB">
                  <w:pPr>
                    <w:adjustRightInd w:val="0"/>
                    <w:snapToGrid w:val="0"/>
                    <w:jc w:val="center"/>
                    <w:rPr>
                      <w:rFonts w:hint="eastAsia" w:eastAsia="宋体"/>
                      <w:color w:val="auto"/>
                      <w:kern w:val="0"/>
                      <w:lang w:val="en-US" w:eastAsia="zh-CN"/>
                    </w:rPr>
                  </w:pPr>
                  <w:r>
                    <w:rPr>
                      <w:rFonts w:hint="eastAsia"/>
                      <w:color w:val="auto"/>
                      <w:kern w:val="0"/>
                      <w:lang w:val="en-US" w:eastAsia="zh-CN"/>
                    </w:rPr>
                    <w:t>万枚</w:t>
                  </w:r>
                </w:p>
              </w:tc>
              <w:tc>
                <w:tcPr>
                  <w:tcW w:w="553" w:type="pct"/>
                  <w:tcBorders>
                    <w:tl2br w:val="nil"/>
                    <w:tr2bl w:val="nil"/>
                  </w:tcBorders>
                  <w:vAlign w:val="center"/>
                </w:tcPr>
                <w:p w14:paraId="3A84F5DC">
                  <w:pPr>
                    <w:adjustRightInd w:val="0"/>
                    <w:snapToGrid w:val="0"/>
                    <w:jc w:val="center"/>
                    <w:rPr>
                      <w:color w:val="auto"/>
                      <w:kern w:val="0"/>
                    </w:rPr>
                  </w:pPr>
                  <w:r>
                    <w:rPr>
                      <w:color w:val="auto"/>
                      <w:kern w:val="0"/>
                    </w:rPr>
                    <w:t>9000</w:t>
                  </w:r>
                </w:p>
              </w:tc>
              <w:tc>
                <w:tcPr>
                  <w:tcW w:w="553" w:type="pct"/>
                  <w:tcBorders>
                    <w:tl2br w:val="nil"/>
                    <w:tr2bl w:val="nil"/>
                  </w:tcBorders>
                  <w:shd w:val="clear" w:color="auto" w:fill="auto"/>
                  <w:vAlign w:val="center"/>
                </w:tcPr>
                <w:p w14:paraId="3A84F5DD">
                  <w:pPr>
                    <w:adjustRightInd w:val="0"/>
                    <w:snapToGrid w:val="0"/>
                    <w:jc w:val="center"/>
                    <w:rPr>
                      <w:color w:val="auto"/>
                      <w:kern w:val="0"/>
                    </w:rPr>
                  </w:pPr>
                  <w:r>
                    <w:rPr>
                      <w:color w:val="auto"/>
                      <w:kern w:val="0"/>
                    </w:rPr>
                    <w:t>9000</w:t>
                  </w:r>
                </w:p>
              </w:tc>
              <w:tc>
                <w:tcPr>
                  <w:tcW w:w="559" w:type="pct"/>
                  <w:tcBorders>
                    <w:tl2br w:val="nil"/>
                    <w:tr2bl w:val="nil"/>
                  </w:tcBorders>
                  <w:vAlign w:val="center"/>
                </w:tcPr>
                <w:p w14:paraId="3A84F5DE">
                  <w:pPr>
                    <w:adjustRightInd w:val="0"/>
                    <w:snapToGrid w:val="0"/>
                    <w:jc w:val="center"/>
                    <w:rPr>
                      <w:color w:val="auto"/>
                      <w:kern w:val="0"/>
                    </w:rPr>
                  </w:pPr>
                  <w:r>
                    <w:rPr>
                      <w:color w:val="auto"/>
                      <w:kern w:val="0"/>
                    </w:rPr>
                    <w:t>0</w:t>
                  </w:r>
                </w:p>
              </w:tc>
              <w:tc>
                <w:tcPr>
                  <w:tcW w:w="266" w:type="pct"/>
                  <w:tcBorders>
                    <w:tl2br w:val="nil"/>
                    <w:tr2bl w:val="nil"/>
                  </w:tcBorders>
                  <w:vAlign w:val="center"/>
                </w:tcPr>
                <w:p w14:paraId="3A84F5DF">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5E0">
                  <w:pPr>
                    <w:adjustRightInd w:val="0"/>
                    <w:snapToGrid w:val="0"/>
                    <w:jc w:val="center"/>
                    <w:rPr>
                      <w:color w:val="auto"/>
                      <w:kern w:val="0"/>
                    </w:rPr>
                  </w:pPr>
                  <w:r>
                    <w:rPr>
                      <w:color w:val="auto"/>
                      <w:kern w:val="0"/>
                    </w:rPr>
                    <w:t>752个/盒</w:t>
                  </w:r>
                </w:p>
              </w:tc>
              <w:tc>
                <w:tcPr>
                  <w:tcW w:w="554" w:type="pct"/>
                  <w:tcBorders>
                    <w:tl2br w:val="nil"/>
                    <w:tr2bl w:val="nil"/>
                  </w:tcBorders>
                  <w:vAlign w:val="center"/>
                </w:tcPr>
                <w:p w14:paraId="3A84F5E1">
                  <w:pPr>
                    <w:adjustRightInd w:val="0"/>
                    <w:snapToGrid w:val="0"/>
                    <w:jc w:val="center"/>
                    <w:rPr>
                      <w:color w:val="auto"/>
                      <w:kern w:val="0"/>
                    </w:rPr>
                  </w:pPr>
                  <w:r>
                    <w:rPr>
                      <w:color w:val="auto"/>
                      <w:kern w:val="0"/>
                    </w:rPr>
                    <w:t>300</w:t>
                  </w:r>
                </w:p>
              </w:tc>
            </w:tr>
            <w:tr w14:paraId="6622C0C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10"/>
                  <w:tcBorders>
                    <w:tl2br w:val="nil"/>
                    <w:tr2bl w:val="nil"/>
                  </w:tcBorders>
                  <w:vAlign w:val="center"/>
                </w:tcPr>
                <w:p w14:paraId="364208A1">
                  <w:pPr>
                    <w:adjustRightInd w:val="0"/>
                    <w:snapToGrid w:val="0"/>
                    <w:jc w:val="center"/>
                    <w:rPr>
                      <w:b/>
                      <w:bCs/>
                      <w:color w:val="auto"/>
                      <w:kern w:val="0"/>
                    </w:rPr>
                  </w:pPr>
                  <w:r>
                    <w:rPr>
                      <w:b/>
                      <w:bCs/>
                      <w:color w:val="auto"/>
                      <w:kern w:val="0"/>
                    </w:rPr>
                    <w:t>产气药片</w:t>
                  </w:r>
                </w:p>
              </w:tc>
            </w:tr>
            <w:tr w14:paraId="3A84F5E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5E5">
                  <w:pPr>
                    <w:adjustRightInd w:val="0"/>
                    <w:snapToGrid w:val="0"/>
                    <w:jc w:val="center"/>
                    <w:rPr>
                      <w:color w:val="auto"/>
                      <w:kern w:val="0"/>
                    </w:rPr>
                  </w:pPr>
                  <w:r>
                    <w:rPr>
                      <w:color w:val="auto"/>
                      <w:kern w:val="0"/>
                    </w:rPr>
                    <w:t>产气药药粉</w:t>
                  </w:r>
                </w:p>
              </w:tc>
              <w:tc>
                <w:tcPr>
                  <w:tcW w:w="673" w:type="pct"/>
                  <w:tcBorders>
                    <w:tl2br w:val="nil"/>
                    <w:tr2bl w:val="nil"/>
                  </w:tcBorders>
                  <w:vAlign w:val="center"/>
                </w:tcPr>
                <w:p w14:paraId="3A84F5E6">
                  <w:pPr>
                    <w:adjustRightInd w:val="0"/>
                    <w:snapToGrid w:val="0"/>
                    <w:jc w:val="center"/>
                    <w:rPr>
                      <w:color w:val="auto"/>
                      <w:kern w:val="0"/>
                    </w:rPr>
                  </w:pPr>
                  <w:r>
                    <w:rPr>
                      <w:color w:val="auto"/>
                      <w:kern w:val="0"/>
                    </w:rPr>
                    <w:t>硝酸胍、硝酸铜等</w:t>
                  </w:r>
                </w:p>
              </w:tc>
              <w:tc>
                <w:tcPr>
                  <w:tcW w:w="453" w:type="pct"/>
                  <w:tcBorders>
                    <w:tl2br w:val="nil"/>
                    <w:tr2bl w:val="nil"/>
                  </w:tcBorders>
                  <w:vAlign w:val="center"/>
                </w:tcPr>
                <w:p w14:paraId="623299FE">
                  <w:pPr>
                    <w:adjustRightInd w:val="0"/>
                    <w:snapToGrid w:val="0"/>
                    <w:jc w:val="center"/>
                    <w:rPr>
                      <w:rFonts w:hint="eastAsia" w:eastAsia="宋体"/>
                      <w:color w:val="auto"/>
                      <w:kern w:val="0"/>
                      <w:lang w:val="en-US" w:eastAsia="zh-CN"/>
                    </w:rPr>
                  </w:pPr>
                  <w:r>
                    <w:rPr>
                      <w:rFonts w:hint="eastAsia"/>
                      <w:color w:val="auto"/>
                      <w:kern w:val="0"/>
                      <w:lang w:val="en-US" w:eastAsia="zh-CN"/>
                    </w:rPr>
                    <w:t>吨</w:t>
                  </w:r>
                </w:p>
              </w:tc>
              <w:tc>
                <w:tcPr>
                  <w:tcW w:w="553" w:type="pct"/>
                  <w:tcBorders>
                    <w:tl2br w:val="nil"/>
                    <w:tr2bl w:val="nil"/>
                  </w:tcBorders>
                  <w:vAlign w:val="center"/>
                </w:tcPr>
                <w:p w14:paraId="3A84F5E7">
                  <w:pPr>
                    <w:adjustRightInd w:val="0"/>
                    <w:snapToGrid w:val="0"/>
                    <w:jc w:val="center"/>
                    <w:rPr>
                      <w:color w:val="auto"/>
                      <w:kern w:val="0"/>
                    </w:rPr>
                  </w:pPr>
                  <w:r>
                    <w:rPr>
                      <w:color w:val="auto"/>
                      <w:kern w:val="0"/>
                    </w:rPr>
                    <w:t>700</w:t>
                  </w:r>
                </w:p>
              </w:tc>
              <w:tc>
                <w:tcPr>
                  <w:tcW w:w="553" w:type="pct"/>
                  <w:tcBorders>
                    <w:tl2br w:val="nil"/>
                    <w:tr2bl w:val="nil"/>
                  </w:tcBorders>
                  <w:vAlign w:val="center"/>
                </w:tcPr>
                <w:p w14:paraId="3A84F5E8">
                  <w:pPr>
                    <w:adjustRightInd w:val="0"/>
                    <w:snapToGrid w:val="0"/>
                    <w:jc w:val="center"/>
                    <w:rPr>
                      <w:rFonts w:hint="default" w:eastAsia="宋体"/>
                      <w:color w:val="auto"/>
                      <w:kern w:val="0"/>
                      <w:lang w:val="en-US" w:eastAsia="zh-CN"/>
                    </w:rPr>
                  </w:pPr>
                  <w:r>
                    <w:rPr>
                      <w:rFonts w:hint="eastAsia"/>
                      <w:color w:val="auto"/>
                      <w:kern w:val="0"/>
                      <w:lang w:val="en-US" w:eastAsia="zh-CN"/>
                    </w:rPr>
                    <w:t>700</w:t>
                  </w:r>
                </w:p>
              </w:tc>
              <w:tc>
                <w:tcPr>
                  <w:tcW w:w="559" w:type="pct"/>
                  <w:tcBorders>
                    <w:tl2br w:val="nil"/>
                    <w:tr2bl w:val="nil"/>
                  </w:tcBorders>
                  <w:vAlign w:val="center"/>
                </w:tcPr>
                <w:p w14:paraId="3A84F5E9">
                  <w:pPr>
                    <w:adjustRightInd w:val="0"/>
                    <w:snapToGrid w:val="0"/>
                    <w:jc w:val="center"/>
                    <w:rPr>
                      <w:rFonts w:hint="eastAsia" w:eastAsia="宋体"/>
                      <w:color w:val="auto"/>
                      <w:kern w:val="0"/>
                      <w:lang w:val="en-US" w:eastAsia="zh-CN"/>
                    </w:rPr>
                  </w:pPr>
                  <w:r>
                    <w:rPr>
                      <w:rFonts w:hint="eastAsia"/>
                      <w:color w:val="auto"/>
                      <w:kern w:val="0"/>
                      <w:lang w:val="en-US" w:eastAsia="zh-CN"/>
                    </w:rPr>
                    <w:t>0</w:t>
                  </w:r>
                </w:p>
              </w:tc>
              <w:tc>
                <w:tcPr>
                  <w:tcW w:w="266" w:type="pct"/>
                  <w:tcBorders>
                    <w:tl2br w:val="nil"/>
                    <w:tr2bl w:val="nil"/>
                  </w:tcBorders>
                  <w:vAlign w:val="center"/>
                </w:tcPr>
                <w:p w14:paraId="3A84F5EA">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5EB">
                  <w:pPr>
                    <w:adjustRightInd w:val="0"/>
                    <w:snapToGrid w:val="0"/>
                    <w:jc w:val="center"/>
                    <w:rPr>
                      <w:color w:val="auto"/>
                      <w:kern w:val="0"/>
                    </w:rPr>
                  </w:pPr>
                  <w:r>
                    <w:rPr>
                      <w:color w:val="auto"/>
                      <w:kern w:val="0"/>
                    </w:rPr>
                    <w:t>100kg/桶</w:t>
                  </w:r>
                </w:p>
              </w:tc>
              <w:tc>
                <w:tcPr>
                  <w:tcW w:w="554" w:type="pct"/>
                  <w:tcBorders>
                    <w:tl2br w:val="nil"/>
                    <w:tr2bl w:val="nil"/>
                  </w:tcBorders>
                  <w:vAlign w:val="center"/>
                </w:tcPr>
                <w:p w14:paraId="3A84F5EC">
                  <w:pPr>
                    <w:adjustRightInd w:val="0"/>
                    <w:snapToGrid w:val="0"/>
                    <w:jc w:val="center"/>
                    <w:rPr>
                      <w:color w:val="auto"/>
                      <w:kern w:val="0"/>
                    </w:rPr>
                  </w:pPr>
                  <w:r>
                    <w:rPr>
                      <w:color w:val="auto"/>
                      <w:kern w:val="0"/>
                    </w:rPr>
                    <w:t>50</w:t>
                  </w:r>
                </w:p>
              </w:tc>
            </w:tr>
            <w:tr w14:paraId="7D8BF11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10"/>
                  <w:tcBorders>
                    <w:tl2br w:val="nil"/>
                    <w:tr2bl w:val="nil"/>
                  </w:tcBorders>
                  <w:vAlign w:val="center"/>
                </w:tcPr>
                <w:p w14:paraId="65C2F389">
                  <w:pPr>
                    <w:adjustRightInd w:val="0"/>
                    <w:snapToGrid w:val="0"/>
                    <w:jc w:val="center"/>
                    <w:rPr>
                      <w:b/>
                      <w:bCs/>
                      <w:color w:val="auto"/>
                      <w:kern w:val="0"/>
                    </w:rPr>
                  </w:pPr>
                  <w:r>
                    <w:rPr>
                      <w:b/>
                      <w:bCs/>
                      <w:color w:val="auto"/>
                      <w:kern w:val="0"/>
                    </w:rPr>
                    <w:t>传火药</w:t>
                  </w:r>
                </w:p>
              </w:tc>
            </w:tr>
            <w:tr w14:paraId="3A84F5F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5F0">
                  <w:pPr>
                    <w:adjustRightInd w:val="0"/>
                    <w:snapToGrid w:val="0"/>
                    <w:jc w:val="center"/>
                    <w:rPr>
                      <w:color w:val="auto"/>
                      <w:kern w:val="0"/>
                    </w:rPr>
                  </w:pPr>
                  <w:r>
                    <w:rPr>
                      <w:color w:val="auto"/>
                      <w:kern w:val="0"/>
                    </w:rPr>
                    <w:t>硼</w:t>
                  </w:r>
                </w:p>
              </w:tc>
              <w:tc>
                <w:tcPr>
                  <w:tcW w:w="673" w:type="pct"/>
                  <w:tcBorders>
                    <w:tl2br w:val="nil"/>
                    <w:tr2bl w:val="nil"/>
                  </w:tcBorders>
                  <w:vAlign w:val="center"/>
                </w:tcPr>
                <w:p w14:paraId="3A84F5F1">
                  <w:pPr>
                    <w:adjustRightInd w:val="0"/>
                    <w:snapToGrid w:val="0"/>
                    <w:jc w:val="center"/>
                    <w:rPr>
                      <w:color w:val="auto"/>
                      <w:kern w:val="0"/>
                    </w:rPr>
                  </w:pPr>
                  <w:r>
                    <w:rPr>
                      <w:color w:val="auto"/>
                      <w:kern w:val="0"/>
                    </w:rPr>
                    <w:t>B</w:t>
                  </w:r>
                </w:p>
              </w:tc>
              <w:tc>
                <w:tcPr>
                  <w:tcW w:w="453" w:type="pct"/>
                  <w:tcBorders>
                    <w:tl2br w:val="nil"/>
                    <w:tr2bl w:val="nil"/>
                  </w:tcBorders>
                  <w:vAlign w:val="center"/>
                </w:tcPr>
                <w:p w14:paraId="12290EAF">
                  <w:pPr>
                    <w:adjustRightInd w:val="0"/>
                    <w:snapToGrid w:val="0"/>
                    <w:jc w:val="center"/>
                    <w:rPr>
                      <w:color w:val="auto"/>
                      <w:kern w:val="0"/>
                    </w:rPr>
                  </w:pPr>
                  <w:r>
                    <w:rPr>
                      <w:rFonts w:hint="eastAsia"/>
                      <w:color w:val="auto"/>
                      <w:kern w:val="0"/>
                      <w:lang w:val="en-US" w:eastAsia="zh-CN"/>
                    </w:rPr>
                    <w:t>吨</w:t>
                  </w:r>
                </w:p>
              </w:tc>
              <w:tc>
                <w:tcPr>
                  <w:tcW w:w="553" w:type="pct"/>
                  <w:tcBorders>
                    <w:tl2br w:val="nil"/>
                    <w:tr2bl w:val="nil"/>
                  </w:tcBorders>
                  <w:vAlign w:val="center"/>
                </w:tcPr>
                <w:p w14:paraId="3A84F5F2">
                  <w:pPr>
                    <w:adjustRightInd w:val="0"/>
                    <w:snapToGrid w:val="0"/>
                    <w:jc w:val="center"/>
                    <w:rPr>
                      <w:color w:val="auto"/>
                      <w:kern w:val="0"/>
                    </w:rPr>
                  </w:pPr>
                  <w:r>
                    <w:rPr>
                      <w:color w:val="auto"/>
                      <w:kern w:val="0"/>
                    </w:rPr>
                    <w:t>15</w:t>
                  </w:r>
                </w:p>
              </w:tc>
              <w:tc>
                <w:tcPr>
                  <w:tcW w:w="553" w:type="pct"/>
                  <w:tcBorders>
                    <w:tl2br w:val="nil"/>
                    <w:tr2bl w:val="nil"/>
                  </w:tcBorders>
                  <w:vAlign w:val="center"/>
                </w:tcPr>
                <w:p w14:paraId="3A84F5F3">
                  <w:pPr>
                    <w:adjustRightInd w:val="0"/>
                    <w:snapToGrid w:val="0"/>
                    <w:jc w:val="center"/>
                    <w:rPr>
                      <w:color w:val="auto"/>
                      <w:kern w:val="0"/>
                    </w:rPr>
                  </w:pPr>
                  <w:r>
                    <w:rPr>
                      <w:color w:val="auto"/>
                      <w:kern w:val="0"/>
                    </w:rPr>
                    <w:t>15</w:t>
                  </w:r>
                </w:p>
              </w:tc>
              <w:tc>
                <w:tcPr>
                  <w:tcW w:w="559" w:type="pct"/>
                  <w:tcBorders>
                    <w:tl2br w:val="nil"/>
                    <w:tr2bl w:val="nil"/>
                  </w:tcBorders>
                  <w:vAlign w:val="center"/>
                </w:tcPr>
                <w:p w14:paraId="3A84F5F4">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5F5">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5F6">
                  <w:pPr>
                    <w:adjustRightInd w:val="0"/>
                    <w:snapToGrid w:val="0"/>
                    <w:jc w:val="center"/>
                    <w:rPr>
                      <w:color w:val="auto"/>
                      <w:kern w:val="0"/>
                    </w:rPr>
                  </w:pPr>
                  <w:r>
                    <w:rPr>
                      <w:color w:val="auto"/>
                      <w:kern w:val="0"/>
                    </w:rPr>
                    <w:t>20kg/桶</w:t>
                  </w:r>
                </w:p>
              </w:tc>
              <w:tc>
                <w:tcPr>
                  <w:tcW w:w="554" w:type="pct"/>
                  <w:tcBorders>
                    <w:tl2br w:val="nil"/>
                    <w:tr2bl w:val="nil"/>
                  </w:tcBorders>
                  <w:vAlign w:val="center"/>
                </w:tcPr>
                <w:p w14:paraId="3A84F5F7">
                  <w:pPr>
                    <w:adjustRightInd w:val="0"/>
                    <w:snapToGrid w:val="0"/>
                    <w:jc w:val="center"/>
                    <w:rPr>
                      <w:color w:val="auto"/>
                      <w:kern w:val="0"/>
                    </w:rPr>
                  </w:pPr>
                  <w:r>
                    <w:rPr>
                      <w:color w:val="auto"/>
                      <w:kern w:val="0"/>
                    </w:rPr>
                    <w:t>2</w:t>
                  </w:r>
                </w:p>
              </w:tc>
            </w:tr>
            <w:tr w14:paraId="3A84F60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5F9">
                  <w:pPr>
                    <w:adjustRightInd w:val="0"/>
                    <w:snapToGrid w:val="0"/>
                    <w:jc w:val="center"/>
                    <w:rPr>
                      <w:color w:val="auto"/>
                      <w:kern w:val="0"/>
                    </w:rPr>
                  </w:pPr>
                  <w:r>
                    <w:rPr>
                      <w:color w:val="auto"/>
                      <w:kern w:val="0"/>
                    </w:rPr>
                    <w:t>硝酸钾</w:t>
                  </w:r>
                </w:p>
              </w:tc>
              <w:tc>
                <w:tcPr>
                  <w:tcW w:w="673" w:type="pct"/>
                  <w:tcBorders>
                    <w:tl2br w:val="nil"/>
                    <w:tr2bl w:val="nil"/>
                  </w:tcBorders>
                  <w:vAlign w:val="center"/>
                </w:tcPr>
                <w:p w14:paraId="3A84F5FA">
                  <w:pPr>
                    <w:adjustRightInd w:val="0"/>
                    <w:snapToGrid w:val="0"/>
                    <w:jc w:val="center"/>
                    <w:rPr>
                      <w:color w:val="auto"/>
                      <w:kern w:val="0"/>
                    </w:rPr>
                  </w:pPr>
                  <w:r>
                    <w:rPr>
                      <w:color w:val="auto"/>
                      <w:kern w:val="0"/>
                    </w:rPr>
                    <w:t>KNO</w:t>
                  </w:r>
                  <w:r>
                    <w:rPr>
                      <w:color w:val="auto"/>
                      <w:kern w:val="0"/>
                      <w:vertAlign w:val="subscript"/>
                    </w:rPr>
                    <w:t>3</w:t>
                  </w:r>
                </w:p>
              </w:tc>
              <w:tc>
                <w:tcPr>
                  <w:tcW w:w="453" w:type="pct"/>
                  <w:tcBorders>
                    <w:tl2br w:val="nil"/>
                    <w:tr2bl w:val="nil"/>
                  </w:tcBorders>
                  <w:vAlign w:val="center"/>
                </w:tcPr>
                <w:p w14:paraId="6FC2B15B">
                  <w:pPr>
                    <w:adjustRightInd w:val="0"/>
                    <w:snapToGrid w:val="0"/>
                    <w:jc w:val="center"/>
                    <w:rPr>
                      <w:color w:val="auto"/>
                      <w:kern w:val="0"/>
                    </w:rPr>
                  </w:pPr>
                  <w:r>
                    <w:rPr>
                      <w:rFonts w:hint="eastAsia"/>
                      <w:color w:val="auto"/>
                      <w:kern w:val="0"/>
                      <w:lang w:val="en-US" w:eastAsia="zh-CN"/>
                    </w:rPr>
                    <w:t>吨</w:t>
                  </w:r>
                </w:p>
              </w:tc>
              <w:tc>
                <w:tcPr>
                  <w:tcW w:w="553" w:type="pct"/>
                  <w:tcBorders>
                    <w:tl2br w:val="nil"/>
                    <w:tr2bl w:val="nil"/>
                  </w:tcBorders>
                  <w:vAlign w:val="center"/>
                </w:tcPr>
                <w:p w14:paraId="3A84F5FB">
                  <w:pPr>
                    <w:adjustRightInd w:val="0"/>
                    <w:snapToGrid w:val="0"/>
                    <w:jc w:val="center"/>
                    <w:rPr>
                      <w:color w:val="auto"/>
                      <w:kern w:val="0"/>
                    </w:rPr>
                  </w:pPr>
                  <w:r>
                    <w:rPr>
                      <w:color w:val="auto"/>
                      <w:kern w:val="0"/>
                    </w:rPr>
                    <w:t>40</w:t>
                  </w:r>
                </w:p>
              </w:tc>
              <w:tc>
                <w:tcPr>
                  <w:tcW w:w="553" w:type="pct"/>
                  <w:tcBorders>
                    <w:tl2br w:val="nil"/>
                    <w:tr2bl w:val="nil"/>
                  </w:tcBorders>
                  <w:vAlign w:val="center"/>
                </w:tcPr>
                <w:p w14:paraId="3A84F5FC">
                  <w:pPr>
                    <w:adjustRightInd w:val="0"/>
                    <w:snapToGrid w:val="0"/>
                    <w:jc w:val="center"/>
                    <w:rPr>
                      <w:color w:val="auto"/>
                      <w:kern w:val="0"/>
                    </w:rPr>
                  </w:pPr>
                  <w:r>
                    <w:rPr>
                      <w:color w:val="auto"/>
                      <w:kern w:val="0"/>
                    </w:rPr>
                    <w:t>40</w:t>
                  </w:r>
                </w:p>
              </w:tc>
              <w:tc>
                <w:tcPr>
                  <w:tcW w:w="559" w:type="pct"/>
                  <w:tcBorders>
                    <w:tl2br w:val="nil"/>
                    <w:tr2bl w:val="nil"/>
                  </w:tcBorders>
                  <w:vAlign w:val="center"/>
                </w:tcPr>
                <w:p w14:paraId="3A84F5FD">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5FE">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5FF">
                  <w:pPr>
                    <w:adjustRightInd w:val="0"/>
                    <w:snapToGrid w:val="0"/>
                    <w:jc w:val="center"/>
                    <w:rPr>
                      <w:color w:val="auto"/>
                      <w:kern w:val="0"/>
                    </w:rPr>
                  </w:pPr>
                  <w:r>
                    <w:rPr>
                      <w:color w:val="auto"/>
                      <w:kern w:val="0"/>
                    </w:rPr>
                    <w:t>20kg/桶</w:t>
                  </w:r>
                </w:p>
              </w:tc>
              <w:tc>
                <w:tcPr>
                  <w:tcW w:w="554" w:type="pct"/>
                  <w:tcBorders>
                    <w:tl2br w:val="nil"/>
                    <w:tr2bl w:val="nil"/>
                  </w:tcBorders>
                </w:tcPr>
                <w:p w14:paraId="3A84F600">
                  <w:pPr>
                    <w:adjustRightInd w:val="0"/>
                    <w:snapToGrid w:val="0"/>
                    <w:jc w:val="center"/>
                    <w:rPr>
                      <w:color w:val="auto"/>
                      <w:kern w:val="0"/>
                    </w:rPr>
                  </w:pPr>
                  <w:r>
                    <w:rPr>
                      <w:color w:val="auto"/>
                      <w:kern w:val="0"/>
                    </w:rPr>
                    <w:t>5</w:t>
                  </w:r>
                </w:p>
              </w:tc>
            </w:tr>
            <w:tr w14:paraId="3A84F6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02">
                  <w:pPr>
                    <w:adjustRightInd w:val="0"/>
                    <w:snapToGrid w:val="0"/>
                    <w:jc w:val="center"/>
                    <w:rPr>
                      <w:color w:val="auto"/>
                      <w:kern w:val="0"/>
                    </w:rPr>
                  </w:pPr>
                  <w:r>
                    <w:rPr>
                      <w:color w:val="auto"/>
                      <w:kern w:val="0"/>
                    </w:rPr>
                    <w:t>硝酸胍</w:t>
                  </w:r>
                </w:p>
              </w:tc>
              <w:tc>
                <w:tcPr>
                  <w:tcW w:w="673" w:type="pct"/>
                  <w:tcBorders>
                    <w:tl2br w:val="nil"/>
                    <w:tr2bl w:val="nil"/>
                  </w:tcBorders>
                  <w:vAlign w:val="center"/>
                </w:tcPr>
                <w:p w14:paraId="3A84F603">
                  <w:pPr>
                    <w:adjustRightInd w:val="0"/>
                    <w:snapToGrid w:val="0"/>
                    <w:jc w:val="center"/>
                    <w:rPr>
                      <w:color w:val="auto"/>
                      <w:kern w:val="0"/>
                    </w:rPr>
                  </w:pPr>
                  <w:r>
                    <w:rPr>
                      <w:color w:val="auto"/>
                      <w:kern w:val="0"/>
                    </w:rPr>
                    <w:t>CH</w:t>
                  </w:r>
                  <w:r>
                    <w:rPr>
                      <w:color w:val="auto"/>
                      <w:kern w:val="0"/>
                      <w:vertAlign w:val="subscript"/>
                    </w:rPr>
                    <w:t>6</w:t>
                  </w:r>
                  <w:r>
                    <w:rPr>
                      <w:color w:val="auto"/>
                      <w:kern w:val="0"/>
                    </w:rPr>
                    <w:t>N</w:t>
                  </w:r>
                  <w:r>
                    <w:rPr>
                      <w:color w:val="auto"/>
                      <w:kern w:val="0"/>
                      <w:vertAlign w:val="subscript"/>
                    </w:rPr>
                    <w:t>4</w:t>
                  </w:r>
                  <w:r>
                    <w:rPr>
                      <w:color w:val="auto"/>
                      <w:kern w:val="0"/>
                    </w:rPr>
                    <w:t>O</w:t>
                  </w:r>
                  <w:r>
                    <w:rPr>
                      <w:color w:val="auto"/>
                      <w:kern w:val="0"/>
                      <w:vertAlign w:val="subscript"/>
                    </w:rPr>
                    <w:t>3</w:t>
                  </w:r>
                </w:p>
              </w:tc>
              <w:tc>
                <w:tcPr>
                  <w:tcW w:w="453" w:type="pct"/>
                  <w:tcBorders>
                    <w:tl2br w:val="nil"/>
                    <w:tr2bl w:val="nil"/>
                  </w:tcBorders>
                  <w:vAlign w:val="center"/>
                </w:tcPr>
                <w:p w14:paraId="23D50B5B">
                  <w:pPr>
                    <w:adjustRightInd w:val="0"/>
                    <w:snapToGrid w:val="0"/>
                    <w:jc w:val="center"/>
                    <w:rPr>
                      <w:color w:val="auto"/>
                      <w:kern w:val="0"/>
                    </w:rPr>
                  </w:pPr>
                  <w:r>
                    <w:rPr>
                      <w:rFonts w:hint="eastAsia"/>
                      <w:color w:val="auto"/>
                      <w:kern w:val="0"/>
                      <w:lang w:val="en-US" w:eastAsia="zh-CN"/>
                    </w:rPr>
                    <w:t>吨</w:t>
                  </w:r>
                </w:p>
              </w:tc>
              <w:tc>
                <w:tcPr>
                  <w:tcW w:w="553" w:type="pct"/>
                  <w:tcBorders>
                    <w:tl2br w:val="nil"/>
                    <w:tr2bl w:val="nil"/>
                  </w:tcBorders>
                  <w:vAlign w:val="center"/>
                </w:tcPr>
                <w:p w14:paraId="3A84F604">
                  <w:pPr>
                    <w:adjustRightInd w:val="0"/>
                    <w:snapToGrid w:val="0"/>
                    <w:jc w:val="center"/>
                    <w:rPr>
                      <w:color w:val="auto"/>
                      <w:kern w:val="0"/>
                    </w:rPr>
                  </w:pPr>
                  <w:r>
                    <w:rPr>
                      <w:color w:val="auto"/>
                      <w:kern w:val="0"/>
                    </w:rPr>
                    <w:t>5</w:t>
                  </w:r>
                </w:p>
              </w:tc>
              <w:tc>
                <w:tcPr>
                  <w:tcW w:w="553" w:type="pct"/>
                  <w:tcBorders>
                    <w:tl2br w:val="nil"/>
                    <w:tr2bl w:val="nil"/>
                  </w:tcBorders>
                  <w:vAlign w:val="center"/>
                </w:tcPr>
                <w:p w14:paraId="3A84F605">
                  <w:pPr>
                    <w:adjustRightInd w:val="0"/>
                    <w:snapToGrid w:val="0"/>
                    <w:jc w:val="center"/>
                    <w:rPr>
                      <w:color w:val="auto"/>
                      <w:kern w:val="0"/>
                    </w:rPr>
                  </w:pPr>
                  <w:r>
                    <w:rPr>
                      <w:color w:val="auto"/>
                      <w:kern w:val="0"/>
                    </w:rPr>
                    <w:t>5</w:t>
                  </w:r>
                </w:p>
              </w:tc>
              <w:tc>
                <w:tcPr>
                  <w:tcW w:w="559" w:type="pct"/>
                  <w:tcBorders>
                    <w:tl2br w:val="nil"/>
                    <w:tr2bl w:val="nil"/>
                  </w:tcBorders>
                  <w:vAlign w:val="center"/>
                </w:tcPr>
                <w:p w14:paraId="3A84F606">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607">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608">
                  <w:pPr>
                    <w:adjustRightInd w:val="0"/>
                    <w:snapToGrid w:val="0"/>
                    <w:jc w:val="center"/>
                    <w:rPr>
                      <w:color w:val="auto"/>
                      <w:kern w:val="0"/>
                    </w:rPr>
                  </w:pPr>
                  <w:r>
                    <w:rPr>
                      <w:color w:val="auto"/>
                      <w:kern w:val="0"/>
                    </w:rPr>
                    <w:t>20kg/桶</w:t>
                  </w:r>
                </w:p>
              </w:tc>
              <w:tc>
                <w:tcPr>
                  <w:tcW w:w="554" w:type="pct"/>
                  <w:tcBorders>
                    <w:tl2br w:val="nil"/>
                    <w:tr2bl w:val="nil"/>
                  </w:tcBorders>
                </w:tcPr>
                <w:p w14:paraId="3A84F609">
                  <w:pPr>
                    <w:adjustRightInd w:val="0"/>
                    <w:snapToGrid w:val="0"/>
                    <w:jc w:val="center"/>
                    <w:rPr>
                      <w:color w:val="auto"/>
                      <w:kern w:val="0"/>
                    </w:rPr>
                  </w:pPr>
                  <w:r>
                    <w:rPr>
                      <w:color w:val="auto"/>
                      <w:kern w:val="0"/>
                    </w:rPr>
                    <w:t>10</w:t>
                  </w:r>
                </w:p>
              </w:tc>
            </w:tr>
            <w:tr w14:paraId="3A84F61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0B">
                  <w:pPr>
                    <w:adjustRightInd w:val="0"/>
                    <w:snapToGrid w:val="0"/>
                    <w:jc w:val="center"/>
                    <w:rPr>
                      <w:color w:val="auto"/>
                      <w:kern w:val="0"/>
                    </w:rPr>
                  </w:pPr>
                  <w:r>
                    <w:rPr>
                      <w:color w:val="auto"/>
                      <w:kern w:val="0"/>
                    </w:rPr>
                    <w:t>去离子水</w:t>
                  </w:r>
                </w:p>
              </w:tc>
              <w:tc>
                <w:tcPr>
                  <w:tcW w:w="673" w:type="pct"/>
                  <w:tcBorders>
                    <w:tl2br w:val="nil"/>
                    <w:tr2bl w:val="nil"/>
                  </w:tcBorders>
                  <w:vAlign w:val="center"/>
                </w:tcPr>
                <w:p w14:paraId="3A84F60C">
                  <w:pPr>
                    <w:adjustRightInd w:val="0"/>
                    <w:snapToGrid w:val="0"/>
                    <w:jc w:val="center"/>
                    <w:rPr>
                      <w:color w:val="auto"/>
                      <w:kern w:val="0"/>
                    </w:rPr>
                  </w:pPr>
                  <w:r>
                    <w:rPr>
                      <w:color w:val="auto"/>
                      <w:kern w:val="0"/>
                    </w:rPr>
                    <w:t>H</w:t>
                  </w:r>
                  <w:r>
                    <w:rPr>
                      <w:color w:val="auto"/>
                      <w:kern w:val="0"/>
                      <w:vertAlign w:val="subscript"/>
                    </w:rPr>
                    <w:t>2</w:t>
                  </w:r>
                  <w:r>
                    <w:rPr>
                      <w:color w:val="auto"/>
                      <w:kern w:val="0"/>
                    </w:rPr>
                    <w:t>O</w:t>
                  </w:r>
                </w:p>
              </w:tc>
              <w:tc>
                <w:tcPr>
                  <w:tcW w:w="453" w:type="pct"/>
                  <w:tcBorders>
                    <w:tl2br w:val="nil"/>
                    <w:tr2bl w:val="nil"/>
                  </w:tcBorders>
                  <w:vAlign w:val="center"/>
                </w:tcPr>
                <w:p w14:paraId="3DB05BD2">
                  <w:pPr>
                    <w:adjustRightInd w:val="0"/>
                    <w:snapToGrid w:val="0"/>
                    <w:jc w:val="center"/>
                    <w:rPr>
                      <w:color w:val="auto"/>
                      <w:kern w:val="0"/>
                    </w:rPr>
                  </w:pPr>
                  <w:r>
                    <w:rPr>
                      <w:rFonts w:hint="eastAsia"/>
                      <w:color w:val="auto"/>
                      <w:kern w:val="0"/>
                      <w:lang w:val="en-US" w:eastAsia="zh-CN"/>
                    </w:rPr>
                    <w:t>吨</w:t>
                  </w:r>
                </w:p>
              </w:tc>
              <w:tc>
                <w:tcPr>
                  <w:tcW w:w="553" w:type="pct"/>
                  <w:tcBorders>
                    <w:tl2br w:val="nil"/>
                    <w:tr2bl w:val="nil"/>
                  </w:tcBorders>
                  <w:vAlign w:val="center"/>
                </w:tcPr>
                <w:p w14:paraId="3A84F60D">
                  <w:pPr>
                    <w:adjustRightInd w:val="0"/>
                    <w:snapToGrid w:val="0"/>
                    <w:jc w:val="center"/>
                    <w:rPr>
                      <w:color w:val="auto"/>
                      <w:kern w:val="0"/>
                    </w:rPr>
                  </w:pPr>
                  <w:r>
                    <w:rPr>
                      <w:color w:val="auto"/>
                      <w:kern w:val="0"/>
                    </w:rPr>
                    <w:t>10</w:t>
                  </w:r>
                </w:p>
              </w:tc>
              <w:tc>
                <w:tcPr>
                  <w:tcW w:w="553" w:type="pct"/>
                  <w:tcBorders>
                    <w:tl2br w:val="nil"/>
                    <w:tr2bl w:val="nil"/>
                  </w:tcBorders>
                  <w:vAlign w:val="center"/>
                </w:tcPr>
                <w:p w14:paraId="3A84F60E">
                  <w:pPr>
                    <w:adjustRightInd w:val="0"/>
                    <w:snapToGrid w:val="0"/>
                    <w:jc w:val="center"/>
                    <w:rPr>
                      <w:color w:val="auto"/>
                      <w:kern w:val="0"/>
                    </w:rPr>
                  </w:pPr>
                  <w:r>
                    <w:rPr>
                      <w:color w:val="auto"/>
                      <w:kern w:val="0"/>
                    </w:rPr>
                    <w:t>10</w:t>
                  </w:r>
                </w:p>
              </w:tc>
              <w:tc>
                <w:tcPr>
                  <w:tcW w:w="559" w:type="pct"/>
                  <w:tcBorders>
                    <w:tl2br w:val="nil"/>
                    <w:tr2bl w:val="nil"/>
                  </w:tcBorders>
                  <w:vAlign w:val="center"/>
                </w:tcPr>
                <w:p w14:paraId="3A84F60F">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610">
                  <w:pPr>
                    <w:adjustRightInd w:val="0"/>
                    <w:snapToGrid w:val="0"/>
                    <w:jc w:val="center"/>
                    <w:rPr>
                      <w:rFonts w:hint="eastAsia" w:eastAsia="宋体"/>
                      <w:color w:val="auto"/>
                      <w:kern w:val="0"/>
                      <w:lang w:val="en-US" w:eastAsia="zh-CN"/>
                    </w:rPr>
                  </w:pPr>
                  <w:r>
                    <w:rPr>
                      <w:rFonts w:hint="eastAsia"/>
                      <w:color w:val="auto"/>
                      <w:kern w:val="0"/>
                      <w:lang w:val="en-US" w:eastAsia="zh-CN"/>
                    </w:rPr>
                    <w:t>液</w:t>
                  </w:r>
                </w:p>
              </w:tc>
              <w:tc>
                <w:tcPr>
                  <w:tcW w:w="681" w:type="pct"/>
                  <w:tcBorders>
                    <w:tl2br w:val="nil"/>
                    <w:tr2bl w:val="nil"/>
                  </w:tcBorders>
                  <w:vAlign w:val="center"/>
                </w:tcPr>
                <w:p w14:paraId="3A84F611">
                  <w:pPr>
                    <w:adjustRightInd w:val="0"/>
                    <w:snapToGrid w:val="0"/>
                    <w:jc w:val="center"/>
                    <w:rPr>
                      <w:color w:val="auto"/>
                      <w:kern w:val="0"/>
                    </w:rPr>
                  </w:pPr>
                  <w:r>
                    <w:rPr>
                      <w:color w:val="auto"/>
                      <w:kern w:val="0"/>
                    </w:rPr>
                    <w:t>现场制备</w:t>
                  </w:r>
                </w:p>
              </w:tc>
              <w:tc>
                <w:tcPr>
                  <w:tcW w:w="554" w:type="pct"/>
                  <w:tcBorders>
                    <w:tl2br w:val="nil"/>
                    <w:tr2bl w:val="nil"/>
                  </w:tcBorders>
                </w:tcPr>
                <w:p w14:paraId="3A84F612">
                  <w:pPr>
                    <w:adjustRightInd w:val="0"/>
                    <w:snapToGrid w:val="0"/>
                    <w:jc w:val="center"/>
                    <w:rPr>
                      <w:color w:val="auto"/>
                      <w:kern w:val="0"/>
                    </w:rPr>
                  </w:pPr>
                  <w:r>
                    <w:rPr>
                      <w:color w:val="auto"/>
                      <w:kern w:val="0"/>
                    </w:rPr>
                    <w:t>10</w:t>
                  </w:r>
                </w:p>
              </w:tc>
            </w:tr>
            <w:tr w14:paraId="3A84F61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14">
                  <w:pPr>
                    <w:adjustRightInd w:val="0"/>
                    <w:snapToGrid w:val="0"/>
                    <w:jc w:val="center"/>
                    <w:rPr>
                      <w:color w:val="auto"/>
                      <w:kern w:val="0"/>
                    </w:rPr>
                  </w:pPr>
                  <w:r>
                    <w:rPr>
                      <w:color w:val="auto"/>
                      <w:kern w:val="0"/>
                    </w:rPr>
                    <w:t>酒精</w:t>
                  </w:r>
                </w:p>
              </w:tc>
              <w:tc>
                <w:tcPr>
                  <w:tcW w:w="673" w:type="pct"/>
                  <w:tcBorders>
                    <w:tl2br w:val="nil"/>
                    <w:tr2bl w:val="nil"/>
                  </w:tcBorders>
                  <w:vAlign w:val="center"/>
                </w:tcPr>
                <w:p w14:paraId="3A84F615">
                  <w:pPr>
                    <w:adjustRightInd w:val="0"/>
                    <w:snapToGrid w:val="0"/>
                    <w:jc w:val="center"/>
                    <w:rPr>
                      <w:color w:val="auto"/>
                      <w:kern w:val="0"/>
                    </w:rPr>
                  </w:pPr>
                  <w:r>
                    <w:rPr>
                      <w:color w:val="auto"/>
                      <w:kern w:val="0"/>
                    </w:rPr>
                    <w:t>C</w:t>
                  </w:r>
                  <w:r>
                    <w:rPr>
                      <w:color w:val="auto"/>
                      <w:kern w:val="0"/>
                      <w:vertAlign w:val="subscript"/>
                    </w:rPr>
                    <w:t>2</w:t>
                  </w:r>
                  <w:r>
                    <w:rPr>
                      <w:color w:val="auto"/>
                      <w:kern w:val="0"/>
                    </w:rPr>
                    <w:t>H</w:t>
                  </w:r>
                  <w:r>
                    <w:rPr>
                      <w:color w:val="auto"/>
                      <w:kern w:val="0"/>
                      <w:vertAlign w:val="subscript"/>
                    </w:rPr>
                    <w:t>5</w:t>
                  </w:r>
                  <w:r>
                    <w:rPr>
                      <w:color w:val="auto"/>
                      <w:kern w:val="0"/>
                    </w:rPr>
                    <w:t>OH</w:t>
                  </w:r>
                </w:p>
              </w:tc>
              <w:tc>
                <w:tcPr>
                  <w:tcW w:w="453" w:type="pct"/>
                  <w:tcBorders>
                    <w:tl2br w:val="nil"/>
                    <w:tr2bl w:val="nil"/>
                  </w:tcBorders>
                  <w:vAlign w:val="center"/>
                </w:tcPr>
                <w:p w14:paraId="38B930D0">
                  <w:pPr>
                    <w:adjustRightInd w:val="0"/>
                    <w:snapToGrid w:val="0"/>
                    <w:jc w:val="center"/>
                    <w:rPr>
                      <w:color w:val="auto"/>
                      <w:kern w:val="0"/>
                    </w:rPr>
                  </w:pPr>
                  <w:r>
                    <w:rPr>
                      <w:rFonts w:hint="eastAsia"/>
                      <w:color w:val="auto"/>
                      <w:kern w:val="0"/>
                      <w:lang w:val="en-US" w:eastAsia="zh-CN"/>
                    </w:rPr>
                    <w:t>吨</w:t>
                  </w:r>
                </w:p>
              </w:tc>
              <w:tc>
                <w:tcPr>
                  <w:tcW w:w="553" w:type="pct"/>
                  <w:tcBorders>
                    <w:tl2br w:val="nil"/>
                    <w:tr2bl w:val="nil"/>
                  </w:tcBorders>
                  <w:vAlign w:val="center"/>
                </w:tcPr>
                <w:p w14:paraId="3A84F616">
                  <w:pPr>
                    <w:adjustRightInd w:val="0"/>
                    <w:snapToGrid w:val="0"/>
                    <w:jc w:val="center"/>
                    <w:rPr>
                      <w:color w:val="auto"/>
                      <w:kern w:val="0"/>
                    </w:rPr>
                  </w:pPr>
                  <w:r>
                    <w:rPr>
                      <w:color w:val="auto"/>
                      <w:kern w:val="0"/>
                    </w:rPr>
                    <w:t>2.4</w:t>
                  </w:r>
                </w:p>
              </w:tc>
              <w:tc>
                <w:tcPr>
                  <w:tcW w:w="553" w:type="pct"/>
                  <w:tcBorders>
                    <w:tl2br w:val="nil"/>
                    <w:tr2bl w:val="nil"/>
                  </w:tcBorders>
                  <w:vAlign w:val="center"/>
                </w:tcPr>
                <w:p w14:paraId="3A84F617">
                  <w:pPr>
                    <w:adjustRightInd w:val="0"/>
                    <w:snapToGrid w:val="0"/>
                    <w:jc w:val="center"/>
                    <w:rPr>
                      <w:color w:val="auto"/>
                      <w:kern w:val="0"/>
                    </w:rPr>
                  </w:pPr>
                  <w:r>
                    <w:rPr>
                      <w:color w:val="auto"/>
                      <w:kern w:val="0"/>
                    </w:rPr>
                    <w:t>2.4</w:t>
                  </w:r>
                </w:p>
              </w:tc>
              <w:tc>
                <w:tcPr>
                  <w:tcW w:w="559" w:type="pct"/>
                  <w:tcBorders>
                    <w:tl2br w:val="nil"/>
                    <w:tr2bl w:val="nil"/>
                  </w:tcBorders>
                  <w:vAlign w:val="center"/>
                </w:tcPr>
                <w:p w14:paraId="3A84F618">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619">
                  <w:pPr>
                    <w:adjustRightInd w:val="0"/>
                    <w:snapToGrid w:val="0"/>
                    <w:jc w:val="center"/>
                    <w:rPr>
                      <w:rFonts w:hint="eastAsia" w:eastAsia="宋体"/>
                      <w:color w:val="auto"/>
                      <w:kern w:val="0"/>
                      <w:lang w:val="en-US" w:eastAsia="zh-CN"/>
                    </w:rPr>
                  </w:pPr>
                  <w:r>
                    <w:rPr>
                      <w:rFonts w:hint="eastAsia"/>
                      <w:color w:val="auto"/>
                      <w:kern w:val="0"/>
                      <w:lang w:val="en-US" w:eastAsia="zh-CN"/>
                    </w:rPr>
                    <w:t>液</w:t>
                  </w:r>
                </w:p>
              </w:tc>
              <w:tc>
                <w:tcPr>
                  <w:tcW w:w="681" w:type="pct"/>
                  <w:tcBorders>
                    <w:tl2br w:val="nil"/>
                    <w:tr2bl w:val="nil"/>
                  </w:tcBorders>
                  <w:vAlign w:val="center"/>
                </w:tcPr>
                <w:p w14:paraId="3A84F61A">
                  <w:pPr>
                    <w:adjustRightInd w:val="0"/>
                    <w:snapToGrid w:val="0"/>
                    <w:jc w:val="center"/>
                    <w:rPr>
                      <w:color w:val="auto"/>
                      <w:kern w:val="0"/>
                    </w:rPr>
                  </w:pPr>
                  <w:r>
                    <w:rPr>
                      <w:color w:val="auto"/>
                      <w:kern w:val="0"/>
                    </w:rPr>
                    <w:t>200L/桶</w:t>
                  </w:r>
                </w:p>
              </w:tc>
              <w:tc>
                <w:tcPr>
                  <w:tcW w:w="554" w:type="pct"/>
                  <w:tcBorders>
                    <w:tl2br w:val="nil"/>
                    <w:tr2bl w:val="nil"/>
                  </w:tcBorders>
                  <w:vAlign w:val="center"/>
                </w:tcPr>
                <w:p w14:paraId="3A84F61B">
                  <w:pPr>
                    <w:adjustRightInd w:val="0"/>
                    <w:snapToGrid w:val="0"/>
                    <w:jc w:val="center"/>
                    <w:rPr>
                      <w:color w:val="auto"/>
                      <w:kern w:val="0"/>
                    </w:rPr>
                  </w:pPr>
                  <w:r>
                    <w:rPr>
                      <w:color w:val="auto"/>
                      <w:kern w:val="0"/>
                    </w:rPr>
                    <w:t>2</w:t>
                  </w:r>
                </w:p>
              </w:tc>
            </w:tr>
            <w:tr w14:paraId="74A435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10"/>
                  <w:tcBorders>
                    <w:tl2br w:val="nil"/>
                    <w:tr2bl w:val="nil"/>
                  </w:tcBorders>
                  <w:vAlign w:val="center"/>
                </w:tcPr>
                <w:p w14:paraId="00069C53">
                  <w:pPr>
                    <w:adjustRightInd w:val="0"/>
                    <w:snapToGrid w:val="0"/>
                    <w:jc w:val="center"/>
                    <w:rPr>
                      <w:b/>
                      <w:bCs/>
                      <w:color w:val="auto"/>
                      <w:kern w:val="0"/>
                    </w:rPr>
                  </w:pPr>
                  <w:r>
                    <w:rPr>
                      <w:b/>
                      <w:bCs/>
                      <w:color w:val="auto"/>
                      <w:kern w:val="0"/>
                    </w:rPr>
                    <w:t>传火管</w:t>
                  </w:r>
                </w:p>
              </w:tc>
            </w:tr>
            <w:tr w14:paraId="3A84F62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1F">
                  <w:pPr>
                    <w:adjustRightInd w:val="0"/>
                    <w:snapToGrid w:val="0"/>
                    <w:jc w:val="center"/>
                    <w:rPr>
                      <w:color w:val="auto"/>
                      <w:kern w:val="0"/>
                    </w:rPr>
                  </w:pPr>
                  <w:r>
                    <w:rPr>
                      <w:color w:val="auto"/>
                      <w:kern w:val="0"/>
                    </w:rPr>
                    <w:t>传火药</w:t>
                  </w:r>
                </w:p>
              </w:tc>
              <w:tc>
                <w:tcPr>
                  <w:tcW w:w="673" w:type="pct"/>
                  <w:tcBorders>
                    <w:tl2br w:val="nil"/>
                    <w:tr2bl w:val="nil"/>
                  </w:tcBorders>
                  <w:vAlign w:val="center"/>
                </w:tcPr>
                <w:p w14:paraId="3A84F620">
                  <w:pPr>
                    <w:adjustRightInd w:val="0"/>
                    <w:snapToGrid w:val="0"/>
                    <w:jc w:val="center"/>
                    <w:rPr>
                      <w:color w:val="auto"/>
                      <w:kern w:val="0"/>
                    </w:rPr>
                  </w:pPr>
                  <w:r>
                    <w:rPr>
                      <w:color w:val="auto"/>
                      <w:kern w:val="0"/>
                    </w:rPr>
                    <w:t>硝酸钾、硝酸胍等</w:t>
                  </w:r>
                </w:p>
              </w:tc>
              <w:tc>
                <w:tcPr>
                  <w:tcW w:w="453" w:type="pct"/>
                  <w:tcBorders>
                    <w:tl2br w:val="nil"/>
                    <w:tr2bl w:val="nil"/>
                  </w:tcBorders>
                  <w:vAlign w:val="center"/>
                </w:tcPr>
                <w:p w14:paraId="1B167C6C">
                  <w:pPr>
                    <w:adjustRightInd w:val="0"/>
                    <w:snapToGrid w:val="0"/>
                    <w:jc w:val="center"/>
                    <w:rPr>
                      <w:rFonts w:hint="eastAsia" w:eastAsia="宋体"/>
                      <w:color w:val="auto"/>
                      <w:kern w:val="0"/>
                      <w:lang w:val="en-US" w:eastAsia="zh-CN"/>
                    </w:rPr>
                  </w:pPr>
                  <w:r>
                    <w:rPr>
                      <w:rFonts w:hint="eastAsia"/>
                      <w:color w:val="auto"/>
                      <w:kern w:val="0"/>
                      <w:lang w:val="en-US" w:eastAsia="zh-CN"/>
                    </w:rPr>
                    <w:t>吨</w:t>
                  </w:r>
                </w:p>
              </w:tc>
              <w:tc>
                <w:tcPr>
                  <w:tcW w:w="553" w:type="pct"/>
                  <w:tcBorders>
                    <w:tl2br w:val="nil"/>
                    <w:tr2bl w:val="nil"/>
                  </w:tcBorders>
                  <w:vAlign w:val="center"/>
                </w:tcPr>
                <w:p w14:paraId="3A84F621">
                  <w:pPr>
                    <w:adjustRightInd w:val="0"/>
                    <w:snapToGrid w:val="0"/>
                    <w:jc w:val="center"/>
                    <w:rPr>
                      <w:rFonts w:hint="default" w:eastAsia="宋体"/>
                      <w:color w:val="auto"/>
                      <w:kern w:val="0"/>
                      <w:lang w:val="en-US" w:eastAsia="zh-CN"/>
                    </w:rPr>
                  </w:pPr>
                  <w:r>
                    <w:rPr>
                      <w:rFonts w:hint="eastAsia"/>
                      <w:color w:val="auto"/>
                      <w:kern w:val="0"/>
                      <w:lang w:val="en-US" w:eastAsia="zh-CN"/>
                    </w:rPr>
                    <w:t>60</w:t>
                  </w:r>
                </w:p>
              </w:tc>
              <w:tc>
                <w:tcPr>
                  <w:tcW w:w="553" w:type="pct"/>
                  <w:tcBorders>
                    <w:tl2br w:val="nil"/>
                    <w:tr2bl w:val="nil"/>
                  </w:tcBorders>
                  <w:vAlign w:val="center"/>
                </w:tcPr>
                <w:p w14:paraId="3A84F622">
                  <w:pPr>
                    <w:adjustRightInd w:val="0"/>
                    <w:snapToGrid w:val="0"/>
                    <w:jc w:val="center"/>
                    <w:rPr>
                      <w:color w:val="auto"/>
                      <w:kern w:val="0"/>
                    </w:rPr>
                  </w:pPr>
                  <w:r>
                    <w:rPr>
                      <w:rFonts w:hint="eastAsia"/>
                      <w:color w:val="auto"/>
                      <w:kern w:val="0"/>
                      <w:lang w:val="en-US" w:eastAsia="zh-CN"/>
                    </w:rPr>
                    <w:t>60</w:t>
                  </w:r>
                </w:p>
              </w:tc>
              <w:tc>
                <w:tcPr>
                  <w:tcW w:w="559" w:type="pct"/>
                  <w:tcBorders>
                    <w:tl2br w:val="nil"/>
                    <w:tr2bl w:val="nil"/>
                  </w:tcBorders>
                  <w:vAlign w:val="center"/>
                </w:tcPr>
                <w:p w14:paraId="3A84F623">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624">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625">
                  <w:pPr>
                    <w:adjustRightInd w:val="0"/>
                    <w:snapToGrid w:val="0"/>
                    <w:jc w:val="center"/>
                    <w:rPr>
                      <w:color w:val="auto"/>
                      <w:kern w:val="0"/>
                    </w:rPr>
                  </w:pPr>
                  <w:r>
                    <w:rPr>
                      <w:color w:val="auto"/>
                      <w:kern w:val="0"/>
                    </w:rPr>
                    <w:t>500g/盒</w:t>
                  </w:r>
                </w:p>
              </w:tc>
              <w:tc>
                <w:tcPr>
                  <w:tcW w:w="554" w:type="pct"/>
                  <w:tcBorders>
                    <w:tl2br w:val="nil"/>
                    <w:tr2bl w:val="nil"/>
                  </w:tcBorders>
                  <w:vAlign w:val="center"/>
                </w:tcPr>
                <w:p w14:paraId="3A84F626">
                  <w:pPr>
                    <w:adjustRightInd w:val="0"/>
                    <w:snapToGrid w:val="0"/>
                    <w:jc w:val="center"/>
                    <w:rPr>
                      <w:color w:val="auto"/>
                      <w:kern w:val="0"/>
                    </w:rPr>
                  </w:pPr>
                  <w:r>
                    <w:rPr>
                      <w:color w:val="auto"/>
                      <w:kern w:val="0"/>
                    </w:rPr>
                    <w:t>20</w:t>
                  </w:r>
                </w:p>
              </w:tc>
            </w:tr>
            <w:tr w14:paraId="3A84F6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28">
                  <w:pPr>
                    <w:adjustRightInd w:val="0"/>
                    <w:snapToGrid w:val="0"/>
                    <w:jc w:val="center"/>
                    <w:rPr>
                      <w:color w:val="auto"/>
                      <w:kern w:val="0"/>
                    </w:rPr>
                  </w:pPr>
                  <w:r>
                    <w:rPr>
                      <w:color w:val="auto"/>
                      <w:kern w:val="0"/>
                    </w:rPr>
                    <w:t>铝杯</w:t>
                  </w:r>
                </w:p>
              </w:tc>
              <w:tc>
                <w:tcPr>
                  <w:tcW w:w="673" w:type="pct"/>
                  <w:tcBorders>
                    <w:tl2br w:val="nil"/>
                    <w:tr2bl w:val="nil"/>
                  </w:tcBorders>
                  <w:vAlign w:val="center"/>
                </w:tcPr>
                <w:p w14:paraId="3A84F629">
                  <w:pPr>
                    <w:adjustRightInd w:val="0"/>
                    <w:snapToGrid w:val="0"/>
                    <w:jc w:val="center"/>
                    <w:rPr>
                      <w:color w:val="auto"/>
                      <w:kern w:val="0"/>
                    </w:rPr>
                  </w:pPr>
                  <w:r>
                    <w:rPr>
                      <w:color w:val="auto"/>
                      <w:kern w:val="0"/>
                    </w:rPr>
                    <w:t>铝</w:t>
                  </w:r>
                </w:p>
              </w:tc>
              <w:tc>
                <w:tcPr>
                  <w:tcW w:w="453" w:type="pct"/>
                  <w:tcBorders>
                    <w:tl2br w:val="nil"/>
                    <w:tr2bl w:val="nil"/>
                  </w:tcBorders>
                  <w:vAlign w:val="center"/>
                </w:tcPr>
                <w:p w14:paraId="1FC8335E">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62A">
                  <w:pPr>
                    <w:adjustRightInd w:val="0"/>
                    <w:snapToGrid w:val="0"/>
                    <w:jc w:val="center"/>
                    <w:rPr>
                      <w:color w:val="auto"/>
                      <w:kern w:val="0"/>
                    </w:rPr>
                  </w:pPr>
                  <w:r>
                    <w:rPr>
                      <w:color w:val="auto"/>
                      <w:kern w:val="0"/>
                    </w:rPr>
                    <w:t>5500</w:t>
                  </w:r>
                </w:p>
              </w:tc>
              <w:tc>
                <w:tcPr>
                  <w:tcW w:w="553" w:type="pct"/>
                  <w:tcBorders>
                    <w:tl2br w:val="nil"/>
                    <w:tr2bl w:val="nil"/>
                  </w:tcBorders>
                  <w:vAlign w:val="center"/>
                </w:tcPr>
                <w:p w14:paraId="3A84F62B">
                  <w:pPr>
                    <w:adjustRightInd w:val="0"/>
                    <w:snapToGrid w:val="0"/>
                    <w:jc w:val="center"/>
                    <w:rPr>
                      <w:color w:val="auto"/>
                      <w:kern w:val="0"/>
                    </w:rPr>
                  </w:pPr>
                  <w:r>
                    <w:rPr>
                      <w:color w:val="auto"/>
                      <w:kern w:val="0"/>
                    </w:rPr>
                    <w:t>5500</w:t>
                  </w:r>
                </w:p>
              </w:tc>
              <w:tc>
                <w:tcPr>
                  <w:tcW w:w="559" w:type="pct"/>
                  <w:tcBorders>
                    <w:tl2br w:val="nil"/>
                    <w:tr2bl w:val="nil"/>
                  </w:tcBorders>
                  <w:vAlign w:val="center"/>
                </w:tcPr>
                <w:p w14:paraId="3A84F62C">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62D">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62E">
                  <w:pPr>
                    <w:adjustRightInd w:val="0"/>
                    <w:snapToGrid w:val="0"/>
                    <w:jc w:val="center"/>
                    <w:rPr>
                      <w:color w:val="auto"/>
                      <w:kern w:val="0"/>
                    </w:rPr>
                  </w:pPr>
                  <w:r>
                    <w:rPr>
                      <w:color w:val="auto"/>
                      <w:kern w:val="0"/>
                    </w:rPr>
                    <w:t>2000枚/箱</w:t>
                  </w:r>
                </w:p>
              </w:tc>
              <w:tc>
                <w:tcPr>
                  <w:tcW w:w="554" w:type="pct"/>
                  <w:tcBorders>
                    <w:tl2br w:val="nil"/>
                    <w:tr2bl w:val="nil"/>
                  </w:tcBorders>
                  <w:vAlign w:val="center"/>
                </w:tcPr>
                <w:p w14:paraId="3A84F62F">
                  <w:pPr>
                    <w:adjustRightInd w:val="0"/>
                    <w:snapToGrid w:val="0"/>
                    <w:jc w:val="center"/>
                    <w:rPr>
                      <w:color w:val="auto"/>
                      <w:kern w:val="0"/>
                    </w:rPr>
                  </w:pPr>
                  <w:r>
                    <w:rPr>
                      <w:color w:val="auto"/>
                      <w:kern w:val="0"/>
                    </w:rPr>
                    <w:t>300</w:t>
                  </w:r>
                </w:p>
              </w:tc>
            </w:tr>
            <w:tr w14:paraId="3A84F63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31">
                  <w:pPr>
                    <w:adjustRightInd w:val="0"/>
                    <w:snapToGrid w:val="0"/>
                    <w:jc w:val="center"/>
                    <w:rPr>
                      <w:color w:val="auto"/>
                      <w:kern w:val="0"/>
                    </w:rPr>
                  </w:pPr>
                  <w:r>
                    <w:rPr>
                      <w:color w:val="auto"/>
                      <w:kern w:val="0"/>
                    </w:rPr>
                    <w:t>金属管</w:t>
                  </w:r>
                </w:p>
              </w:tc>
              <w:tc>
                <w:tcPr>
                  <w:tcW w:w="673" w:type="pct"/>
                  <w:tcBorders>
                    <w:tl2br w:val="nil"/>
                    <w:tr2bl w:val="nil"/>
                  </w:tcBorders>
                  <w:vAlign w:val="center"/>
                </w:tcPr>
                <w:p w14:paraId="3A84F632">
                  <w:pPr>
                    <w:adjustRightInd w:val="0"/>
                    <w:snapToGrid w:val="0"/>
                    <w:jc w:val="center"/>
                    <w:rPr>
                      <w:color w:val="auto"/>
                      <w:kern w:val="0"/>
                    </w:rPr>
                  </w:pPr>
                  <w:r>
                    <w:rPr>
                      <w:color w:val="auto"/>
                      <w:kern w:val="0"/>
                    </w:rPr>
                    <w:t>/</w:t>
                  </w:r>
                </w:p>
              </w:tc>
              <w:tc>
                <w:tcPr>
                  <w:tcW w:w="453" w:type="pct"/>
                  <w:tcBorders>
                    <w:tl2br w:val="nil"/>
                    <w:tr2bl w:val="nil"/>
                  </w:tcBorders>
                  <w:vAlign w:val="center"/>
                </w:tcPr>
                <w:p w14:paraId="53880825">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633">
                  <w:pPr>
                    <w:adjustRightInd w:val="0"/>
                    <w:snapToGrid w:val="0"/>
                    <w:jc w:val="center"/>
                    <w:rPr>
                      <w:color w:val="auto"/>
                      <w:kern w:val="0"/>
                    </w:rPr>
                  </w:pPr>
                  <w:r>
                    <w:rPr>
                      <w:color w:val="auto"/>
                      <w:kern w:val="0"/>
                    </w:rPr>
                    <w:t>5500</w:t>
                  </w:r>
                </w:p>
              </w:tc>
              <w:tc>
                <w:tcPr>
                  <w:tcW w:w="553" w:type="pct"/>
                  <w:tcBorders>
                    <w:tl2br w:val="nil"/>
                    <w:tr2bl w:val="nil"/>
                  </w:tcBorders>
                  <w:vAlign w:val="center"/>
                </w:tcPr>
                <w:p w14:paraId="3A84F634">
                  <w:pPr>
                    <w:adjustRightInd w:val="0"/>
                    <w:snapToGrid w:val="0"/>
                    <w:jc w:val="center"/>
                    <w:rPr>
                      <w:color w:val="auto"/>
                      <w:kern w:val="0"/>
                    </w:rPr>
                  </w:pPr>
                  <w:r>
                    <w:rPr>
                      <w:color w:val="auto"/>
                      <w:kern w:val="0"/>
                    </w:rPr>
                    <w:t>5500</w:t>
                  </w:r>
                </w:p>
              </w:tc>
              <w:tc>
                <w:tcPr>
                  <w:tcW w:w="559" w:type="pct"/>
                  <w:tcBorders>
                    <w:tl2br w:val="nil"/>
                    <w:tr2bl w:val="nil"/>
                  </w:tcBorders>
                  <w:vAlign w:val="center"/>
                </w:tcPr>
                <w:p w14:paraId="3A84F635">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636">
                  <w:pPr>
                    <w:adjustRightInd w:val="0"/>
                    <w:snapToGrid w:val="0"/>
                    <w:jc w:val="center"/>
                    <w:rPr>
                      <w:color w:val="auto"/>
                      <w:kern w:val="0"/>
                    </w:rPr>
                  </w:pPr>
                  <w:r>
                    <w:rPr>
                      <w:color w:val="auto"/>
                      <w:kern w:val="0"/>
                    </w:rPr>
                    <w:t>固</w:t>
                  </w:r>
                </w:p>
              </w:tc>
              <w:tc>
                <w:tcPr>
                  <w:tcW w:w="681" w:type="pct"/>
                  <w:tcBorders>
                    <w:tl2br w:val="nil"/>
                    <w:tr2bl w:val="nil"/>
                  </w:tcBorders>
                </w:tcPr>
                <w:p w14:paraId="3A84F637">
                  <w:pPr>
                    <w:adjustRightInd w:val="0"/>
                    <w:snapToGrid w:val="0"/>
                    <w:jc w:val="center"/>
                    <w:rPr>
                      <w:color w:val="auto"/>
                      <w:kern w:val="0"/>
                    </w:rPr>
                  </w:pPr>
                  <w:r>
                    <w:rPr>
                      <w:color w:val="auto"/>
                      <w:kern w:val="0"/>
                    </w:rPr>
                    <w:t>2000枚/箱</w:t>
                  </w:r>
                </w:p>
              </w:tc>
              <w:tc>
                <w:tcPr>
                  <w:tcW w:w="554" w:type="pct"/>
                  <w:tcBorders>
                    <w:tl2br w:val="nil"/>
                    <w:tr2bl w:val="nil"/>
                  </w:tcBorders>
                  <w:vAlign w:val="center"/>
                </w:tcPr>
                <w:p w14:paraId="3A84F638">
                  <w:pPr>
                    <w:adjustRightInd w:val="0"/>
                    <w:snapToGrid w:val="0"/>
                    <w:jc w:val="center"/>
                    <w:rPr>
                      <w:color w:val="auto"/>
                      <w:kern w:val="0"/>
                    </w:rPr>
                  </w:pPr>
                  <w:r>
                    <w:rPr>
                      <w:color w:val="auto"/>
                      <w:kern w:val="0"/>
                    </w:rPr>
                    <w:t>300</w:t>
                  </w:r>
                </w:p>
              </w:tc>
            </w:tr>
            <w:tr w14:paraId="3A84F64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3A">
                  <w:pPr>
                    <w:adjustRightInd w:val="0"/>
                    <w:snapToGrid w:val="0"/>
                    <w:jc w:val="center"/>
                    <w:rPr>
                      <w:color w:val="auto"/>
                      <w:kern w:val="0"/>
                    </w:rPr>
                  </w:pPr>
                  <w:r>
                    <w:rPr>
                      <w:color w:val="auto"/>
                      <w:kern w:val="0"/>
                    </w:rPr>
                    <w:t>固定环</w:t>
                  </w:r>
                </w:p>
              </w:tc>
              <w:tc>
                <w:tcPr>
                  <w:tcW w:w="673" w:type="pct"/>
                  <w:tcBorders>
                    <w:tl2br w:val="nil"/>
                    <w:tr2bl w:val="nil"/>
                  </w:tcBorders>
                  <w:vAlign w:val="center"/>
                </w:tcPr>
                <w:p w14:paraId="3A84F63B">
                  <w:pPr>
                    <w:adjustRightInd w:val="0"/>
                    <w:snapToGrid w:val="0"/>
                    <w:jc w:val="center"/>
                    <w:rPr>
                      <w:color w:val="auto"/>
                      <w:kern w:val="0"/>
                    </w:rPr>
                  </w:pPr>
                  <w:r>
                    <w:rPr>
                      <w:color w:val="auto"/>
                      <w:kern w:val="0"/>
                    </w:rPr>
                    <w:t>/</w:t>
                  </w:r>
                </w:p>
              </w:tc>
              <w:tc>
                <w:tcPr>
                  <w:tcW w:w="453" w:type="pct"/>
                  <w:tcBorders>
                    <w:tl2br w:val="nil"/>
                    <w:tr2bl w:val="nil"/>
                  </w:tcBorders>
                  <w:vAlign w:val="center"/>
                </w:tcPr>
                <w:p w14:paraId="6409C4C4">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63C">
                  <w:pPr>
                    <w:adjustRightInd w:val="0"/>
                    <w:snapToGrid w:val="0"/>
                    <w:jc w:val="center"/>
                    <w:rPr>
                      <w:color w:val="auto"/>
                      <w:kern w:val="0"/>
                    </w:rPr>
                  </w:pPr>
                  <w:r>
                    <w:rPr>
                      <w:color w:val="auto"/>
                      <w:kern w:val="0"/>
                    </w:rPr>
                    <w:t>5500</w:t>
                  </w:r>
                </w:p>
              </w:tc>
              <w:tc>
                <w:tcPr>
                  <w:tcW w:w="553" w:type="pct"/>
                  <w:tcBorders>
                    <w:tl2br w:val="nil"/>
                    <w:tr2bl w:val="nil"/>
                  </w:tcBorders>
                  <w:vAlign w:val="center"/>
                </w:tcPr>
                <w:p w14:paraId="3A84F63D">
                  <w:pPr>
                    <w:adjustRightInd w:val="0"/>
                    <w:snapToGrid w:val="0"/>
                    <w:jc w:val="center"/>
                    <w:rPr>
                      <w:color w:val="auto"/>
                      <w:kern w:val="0"/>
                    </w:rPr>
                  </w:pPr>
                  <w:r>
                    <w:rPr>
                      <w:color w:val="auto"/>
                      <w:kern w:val="0"/>
                    </w:rPr>
                    <w:t>5500</w:t>
                  </w:r>
                </w:p>
              </w:tc>
              <w:tc>
                <w:tcPr>
                  <w:tcW w:w="559" w:type="pct"/>
                  <w:tcBorders>
                    <w:tl2br w:val="nil"/>
                    <w:tr2bl w:val="nil"/>
                  </w:tcBorders>
                  <w:vAlign w:val="center"/>
                </w:tcPr>
                <w:p w14:paraId="3A84F63E">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63F">
                  <w:pPr>
                    <w:adjustRightInd w:val="0"/>
                    <w:snapToGrid w:val="0"/>
                    <w:jc w:val="center"/>
                    <w:rPr>
                      <w:color w:val="auto"/>
                      <w:kern w:val="0"/>
                    </w:rPr>
                  </w:pPr>
                  <w:r>
                    <w:rPr>
                      <w:color w:val="auto"/>
                      <w:kern w:val="0"/>
                    </w:rPr>
                    <w:t>固</w:t>
                  </w:r>
                </w:p>
              </w:tc>
              <w:tc>
                <w:tcPr>
                  <w:tcW w:w="681" w:type="pct"/>
                  <w:tcBorders>
                    <w:tl2br w:val="nil"/>
                    <w:tr2bl w:val="nil"/>
                  </w:tcBorders>
                </w:tcPr>
                <w:p w14:paraId="3A84F640">
                  <w:pPr>
                    <w:adjustRightInd w:val="0"/>
                    <w:snapToGrid w:val="0"/>
                    <w:jc w:val="center"/>
                    <w:rPr>
                      <w:color w:val="auto"/>
                      <w:kern w:val="0"/>
                    </w:rPr>
                  </w:pPr>
                  <w:r>
                    <w:rPr>
                      <w:color w:val="auto"/>
                      <w:kern w:val="0"/>
                    </w:rPr>
                    <w:t>2000枚/箱</w:t>
                  </w:r>
                </w:p>
              </w:tc>
              <w:tc>
                <w:tcPr>
                  <w:tcW w:w="554" w:type="pct"/>
                  <w:tcBorders>
                    <w:tl2br w:val="nil"/>
                    <w:tr2bl w:val="nil"/>
                  </w:tcBorders>
                  <w:vAlign w:val="center"/>
                </w:tcPr>
                <w:p w14:paraId="3A84F641">
                  <w:pPr>
                    <w:adjustRightInd w:val="0"/>
                    <w:snapToGrid w:val="0"/>
                    <w:jc w:val="center"/>
                    <w:rPr>
                      <w:color w:val="auto"/>
                      <w:kern w:val="0"/>
                    </w:rPr>
                  </w:pPr>
                  <w:r>
                    <w:rPr>
                      <w:color w:val="auto"/>
                      <w:kern w:val="0"/>
                    </w:rPr>
                    <w:t>300</w:t>
                  </w:r>
                </w:p>
              </w:tc>
            </w:tr>
            <w:tr w14:paraId="3A20463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10"/>
                  <w:tcBorders>
                    <w:tl2br w:val="nil"/>
                    <w:tr2bl w:val="nil"/>
                  </w:tcBorders>
                  <w:vAlign w:val="center"/>
                </w:tcPr>
                <w:p w14:paraId="0FC726B7">
                  <w:pPr>
                    <w:adjustRightInd w:val="0"/>
                    <w:snapToGrid w:val="0"/>
                    <w:jc w:val="center"/>
                    <w:rPr>
                      <w:b/>
                      <w:bCs/>
                      <w:color w:val="auto"/>
                      <w:kern w:val="0"/>
                    </w:rPr>
                  </w:pPr>
                  <w:r>
                    <w:rPr>
                      <w:b/>
                      <w:bCs/>
                      <w:color w:val="auto"/>
                      <w:kern w:val="0"/>
                    </w:rPr>
                    <w:t>气体发生器</w:t>
                  </w:r>
                </w:p>
              </w:tc>
            </w:tr>
            <w:tr w14:paraId="1A6F28A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10"/>
                  <w:tcBorders>
                    <w:tl2br w:val="nil"/>
                    <w:tr2bl w:val="nil"/>
                  </w:tcBorders>
                  <w:vAlign w:val="center"/>
                </w:tcPr>
                <w:p w14:paraId="128A469A">
                  <w:pPr>
                    <w:adjustRightInd w:val="0"/>
                    <w:snapToGrid w:val="0"/>
                    <w:jc w:val="center"/>
                    <w:rPr>
                      <w:rFonts w:hint="eastAsia" w:ascii="宋体" w:hAnsi="宋体" w:cs="宋体"/>
                      <w:b/>
                      <w:bCs/>
                      <w:color w:val="auto"/>
                      <w:kern w:val="0"/>
                    </w:rPr>
                  </w:pPr>
                  <w:r>
                    <w:rPr>
                      <w:rFonts w:hint="eastAsia" w:ascii="宋体" w:hAnsi="宋体" w:cs="宋体"/>
                      <w:b/>
                      <w:bCs/>
                      <w:color w:val="auto"/>
                      <w:kern w:val="0"/>
                    </w:rPr>
                    <w:t>①</w:t>
                  </w:r>
                  <w:r>
                    <w:rPr>
                      <w:b/>
                      <w:bCs/>
                      <w:color w:val="auto"/>
                      <w:kern w:val="0"/>
                    </w:rPr>
                    <w:t>ACH</w:t>
                  </w:r>
                </w:p>
              </w:tc>
            </w:tr>
            <w:tr w14:paraId="3A84F64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47">
                  <w:pPr>
                    <w:adjustRightInd w:val="0"/>
                    <w:snapToGrid w:val="0"/>
                    <w:jc w:val="center"/>
                    <w:rPr>
                      <w:color w:val="auto"/>
                      <w:kern w:val="0"/>
                    </w:rPr>
                  </w:pPr>
                  <w:r>
                    <w:rPr>
                      <w:color w:val="auto"/>
                      <w:kern w:val="0"/>
                    </w:rPr>
                    <w:t>管子</w:t>
                  </w:r>
                </w:p>
              </w:tc>
              <w:tc>
                <w:tcPr>
                  <w:tcW w:w="673" w:type="pct"/>
                  <w:tcBorders>
                    <w:tl2br w:val="nil"/>
                    <w:tr2bl w:val="nil"/>
                  </w:tcBorders>
                  <w:vAlign w:val="center"/>
                </w:tcPr>
                <w:p w14:paraId="3A84F648">
                  <w:pPr>
                    <w:adjustRightInd w:val="0"/>
                    <w:snapToGrid w:val="0"/>
                    <w:jc w:val="center"/>
                    <w:rPr>
                      <w:color w:val="auto"/>
                      <w:kern w:val="0"/>
                    </w:rPr>
                  </w:pPr>
                  <w:r>
                    <w:rPr>
                      <w:color w:val="auto"/>
                      <w:kern w:val="0"/>
                    </w:rPr>
                    <w:t>铁/钢</w:t>
                  </w:r>
                </w:p>
              </w:tc>
              <w:tc>
                <w:tcPr>
                  <w:tcW w:w="453" w:type="pct"/>
                  <w:tcBorders>
                    <w:tl2br w:val="nil"/>
                    <w:tr2bl w:val="nil"/>
                  </w:tcBorders>
                  <w:vAlign w:val="center"/>
                </w:tcPr>
                <w:p w14:paraId="3F4C238D">
                  <w:pPr>
                    <w:adjustRightInd w:val="0"/>
                    <w:snapToGrid w:val="0"/>
                    <w:jc w:val="center"/>
                    <w:rPr>
                      <w:rFonts w:hint="eastAsia" w:eastAsia="宋体"/>
                      <w:color w:val="auto"/>
                      <w:kern w:val="0"/>
                      <w:lang w:val="en-US" w:eastAsia="zh-CN"/>
                    </w:rPr>
                  </w:pPr>
                  <w:r>
                    <w:rPr>
                      <w:rFonts w:hint="eastAsia"/>
                      <w:color w:val="auto"/>
                      <w:kern w:val="0"/>
                      <w:lang w:val="en-US" w:eastAsia="zh-CN"/>
                    </w:rPr>
                    <w:t>万枚</w:t>
                  </w:r>
                </w:p>
              </w:tc>
              <w:tc>
                <w:tcPr>
                  <w:tcW w:w="553" w:type="pct"/>
                  <w:tcBorders>
                    <w:tl2br w:val="nil"/>
                    <w:tr2bl w:val="nil"/>
                  </w:tcBorders>
                  <w:vAlign w:val="center"/>
                </w:tcPr>
                <w:p w14:paraId="3A84F649">
                  <w:pPr>
                    <w:adjustRightInd w:val="0"/>
                    <w:snapToGrid w:val="0"/>
                    <w:jc w:val="center"/>
                    <w:rPr>
                      <w:rFonts w:hint="default" w:eastAsia="宋体"/>
                      <w:color w:val="auto"/>
                      <w:kern w:val="0"/>
                      <w:lang w:val="en-US" w:eastAsia="zh-CN"/>
                    </w:rPr>
                  </w:pPr>
                  <w:r>
                    <w:rPr>
                      <w:rFonts w:hint="eastAsia"/>
                      <w:color w:val="auto"/>
                      <w:kern w:val="0"/>
                      <w:lang w:val="en-US" w:eastAsia="zh-CN"/>
                    </w:rPr>
                    <w:t>3300</w:t>
                  </w:r>
                </w:p>
              </w:tc>
              <w:tc>
                <w:tcPr>
                  <w:tcW w:w="553" w:type="pct"/>
                  <w:tcBorders>
                    <w:tl2br w:val="nil"/>
                    <w:tr2bl w:val="nil"/>
                  </w:tcBorders>
                  <w:vAlign w:val="center"/>
                </w:tcPr>
                <w:p w14:paraId="3A84F64A">
                  <w:pPr>
                    <w:adjustRightInd w:val="0"/>
                    <w:snapToGrid w:val="0"/>
                    <w:jc w:val="center"/>
                    <w:rPr>
                      <w:color w:val="auto"/>
                      <w:kern w:val="0"/>
                    </w:rPr>
                  </w:pPr>
                  <w:r>
                    <w:rPr>
                      <w:rFonts w:hint="eastAsia"/>
                      <w:color w:val="auto"/>
                      <w:kern w:val="0"/>
                      <w:lang w:val="en-US" w:eastAsia="zh-CN"/>
                    </w:rPr>
                    <w:t>3300</w:t>
                  </w:r>
                </w:p>
              </w:tc>
              <w:tc>
                <w:tcPr>
                  <w:tcW w:w="559" w:type="pct"/>
                  <w:tcBorders>
                    <w:tl2br w:val="nil"/>
                    <w:tr2bl w:val="nil"/>
                  </w:tcBorders>
                  <w:vAlign w:val="center"/>
                </w:tcPr>
                <w:p w14:paraId="3A84F64B">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64C">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64D">
                  <w:pPr>
                    <w:adjustRightInd w:val="0"/>
                    <w:snapToGrid w:val="0"/>
                    <w:jc w:val="center"/>
                    <w:rPr>
                      <w:color w:val="auto"/>
                      <w:kern w:val="0"/>
                    </w:rPr>
                  </w:pPr>
                  <w:r>
                    <w:rPr>
                      <w:color w:val="auto"/>
                      <w:kern w:val="0"/>
                    </w:rPr>
                    <w:t>40根/箱</w:t>
                  </w:r>
                </w:p>
              </w:tc>
              <w:tc>
                <w:tcPr>
                  <w:tcW w:w="554" w:type="pct"/>
                  <w:tcBorders>
                    <w:tl2br w:val="nil"/>
                    <w:tr2bl w:val="nil"/>
                  </w:tcBorders>
                  <w:vAlign w:val="center"/>
                </w:tcPr>
                <w:p w14:paraId="3A84F64E">
                  <w:pPr>
                    <w:adjustRightInd w:val="0"/>
                    <w:snapToGrid w:val="0"/>
                    <w:jc w:val="center"/>
                    <w:rPr>
                      <w:color w:val="auto"/>
                      <w:kern w:val="0"/>
                    </w:rPr>
                  </w:pPr>
                  <w:r>
                    <w:rPr>
                      <w:color w:val="auto"/>
                      <w:kern w:val="0"/>
                    </w:rPr>
                    <w:t>200</w:t>
                  </w:r>
                </w:p>
              </w:tc>
            </w:tr>
            <w:tr w14:paraId="3A84F65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50">
                  <w:pPr>
                    <w:adjustRightInd w:val="0"/>
                    <w:snapToGrid w:val="0"/>
                    <w:jc w:val="center"/>
                    <w:rPr>
                      <w:color w:val="auto"/>
                      <w:kern w:val="0"/>
                    </w:rPr>
                  </w:pPr>
                  <w:r>
                    <w:rPr>
                      <w:color w:val="auto"/>
                      <w:kern w:val="0"/>
                    </w:rPr>
                    <w:t>产气药</w:t>
                  </w:r>
                </w:p>
              </w:tc>
              <w:tc>
                <w:tcPr>
                  <w:tcW w:w="673" w:type="pct"/>
                  <w:tcBorders>
                    <w:tl2br w:val="nil"/>
                    <w:tr2bl w:val="nil"/>
                  </w:tcBorders>
                  <w:vAlign w:val="center"/>
                </w:tcPr>
                <w:p w14:paraId="3A84F651">
                  <w:pPr>
                    <w:adjustRightInd w:val="0"/>
                    <w:snapToGrid w:val="0"/>
                    <w:jc w:val="center"/>
                    <w:rPr>
                      <w:color w:val="auto"/>
                      <w:kern w:val="0"/>
                    </w:rPr>
                  </w:pPr>
                  <w:r>
                    <w:rPr>
                      <w:color w:val="auto"/>
                      <w:kern w:val="0"/>
                    </w:rPr>
                    <w:t>硝酸胍、硝酸铜等</w:t>
                  </w:r>
                </w:p>
              </w:tc>
              <w:tc>
                <w:tcPr>
                  <w:tcW w:w="453" w:type="pct"/>
                  <w:tcBorders>
                    <w:tl2br w:val="nil"/>
                    <w:tr2bl w:val="nil"/>
                  </w:tcBorders>
                  <w:vAlign w:val="center"/>
                </w:tcPr>
                <w:p w14:paraId="015C725B">
                  <w:pPr>
                    <w:adjustRightInd w:val="0"/>
                    <w:snapToGrid w:val="0"/>
                    <w:jc w:val="center"/>
                    <w:rPr>
                      <w:rFonts w:hint="eastAsia" w:eastAsia="宋体"/>
                      <w:color w:val="auto"/>
                      <w:kern w:val="0"/>
                      <w:lang w:val="en-US" w:eastAsia="zh-CN"/>
                    </w:rPr>
                  </w:pPr>
                  <w:r>
                    <w:rPr>
                      <w:rFonts w:hint="eastAsia"/>
                      <w:color w:val="auto"/>
                      <w:kern w:val="0"/>
                      <w:lang w:val="en-US" w:eastAsia="zh-CN"/>
                    </w:rPr>
                    <w:t>吨</w:t>
                  </w:r>
                </w:p>
              </w:tc>
              <w:tc>
                <w:tcPr>
                  <w:tcW w:w="553" w:type="pct"/>
                  <w:tcBorders>
                    <w:tl2br w:val="nil"/>
                    <w:tr2bl w:val="nil"/>
                  </w:tcBorders>
                  <w:vAlign w:val="center"/>
                </w:tcPr>
                <w:p w14:paraId="3A84F652">
                  <w:pPr>
                    <w:adjustRightInd w:val="0"/>
                    <w:snapToGrid w:val="0"/>
                    <w:jc w:val="center"/>
                    <w:rPr>
                      <w:rFonts w:hint="default" w:eastAsia="宋体"/>
                      <w:color w:val="auto"/>
                      <w:kern w:val="0"/>
                      <w:lang w:val="en-US" w:eastAsia="zh-CN"/>
                    </w:rPr>
                  </w:pPr>
                  <w:r>
                    <w:rPr>
                      <w:rFonts w:hint="eastAsia"/>
                      <w:color w:val="auto"/>
                      <w:kern w:val="0"/>
                      <w:lang w:val="en-US" w:eastAsia="zh-CN"/>
                    </w:rPr>
                    <w:t>120</w:t>
                  </w:r>
                </w:p>
              </w:tc>
              <w:tc>
                <w:tcPr>
                  <w:tcW w:w="553" w:type="pct"/>
                  <w:tcBorders>
                    <w:tl2br w:val="nil"/>
                    <w:tr2bl w:val="nil"/>
                  </w:tcBorders>
                  <w:vAlign w:val="center"/>
                </w:tcPr>
                <w:p w14:paraId="3A84F653">
                  <w:pPr>
                    <w:adjustRightInd w:val="0"/>
                    <w:snapToGrid w:val="0"/>
                    <w:jc w:val="center"/>
                    <w:rPr>
                      <w:color w:val="auto"/>
                      <w:kern w:val="0"/>
                    </w:rPr>
                  </w:pPr>
                  <w:r>
                    <w:rPr>
                      <w:rFonts w:hint="eastAsia"/>
                      <w:color w:val="auto"/>
                      <w:kern w:val="0"/>
                      <w:lang w:val="en-US" w:eastAsia="zh-CN"/>
                    </w:rPr>
                    <w:t>120</w:t>
                  </w:r>
                </w:p>
              </w:tc>
              <w:tc>
                <w:tcPr>
                  <w:tcW w:w="559" w:type="pct"/>
                  <w:tcBorders>
                    <w:tl2br w:val="nil"/>
                    <w:tr2bl w:val="nil"/>
                  </w:tcBorders>
                  <w:vAlign w:val="center"/>
                </w:tcPr>
                <w:p w14:paraId="3A84F654">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655">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656">
                  <w:pPr>
                    <w:adjustRightInd w:val="0"/>
                    <w:snapToGrid w:val="0"/>
                    <w:jc w:val="center"/>
                    <w:rPr>
                      <w:color w:val="auto"/>
                      <w:kern w:val="0"/>
                    </w:rPr>
                  </w:pPr>
                  <w:r>
                    <w:rPr>
                      <w:color w:val="auto"/>
                      <w:kern w:val="0"/>
                    </w:rPr>
                    <w:t>12kg/桶</w:t>
                  </w:r>
                </w:p>
              </w:tc>
              <w:tc>
                <w:tcPr>
                  <w:tcW w:w="554" w:type="pct"/>
                  <w:tcBorders>
                    <w:tl2br w:val="nil"/>
                    <w:tr2bl w:val="nil"/>
                  </w:tcBorders>
                  <w:vAlign w:val="center"/>
                </w:tcPr>
                <w:p w14:paraId="3A84F657">
                  <w:pPr>
                    <w:adjustRightInd w:val="0"/>
                    <w:snapToGrid w:val="0"/>
                    <w:jc w:val="center"/>
                    <w:rPr>
                      <w:color w:val="auto"/>
                      <w:kern w:val="0"/>
                    </w:rPr>
                  </w:pPr>
                  <w:r>
                    <w:rPr>
                      <w:color w:val="auto"/>
                      <w:kern w:val="0"/>
                    </w:rPr>
                    <w:t>15</w:t>
                  </w:r>
                </w:p>
              </w:tc>
            </w:tr>
            <w:tr w14:paraId="3A84F6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59">
                  <w:pPr>
                    <w:adjustRightInd w:val="0"/>
                    <w:snapToGrid w:val="0"/>
                    <w:jc w:val="center"/>
                    <w:rPr>
                      <w:color w:val="auto"/>
                      <w:kern w:val="0"/>
                    </w:rPr>
                  </w:pPr>
                  <w:r>
                    <w:rPr>
                      <w:color w:val="auto"/>
                      <w:kern w:val="0"/>
                    </w:rPr>
                    <w:t>弹簧</w:t>
                  </w:r>
                </w:p>
              </w:tc>
              <w:tc>
                <w:tcPr>
                  <w:tcW w:w="673" w:type="pct"/>
                  <w:tcBorders>
                    <w:tl2br w:val="nil"/>
                    <w:tr2bl w:val="nil"/>
                  </w:tcBorders>
                  <w:vAlign w:val="center"/>
                </w:tcPr>
                <w:p w14:paraId="3A84F65A">
                  <w:pPr>
                    <w:adjustRightInd w:val="0"/>
                    <w:snapToGrid w:val="0"/>
                    <w:jc w:val="center"/>
                    <w:rPr>
                      <w:color w:val="auto"/>
                      <w:kern w:val="0"/>
                    </w:rPr>
                  </w:pPr>
                  <w:r>
                    <w:rPr>
                      <w:color w:val="auto"/>
                      <w:kern w:val="0"/>
                    </w:rPr>
                    <w:t>铁等</w:t>
                  </w:r>
                </w:p>
              </w:tc>
              <w:tc>
                <w:tcPr>
                  <w:tcW w:w="453" w:type="pct"/>
                  <w:tcBorders>
                    <w:tl2br w:val="nil"/>
                    <w:tr2bl w:val="nil"/>
                  </w:tcBorders>
                  <w:vAlign w:val="center"/>
                </w:tcPr>
                <w:p w14:paraId="160B2A8D">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65B">
                  <w:pPr>
                    <w:adjustRightInd w:val="0"/>
                    <w:snapToGrid w:val="0"/>
                    <w:jc w:val="center"/>
                    <w:rPr>
                      <w:color w:val="auto"/>
                      <w:kern w:val="0"/>
                    </w:rPr>
                  </w:pPr>
                  <w:r>
                    <w:rPr>
                      <w:rFonts w:hint="eastAsia"/>
                      <w:color w:val="auto"/>
                      <w:kern w:val="0"/>
                      <w:lang w:val="en-US" w:eastAsia="zh-CN"/>
                    </w:rPr>
                    <w:t>3300</w:t>
                  </w:r>
                </w:p>
              </w:tc>
              <w:tc>
                <w:tcPr>
                  <w:tcW w:w="553" w:type="pct"/>
                  <w:tcBorders>
                    <w:tl2br w:val="nil"/>
                    <w:tr2bl w:val="nil"/>
                  </w:tcBorders>
                  <w:vAlign w:val="center"/>
                </w:tcPr>
                <w:p w14:paraId="3A84F65C">
                  <w:pPr>
                    <w:adjustRightInd w:val="0"/>
                    <w:snapToGrid w:val="0"/>
                    <w:jc w:val="center"/>
                    <w:rPr>
                      <w:color w:val="auto"/>
                      <w:kern w:val="0"/>
                    </w:rPr>
                  </w:pPr>
                  <w:r>
                    <w:rPr>
                      <w:rFonts w:hint="eastAsia"/>
                      <w:color w:val="auto"/>
                      <w:kern w:val="0"/>
                      <w:lang w:val="en-US" w:eastAsia="zh-CN"/>
                    </w:rPr>
                    <w:t>3300</w:t>
                  </w:r>
                </w:p>
              </w:tc>
              <w:tc>
                <w:tcPr>
                  <w:tcW w:w="559" w:type="pct"/>
                  <w:tcBorders>
                    <w:tl2br w:val="nil"/>
                    <w:tr2bl w:val="nil"/>
                  </w:tcBorders>
                  <w:vAlign w:val="center"/>
                </w:tcPr>
                <w:p w14:paraId="3A84F65D">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65E">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65F">
                  <w:pPr>
                    <w:adjustRightInd w:val="0"/>
                    <w:snapToGrid w:val="0"/>
                    <w:jc w:val="center"/>
                    <w:rPr>
                      <w:color w:val="auto"/>
                      <w:kern w:val="0"/>
                    </w:rPr>
                  </w:pPr>
                  <w:r>
                    <w:rPr>
                      <w:color w:val="auto"/>
                      <w:kern w:val="0"/>
                    </w:rPr>
                    <w:t>2500枚/箱</w:t>
                  </w:r>
                </w:p>
              </w:tc>
              <w:tc>
                <w:tcPr>
                  <w:tcW w:w="554" w:type="pct"/>
                  <w:tcBorders>
                    <w:tl2br w:val="nil"/>
                    <w:tr2bl w:val="nil"/>
                  </w:tcBorders>
                  <w:vAlign w:val="center"/>
                </w:tcPr>
                <w:p w14:paraId="3A84F660">
                  <w:pPr>
                    <w:adjustRightInd w:val="0"/>
                    <w:snapToGrid w:val="0"/>
                    <w:jc w:val="center"/>
                    <w:rPr>
                      <w:color w:val="auto"/>
                      <w:kern w:val="0"/>
                    </w:rPr>
                  </w:pPr>
                  <w:r>
                    <w:rPr>
                      <w:color w:val="auto"/>
                      <w:kern w:val="0"/>
                    </w:rPr>
                    <w:t>200</w:t>
                  </w:r>
                </w:p>
              </w:tc>
            </w:tr>
            <w:tr w14:paraId="3A84F6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62">
                  <w:pPr>
                    <w:adjustRightInd w:val="0"/>
                    <w:snapToGrid w:val="0"/>
                    <w:jc w:val="center"/>
                    <w:rPr>
                      <w:color w:val="auto"/>
                      <w:kern w:val="0"/>
                    </w:rPr>
                  </w:pPr>
                  <w:r>
                    <w:rPr>
                      <w:color w:val="auto"/>
                      <w:kern w:val="0"/>
                    </w:rPr>
                    <w:t>基座</w:t>
                  </w:r>
                </w:p>
              </w:tc>
              <w:tc>
                <w:tcPr>
                  <w:tcW w:w="673" w:type="pct"/>
                  <w:tcBorders>
                    <w:tl2br w:val="nil"/>
                    <w:tr2bl w:val="nil"/>
                  </w:tcBorders>
                  <w:vAlign w:val="center"/>
                </w:tcPr>
                <w:p w14:paraId="3A84F663">
                  <w:pPr>
                    <w:adjustRightInd w:val="0"/>
                    <w:snapToGrid w:val="0"/>
                    <w:jc w:val="center"/>
                    <w:rPr>
                      <w:color w:val="auto"/>
                      <w:kern w:val="0"/>
                    </w:rPr>
                  </w:pPr>
                  <w:r>
                    <w:rPr>
                      <w:color w:val="auto"/>
                      <w:kern w:val="0"/>
                    </w:rPr>
                    <w:t>/</w:t>
                  </w:r>
                </w:p>
              </w:tc>
              <w:tc>
                <w:tcPr>
                  <w:tcW w:w="453" w:type="pct"/>
                  <w:tcBorders>
                    <w:tl2br w:val="nil"/>
                    <w:tr2bl w:val="nil"/>
                  </w:tcBorders>
                  <w:vAlign w:val="center"/>
                </w:tcPr>
                <w:p w14:paraId="09119514">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664">
                  <w:pPr>
                    <w:adjustRightInd w:val="0"/>
                    <w:snapToGrid w:val="0"/>
                    <w:jc w:val="center"/>
                    <w:rPr>
                      <w:color w:val="auto"/>
                      <w:kern w:val="0"/>
                    </w:rPr>
                  </w:pPr>
                  <w:r>
                    <w:rPr>
                      <w:rFonts w:hint="eastAsia"/>
                      <w:color w:val="auto"/>
                      <w:kern w:val="0"/>
                      <w:lang w:val="en-US" w:eastAsia="zh-CN"/>
                    </w:rPr>
                    <w:t>3300</w:t>
                  </w:r>
                </w:p>
              </w:tc>
              <w:tc>
                <w:tcPr>
                  <w:tcW w:w="553" w:type="pct"/>
                  <w:tcBorders>
                    <w:tl2br w:val="nil"/>
                    <w:tr2bl w:val="nil"/>
                  </w:tcBorders>
                  <w:vAlign w:val="center"/>
                </w:tcPr>
                <w:p w14:paraId="3A84F665">
                  <w:pPr>
                    <w:adjustRightInd w:val="0"/>
                    <w:snapToGrid w:val="0"/>
                    <w:jc w:val="center"/>
                    <w:rPr>
                      <w:color w:val="auto"/>
                      <w:kern w:val="0"/>
                    </w:rPr>
                  </w:pPr>
                  <w:r>
                    <w:rPr>
                      <w:rFonts w:hint="eastAsia"/>
                      <w:color w:val="auto"/>
                      <w:kern w:val="0"/>
                      <w:lang w:val="en-US" w:eastAsia="zh-CN"/>
                    </w:rPr>
                    <w:t>3300</w:t>
                  </w:r>
                </w:p>
              </w:tc>
              <w:tc>
                <w:tcPr>
                  <w:tcW w:w="559" w:type="pct"/>
                  <w:tcBorders>
                    <w:tl2br w:val="nil"/>
                    <w:tr2bl w:val="nil"/>
                  </w:tcBorders>
                  <w:vAlign w:val="center"/>
                </w:tcPr>
                <w:p w14:paraId="3A84F666">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667">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668">
                  <w:pPr>
                    <w:adjustRightInd w:val="0"/>
                    <w:snapToGrid w:val="0"/>
                    <w:jc w:val="center"/>
                    <w:rPr>
                      <w:color w:val="auto"/>
                      <w:kern w:val="0"/>
                    </w:rPr>
                  </w:pPr>
                  <w:r>
                    <w:rPr>
                      <w:color w:val="auto"/>
                      <w:kern w:val="0"/>
                    </w:rPr>
                    <w:t>112枚/箱</w:t>
                  </w:r>
                </w:p>
              </w:tc>
              <w:tc>
                <w:tcPr>
                  <w:tcW w:w="554" w:type="pct"/>
                  <w:tcBorders>
                    <w:tl2br w:val="nil"/>
                    <w:tr2bl w:val="nil"/>
                  </w:tcBorders>
                  <w:vAlign w:val="center"/>
                </w:tcPr>
                <w:p w14:paraId="3A84F669">
                  <w:pPr>
                    <w:adjustRightInd w:val="0"/>
                    <w:snapToGrid w:val="0"/>
                    <w:jc w:val="center"/>
                    <w:rPr>
                      <w:color w:val="auto"/>
                      <w:kern w:val="0"/>
                    </w:rPr>
                  </w:pPr>
                  <w:r>
                    <w:rPr>
                      <w:color w:val="auto"/>
                      <w:kern w:val="0"/>
                    </w:rPr>
                    <w:t>200</w:t>
                  </w:r>
                </w:p>
              </w:tc>
            </w:tr>
            <w:tr w14:paraId="3A84F67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6B">
                  <w:pPr>
                    <w:adjustRightInd w:val="0"/>
                    <w:snapToGrid w:val="0"/>
                    <w:jc w:val="center"/>
                    <w:rPr>
                      <w:color w:val="auto"/>
                      <w:kern w:val="0"/>
                    </w:rPr>
                  </w:pPr>
                  <w:r>
                    <w:rPr>
                      <w:color w:val="auto"/>
                      <w:kern w:val="0"/>
                    </w:rPr>
                    <w:t>标签</w:t>
                  </w:r>
                </w:p>
              </w:tc>
              <w:tc>
                <w:tcPr>
                  <w:tcW w:w="673" w:type="pct"/>
                  <w:tcBorders>
                    <w:tl2br w:val="nil"/>
                    <w:tr2bl w:val="nil"/>
                  </w:tcBorders>
                  <w:vAlign w:val="center"/>
                </w:tcPr>
                <w:p w14:paraId="3A84F66C">
                  <w:pPr>
                    <w:adjustRightInd w:val="0"/>
                    <w:snapToGrid w:val="0"/>
                    <w:jc w:val="center"/>
                    <w:rPr>
                      <w:color w:val="auto"/>
                      <w:kern w:val="0"/>
                    </w:rPr>
                  </w:pPr>
                  <w:r>
                    <w:rPr>
                      <w:color w:val="auto"/>
                      <w:kern w:val="0"/>
                    </w:rPr>
                    <w:t>/</w:t>
                  </w:r>
                </w:p>
              </w:tc>
              <w:tc>
                <w:tcPr>
                  <w:tcW w:w="453" w:type="pct"/>
                  <w:tcBorders>
                    <w:tl2br w:val="nil"/>
                    <w:tr2bl w:val="nil"/>
                  </w:tcBorders>
                  <w:vAlign w:val="center"/>
                </w:tcPr>
                <w:p w14:paraId="105711B6">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66D">
                  <w:pPr>
                    <w:adjustRightInd w:val="0"/>
                    <w:snapToGrid w:val="0"/>
                    <w:jc w:val="center"/>
                    <w:rPr>
                      <w:color w:val="auto"/>
                      <w:kern w:val="0"/>
                    </w:rPr>
                  </w:pPr>
                  <w:r>
                    <w:rPr>
                      <w:rFonts w:hint="eastAsia"/>
                      <w:color w:val="auto"/>
                      <w:kern w:val="0"/>
                      <w:lang w:val="en-US" w:eastAsia="zh-CN"/>
                    </w:rPr>
                    <w:t>3300</w:t>
                  </w:r>
                </w:p>
              </w:tc>
              <w:tc>
                <w:tcPr>
                  <w:tcW w:w="553" w:type="pct"/>
                  <w:tcBorders>
                    <w:tl2br w:val="nil"/>
                    <w:tr2bl w:val="nil"/>
                  </w:tcBorders>
                  <w:vAlign w:val="center"/>
                </w:tcPr>
                <w:p w14:paraId="3A84F66E">
                  <w:pPr>
                    <w:adjustRightInd w:val="0"/>
                    <w:snapToGrid w:val="0"/>
                    <w:jc w:val="center"/>
                    <w:rPr>
                      <w:color w:val="auto"/>
                      <w:kern w:val="0"/>
                    </w:rPr>
                  </w:pPr>
                  <w:r>
                    <w:rPr>
                      <w:rFonts w:hint="eastAsia"/>
                      <w:color w:val="auto"/>
                      <w:kern w:val="0"/>
                      <w:lang w:val="en-US" w:eastAsia="zh-CN"/>
                    </w:rPr>
                    <w:t>3300</w:t>
                  </w:r>
                </w:p>
              </w:tc>
              <w:tc>
                <w:tcPr>
                  <w:tcW w:w="559" w:type="pct"/>
                  <w:tcBorders>
                    <w:tl2br w:val="nil"/>
                    <w:tr2bl w:val="nil"/>
                  </w:tcBorders>
                  <w:vAlign w:val="center"/>
                </w:tcPr>
                <w:p w14:paraId="3A84F66F">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670">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671">
                  <w:pPr>
                    <w:adjustRightInd w:val="0"/>
                    <w:snapToGrid w:val="0"/>
                    <w:jc w:val="center"/>
                    <w:rPr>
                      <w:color w:val="auto"/>
                      <w:kern w:val="0"/>
                    </w:rPr>
                  </w:pPr>
                  <w:r>
                    <w:rPr>
                      <w:color w:val="auto"/>
                      <w:kern w:val="0"/>
                    </w:rPr>
                    <w:t>5000枚/箱</w:t>
                  </w:r>
                </w:p>
              </w:tc>
              <w:tc>
                <w:tcPr>
                  <w:tcW w:w="554" w:type="pct"/>
                  <w:tcBorders>
                    <w:tl2br w:val="nil"/>
                    <w:tr2bl w:val="nil"/>
                  </w:tcBorders>
                  <w:vAlign w:val="center"/>
                </w:tcPr>
                <w:p w14:paraId="3A84F672">
                  <w:pPr>
                    <w:adjustRightInd w:val="0"/>
                    <w:snapToGrid w:val="0"/>
                    <w:jc w:val="center"/>
                    <w:rPr>
                      <w:color w:val="auto"/>
                      <w:kern w:val="0"/>
                    </w:rPr>
                  </w:pPr>
                  <w:r>
                    <w:rPr>
                      <w:color w:val="auto"/>
                      <w:kern w:val="0"/>
                    </w:rPr>
                    <w:t>200</w:t>
                  </w:r>
                </w:p>
              </w:tc>
            </w:tr>
            <w:tr w14:paraId="3A84F6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74">
                  <w:pPr>
                    <w:adjustRightInd w:val="0"/>
                    <w:snapToGrid w:val="0"/>
                    <w:jc w:val="center"/>
                    <w:rPr>
                      <w:color w:val="auto"/>
                      <w:kern w:val="0"/>
                    </w:rPr>
                  </w:pPr>
                  <w:r>
                    <w:rPr>
                      <w:color w:val="auto"/>
                      <w:kern w:val="0"/>
                    </w:rPr>
                    <w:t>扩散体</w:t>
                  </w:r>
                </w:p>
              </w:tc>
              <w:tc>
                <w:tcPr>
                  <w:tcW w:w="673" w:type="pct"/>
                  <w:tcBorders>
                    <w:tl2br w:val="nil"/>
                    <w:tr2bl w:val="nil"/>
                  </w:tcBorders>
                  <w:vAlign w:val="center"/>
                </w:tcPr>
                <w:p w14:paraId="3A84F675">
                  <w:pPr>
                    <w:adjustRightInd w:val="0"/>
                    <w:snapToGrid w:val="0"/>
                    <w:jc w:val="center"/>
                    <w:rPr>
                      <w:color w:val="auto"/>
                      <w:kern w:val="0"/>
                    </w:rPr>
                  </w:pPr>
                  <w:r>
                    <w:rPr>
                      <w:color w:val="auto"/>
                      <w:kern w:val="0"/>
                    </w:rPr>
                    <w:t>/</w:t>
                  </w:r>
                </w:p>
              </w:tc>
              <w:tc>
                <w:tcPr>
                  <w:tcW w:w="453" w:type="pct"/>
                  <w:tcBorders>
                    <w:tl2br w:val="nil"/>
                    <w:tr2bl w:val="nil"/>
                  </w:tcBorders>
                  <w:vAlign w:val="center"/>
                </w:tcPr>
                <w:p w14:paraId="390FD71F">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676">
                  <w:pPr>
                    <w:adjustRightInd w:val="0"/>
                    <w:snapToGrid w:val="0"/>
                    <w:jc w:val="center"/>
                    <w:rPr>
                      <w:color w:val="auto"/>
                      <w:kern w:val="0"/>
                    </w:rPr>
                  </w:pPr>
                  <w:r>
                    <w:rPr>
                      <w:rFonts w:hint="eastAsia"/>
                      <w:color w:val="auto"/>
                      <w:kern w:val="0"/>
                      <w:lang w:val="en-US" w:eastAsia="zh-CN"/>
                    </w:rPr>
                    <w:t>3300</w:t>
                  </w:r>
                </w:p>
              </w:tc>
              <w:tc>
                <w:tcPr>
                  <w:tcW w:w="553" w:type="pct"/>
                  <w:tcBorders>
                    <w:tl2br w:val="nil"/>
                    <w:tr2bl w:val="nil"/>
                  </w:tcBorders>
                  <w:vAlign w:val="center"/>
                </w:tcPr>
                <w:p w14:paraId="3A84F677">
                  <w:pPr>
                    <w:adjustRightInd w:val="0"/>
                    <w:snapToGrid w:val="0"/>
                    <w:jc w:val="center"/>
                    <w:rPr>
                      <w:color w:val="auto"/>
                      <w:kern w:val="0"/>
                    </w:rPr>
                  </w:pPr>
                  <w:r>
                    <w:rPr>
                      <w:rFonts w:hint="eastAsia"/>
                      <w:color w:val="auto"/>
                      <w:kern w:val="0"/>
                      <w:lang w:val="en-US" w:eastAsia="zh-CN"/>
                    </w:rPr>
                    <w:t>3300</w:t>
                  </w:r>
                </w:p>
              </w:tc>
              <w:tc>
                <w:tcPr>
                  <w:tcW w:w="559" w:type="pct"/>
                  <w:tcBorders>
                    <w:tl2br w:val="nil"/>
                    <w:tr2bl w:val="nil"/>
                  </w:tcBorders>
                  <w:vAlign w:val="center"/>
                </w:tcPr>
                <w:p w14:paraId="3A84F678">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679">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67A">
                  <w:pPr>
                    <w:adjustRightInd w:val="0"/>
                    <w:snapToGrid w:val="0"/>
                    <w:jc w:val="center"/>
                    <w:rPr>
                      <w:color w:val="auto"/>
                      <w:kern w:val="0"/>
                    </w:rPr>
                  </w:pPr>
                  <w:r>
                    <w:rPr>
                      <w:color w:val="auto"/>
                      <w:kern w:val="0"/>
                    </w:rPr>
                    <w:t>200枚/箱</w:t>
                  </w:r>
                </w:p>
              </w:tc>
              <w:tc>
                <w:tcPr>
                  <w:tcW w:w="554" w:type="pct"/>
                  <w:tcBorders>
                    <w:tl2br w:val="nil"/>
                    <w:tr2bl w:val="nil"/>
                  </w:tcBorders>
                  <w:vAlign w:val="center"/>
                </w:tcPr>
                <w:p w14:paraId="3A84F67B">
                  <w:pPr>
                    <w:adjustRightInd w:val="0"/>
                    <w:snapToGrid w:val="0"/>
                    <w:jc w:val="center"/>
                    <w:rPr>
                      <w:color w:val="auto"/>
                      <w:kern w:val="0"/>
                    </w:rPr>
                  </w:pPr>
                  <w:r>
                    <w:rPr>
                      <w:color w:val="auto"/>
                      <w:kern w:val="0"/>
                    </w:rPr>
                    <w:t>200</w:t>
                  </w:r>
                </w:p>
              </w:tc>
            </w:tr>
            <w:tr w14:paraId="3A84F68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7D">
                  <w:pPr>
                    <w:adjustRightInd w:val="0"/>
                    <w:snapToGrid w:val="0"/>
                    <w:jc w:val="center"/>
                    <w:rPr>
                      <w:color w:val="auto"/>
                      <w:kern w:val="0"/>
                    </w:rPr>
                  </w:pPr>
                  <w:r>
                    <w:rPr>
                      <w:color w:val="auto"/>
                      <w:kern w:val="0"/>
                    </w:rPr>
                    <w:t>爆破片</w:t>
                  </w:r>
                </w:p>
              </w:tc>
              <w:tc>
                <w:tcPr>
                  <w:tcW w:w="673" w:type="pct"/>
                  <w:tcBorders>
                    <w:tl2br w:val="nil"/>
                    <w:tr2bl w:val="nil"/>
                  </w:tcBorders>
                  <w:vAlign w:val="center"/>
                </w:tcPr>
                <w:p w14:paraId="3A84F67E">
                  <w:pPr>
                    <w:adjustRightInd w:val="0"/>
                    <w:snapToGrid w:val="0"/>
                    <w:jc w:val="center"/>
                    <w:rPr>
                      <w:color w:val="auto"/>
                      <w:kern w:val="0"/>
                    </w:rPr>
                  </w:pPr>
                  <w:r>
                    <w:rPr>
                      <w:color w:val="auto"/>
                      <w:kern w:val="0"/>
                    </w:rPr>
                    <w:t>/</w:t>
                  </w:r>
                </w:p>
              </w:tc>
              <w:tc>
                <w:tcPr>
                  <w:tcW w:w="453" w:type="pct"/>
                  <w:tcBorders>
                    <w:tl2br w:val="nil"/>
                    <w:tr2bl w:val="nil"/>
                  </w:tcBorders>
                  <w:vAlign w:val="center"/>
                </w:tcPr>
                <w:p w14:paraId="58D909F7">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67F">
                  <w:pPr>
                    <w:adjustRightInd w:val="0"/>
                    <w:snapToGrid w:val="0"/>
                    <w:jc w:val="center"/>
                    <w:rPr>
                      <w:color w:val="auto"/>
                      <w:kern w:val="0"/>
                    </w:rPr>
                  </w:pPr>
                  <w:r>
                    <w:rPr>
                      <w:rFonts w:hint="eastAsia"/>
                      <w:color w:val="auto"/>
                      <w:kern w:val="0"/>
                      <w:lang w:val="en-US" w:eastAsia="zh-CN"/>
                    </w:rPr>
                    <w:t>3300</w:t>
                  </w:r>
                </w:p>
              </w:tc>
              <w:tc>
                <w:tcPr>
                  <w:tcW w:w="553" w:type="pct"/>
                  <w:tcBorders>
                    <w:tl2br w:val="nil"/>
                    <w:tr2bl w:val="nil"/>
                  </w:tcBorders>
                  <w:vAlign w:val="center"/>
                </w:tcPr>
                <w:p w14:paraId="3A84F680">
                  <w:pPr>
                    <w:adjustRightInd w:val="0"/>
                    <w:snapToGrid w:val="0"/>
                    <w:jc w:val="center"/>
                    <w:rPr>
                      <w:color w:val="auto"/>
                      <w:kern w:val="0"/>
                    </w:rPr>
                  </w:pPr>
                  <w:r>
                    <w:rPr>
                      <w:rFonts w:hint="eastAsia"/>
                      <w:color w:val="auto"/>
                      <w:kern w:val="0"/>
                      <w:lang w:val="en-US" w:eastAsia="zh-CN"/>
                    </w:rPr>
                    <w:t>3300</w:t>
                  </w:r>
                </w:p>
              </w:tc>
              <w:tc>
                <w:tcPr>
                  <w:tcW w:w="559" w:type="pct"/>
                  <w:tcBorders>
                    <w:tl2br w:val="nil"/>
                    <w:tr2bl w:val="nil"/>
                  </w:tcBorders>
                  <w:vAlign w:val="center"/>
                </w:tcPr>
                <w:p w14:paraId="3A84F681">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682">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683">
                  <w:pPr>
                    <w:adjustRightInd w:val="0"/>
                    <w:snapToGrid w:val="0"/>
                    <w:jc w:val="center"/>
                    <w:rPr>
                      <w:color w:val="auto"/>
                      <w:kern w:val="0"/>
                    </w:rPr>
                  </w:pPr>
                  <w:r>
                    <w:rPr>
                      <w:color w:val="auto"/>
                      <w:kern w:val="0"/>
                    </w:rPr>
                    <w:t>10000枚/箱</w:t>
                  </w:r>
                </w:p>
              </w:tc>
              <w:tc>
                <w:tcPr>
                  <w:tcW w:w="554" w:type="pct"/>
                  <w:tcBorders>
                    <w:tl2br w:val="nil"/>
                    <w:tr2bl w:val="nil"/>
                  </w:tcBorders>
                  <w:vAlign w:val="center"/>
                </w:tcPr>
                <w:p w14:paraId="3A84F684">
                  <w:pPr>
                    <w:adjustRightInd w:val="0"/>
                    <w:snapToGrid w:val="0"/>
                    <w:jc w:val="center"/>
                    <w:rPr>
                      <w:color w:val="auto"/>
                      <w:kern w:val="0"/>
                    </w:rPr>
                  </w:pPr>
                  <w:r>
                    <w:rPr>
                      <w:color w:val="auto"/>
                      <w:kern w:val="0"/>
                    </w:rPr>
                    <w:t>200</w:t>
                  </w:r>
                </w:p>
              </w:tc>
            </w:tr>
            <w:tr w14:paraId="3A84F6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86">
                  <w:pPr>
                    <w:adjustRightInd w:val="0"/>
                    <w:snapToGrid w:val="0"/>
                    <w:jc w:val="center"/>
                    <w:rPr>
                      <w:color w:val="auto"/>
                      <w:kern w:val="0"/>
                    </w:rPr>
                  </w:pPr>
                  <w:r>
                    <w:rPr>
                      <w:color w:val="auto"/>
                      <w:kern w:val="0"/>
                    </w:rPr>
                    <w:t>氦气</w:t>
                  </w:r>
                </w:p>
              </w:tc>
              <w:tc>
                <w:tcPr>
                  <w:tcW w:w="673" w:type="pct"/>
                  <w:tcBorders>
                    <w:tl2br w:val="nil"/>
                    <w:tr2bl w:val="nil"/>
                  </w:tcBorders>
                  <w:vAlign w:val="center"/>
                </w:tcPr>
                <w:p w14:paraId="3A84F687">
                  <w:pPr>
                    <w:adjustRightInd w:val="0"/>
                    <w:snapToGrid w:val="0"/>
                    <w:jc w:val="center"/>
                    <w:rPr>
                      <w:color w:val="auto"/>
                      <w:kern w:val="0"/>
                    </w:rPr>
                  </w:pPr>
                  <w:r>
                    <w:rPr>
                      <w:color w:val="auto"/>
                      <w:kern w:val="0"/>
                    </w:rPr>
                    <w:t>NH</w:t>
                  </w:r>
                  <w:r>
                    <w:rPr>
                      <w:color w:val="auto"/>
                      <w:kern w:val="0"/>
                      <w:vertAlign w:val="subscript"/>
                    </w:rPr>
                    <w:t>3</w:t>
                  </w:r>
                </w:p>
              </w:tc>
              <w:tc>
                <w:tcPr>
                  <w:tcW w:w="453" w:type="pct"/>
                  <w:tcBorders>
                    <w:tl2br w:val="nil"/>
                    <w:tr2bl w:val="nil"/>
                  </w:tcBorders>
                  <w:vAlign w:val="center"/>
                </w:tcPr>
                <w:p w14:paraId="6F084612">
                  <w:pPr>
                    <w:adjustRightInd w:val="0"/>
                    <w:snapToGrid w:val="0"/>
                    <w:jc w:val="center"/>
                    <w:rPr>
                      <w:rFonts w:hint="eastAsia" w:eastAsia="宋体"/>
                      <w:color w:val="auto"/>
                      <w:kern w:val="0"/>
                      <w:lang w:val="en-US" w:eastAsia="zh-CN"/>
                    </w:rPr>
                  </w:pPr>
                  <w:r>
                    <w:rPr>
                      <w:rFonts w:hint="eastAsia"/>
                      <w:color w:val="auto"/>
                      <w:kern w:val="0"/>
                      <w:lang w:val="en-US" w:eastAsia="zh-CN"/>
                    </w:rPr>
                    <w:t>m</w:t>
                  </w:r>
                  <w:r>
                    <w:rPr>
                      <w:rFonts w:hint="eastAsia"/>
                      <w:color w:val="auto"/>
                      <w:kern w:val="0"/>
                      <w:vertAlign w:val="superscript"/>
                      <w:lang w:val="en-US" w:eastAsia="zh-CN"/>
                    </w:rPr>
                    <w:t>3</w:t>
                  </w:r>
                </w:p>
              </w:tc>
              <w:tc>
                <w:tcPr>
                  <w:tcW w:w="553" w:type="pct"/>
                  <w:tcBorders>
                    <w:tl2br w:val="nil"/>
                    <w:tr2bl w:val="nil"/>
                  </w:tcBorders>
                  <w:vAlign w:val="center"/>
                </w:tcPr>
                <w:p w14:paraId="3A84F688">
                  <w:pPr>
                    <w:adjustRightInd w:val="0"/>
                    <w:snapToGrid w:val="0"/>
                    <w:jc w:val="center"/>
                    <w:rPr>
                      <w:color w:val="auto"/>
                      <w:kern w:val="0"/>
                    </w:rPr>
                  </w:pPr>
                  <w:r>
                    <w:rPr>
                      <w:color w:val="auto"/>
                      <w:kern w:val="0"/>
                    </w:rPr>
                    <w:t>1000</w:t>
                  </w:r>
                </w:p>
              </w:tc>
              <w:tc>
                <w:tcPr>
                  <w:tcW w:w="553" w:type="pct"/>
                  <w:tcBorders>
                    <w:tl2br w:val="nil"/>
                    <w:tr2bl w:val="nil"/>
                  </w:tcBorders>
                  <w:vAlign w:val="center"/>
                </w:tcPr>
                <w:p w14:paraId="3A84F689">
                  <w:pPr>
                    <w:adjustRightInd w:val="0"/>
                    <w:snapToGrid w:val="0"/>
                    <w:jc w:val="center"/>
                    <w:rPr>
                      <w:color w:val="auto"/>
                      <w:kern w:val="0"/>
                    </w:rPr>
                  </w:pPr>
                  <w:r>
                    <w:rPr>
                      <w:color w:val="auto"/>
                      <w:kern w:val="0"/>
                    </w:rPr>
                    <w:t>1000</w:t>
                  </w:r>
                </w:p>
              </w:tc>
              <w:tc>
                <w:tcPr>
                  <w:tcW w:w="559" w:type="pct"/>
                  <w:tcBorders>
                    <w:tl2br w:val="nil"/>
                    <w:tr2bl w:val="nil"/>
                  </w:tcBorders>
                  <w:vAlign w:val="center"/>
                </w:tcPr>
                <w:p w14:paraId="3A84F68A">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68B">
                  <w:pPr>
                    <w:adjustRightInd w:val="0"/>
                    <w:snapToGrid w:val="0"/>
                    <w:jc w:val="center"/>
                    <w:rPr>
                      <w:rFonts w:hint="eastAsia" w:eastAsia="宋体"/>
                      <w:color w:val="auto"/>
                      <w:kern w:val="0"/>
                      <w:lang w:val="en-US" w:eastAsia="zh-CN"/>
                    </w:rPr>
                  </w:pPr>
                  <w:r>
                    <w:rPr>
                      <w:rFonts w:hint="eastAsia"/>
                      <w:color w:val="auto"/>
                      <w:kern w:val="0"/>
                      <w:lang w:val="en-US" w:eastAsia="zh-CN"/>
                    </w:rPr>
                    <w:t>气</w:t>
                  </w:r>
                </w:p>
              </w:tc>
              <w:tc>
                <w:tcPr>
                  <w:tcW w:w="681" w:type="pct"/>
                  <w:tcBorders>
                    <w:tl2br w:val="nil"/>
                    <w:tr2bl w:val="nil"/>
                  </w:tcBorders>
                  <w:vAlign w:val="center"/>
                </w:tcPr>
                <w:p w14:paraId="3A84F68C">
                  <w:pPr>
                    <w:adjustRightInd w:val="0"/>
                    <w:snapToGrid w:val="0"/>
                    <w:jc w:val="center"/>
                    <w:rPr>
                      <w:color w:val="auto"/>
                      <w:kern w:val="0"/>
                    </w:rPr>
                  </w:pPr>
                  <w:r>
                    <w:rPr>
                      <w:color w:val="auto"/>
                      <w:kern w:val="0"/>
                    </w:rPr>
                    <w:t>储罐</w:t>
                  </w:r>
                </w:p>
              </w:tc>
              <w:tc>
                <w:tcPr>
                  <w:tcW w:w="554" w:type="pct"/>
                  <w:tcBorders>
                    <w:tl2br w:val="nil"/>
                    <w:tr2bl w:val="nil"/>
                  </w:tcBorders>
                  <w:vAlign w:val="center"/>
                </w:tcPr>
                <w:p w14:paraId="3A84F68D">
                  <w:pPr>
                    <w:adjustRightInd w:val="0"/>
                    <w:snapToGrid w:val="0"/>
                    <w:jc w:val="center"/>
                    <w:rPr>
                      <w:color w:val="auto"/>
                      <w:kern w:val="0"/>
                    </w:rPr>
                  </w:pPr>
                  <w:r>
                    <w:rPr>
                      <w:color w:val="auto"/>
                      <w:kern w:val="0"/>
                    </w:rPr>
                    <w:t>22.5</w:t>
                  </w:r>
                </w:p>
              </w:tc>
            </w:tr>
            <w:tr w14:paraId="3A84F69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8F">
                  <w:pPr>
                    <w:adjustRightInd w:val="0"/>
                    <w:snapToGrid w:val="0"/>
                    <w:jc w:val="center"/>
                    <w:rPr>
                      <w:color w:val="auto"/>
                      <w:kern w:val="0"/>
                    </w:rPr>
                  </w:pPr>
                  <w:r>
                    <w:rPr>
                      <w:color w:val="auto"/>
                      <w:kern w:val="0"/>
                    </w:rPr>
                    <w:t>氩气</w:t>
                  </w:r>
                </w:p>
              </w:tc>
              <w:tc>
                <w:tcPr>
                  <w:tcW w:w="673" w:type="pct"/>
                  <w:tcBorders>
                    <w:tl2br w:val="nil"/>
                    <w:tr2bl w:val="nil"/>
                  </w:tcBorders>
                  <w:vAlign w:val="center"/>
                </w:tcPr>
                <w:p w14:paraId="3A84F690">
                  <w:pPr>
                    <w:adjustRightInd w:val="0"/>
                    <w:snapToGrid w:val="0"/>
                    <w:jc w:val="center"/>
                    <w:rPr>
                      <w:color w:val="auto"/>
                      <w:kern w:val="0"/>
                    </w:rPr>
                  </w:pPr>
                  <w:r>
                    <w:rPr>
                      <w:color w:val="auto"/>
                      <w:kern w:val="0"/>
                    </w:rPr>
                    <w:t>Ar</w:t>
                  </w:r>
                </w:p>
              </w:tc>
              <w:tc>
                <w:tcPr>
                  <w:tcW w:w="453" w:type="pct"/>
                  <w:tcBorders>
                    <w:tl2br w:val="nil"/>
                    <w:tr2bl w:val="nil"/>
                  </w:tcBorders>
                  <w:vAlign w:val="center"/>
                </w:tcPr>
                <w:p w14:paraId="5344D5B7">
                  <w:pPr>
                    <w:adjustRightInd w:val="0"/>
                    <w:snapToGrid w:val="0"/>
                    <w:jc w:val="center"/>
                    <w:rPr>
                      <w:color w:val="auto"/>
                      <w:kern w:val="0"/>
                    </w:rPr>
                  </w:pPr>
                  <w:r>
                    <w:rPr>
                      <w:rFonts w:hint="eastAsia"/>
                      <w:color w:val="auto"/>
                      <w:kern w:val="0"/>
                      <w:lang w:val="en-US" w:eastAsia="zh-CN"/>
                    </w:rPr>
                    <w:t>m</w:t>
                  </w:r>
                  <w:r>
                    <w:rPr>
                      <w:rFonts w:hint="eastAsia"/>
                      <w:color w:val="auto"/>
                      <w:kern w:val="0"/>
                      <w:vertAlign w:val="superscript"/>
                      <w:lang w:val="en-US" w:eastAsia="zh-CN"/>
                    </w:rPr>
                    <w:t>3</w:t>
                  </w:r>
                </w:p>
              </w:tc>
              <w:tc>
                <w:tcPr>
                  <w:tcW w:w="553" w:type="pct"/>
                  <w:tcBorders>
                    <w:tl2br w:val="nil"/>
                    <w:tr2bl w:val="nil"/>
                  </w:tcBorders>
                  <w:vAlign w:val="center"/>
                </w:tcPr>
                <w:p w14:paraId="3A84F691">
                  <w:pPr>
                    <w:adjustRightInd w:val="0"/>
                    <w:snapToGrid w:val="0"/>
                    <w:jc w:val="center"/>
                    <w:rPr>
                      <w:color w:val="auto"/>
                      <w:kern w:val="0"/>
                    </w:rPr>
                  </w:pPr>
                  <w:r>
                    <w:rPr>
                      <w:color w:val="auto"/>
                      <w:kern w:val="0"/>
                    </w:rPr>
                    <w:t>1000</w:t>
                  </w:r>
                </w:p>
              </w:tc>
              <w:tc>
                <w:tcPr>
                  <w:tcW w:w="553" w:type="pct"/>
                  <w:tcBorders>
                    <w:tl2br w:val="nil"/>
                    <w:tr2bl w:val="nil"/>
                  </w:tcBorders>
                  <w:vAlign w:val="center"/>
                </w:tcPr>
                <w:p w14:paraId="3A84F692">
                  <w:pPr>
                    <w:adjustRightInd w:val="0"/>
                    <w:snapToGrid w:val="0"/>
                    <w:jc w:val="center"/>
                    <w:rPr>
                      <w:color w:val="auto"/>
                      <w:kern w:val="0"/>
                    </w:rPr>
                  </w:pPr>
                  <w:r>
                    <w:rPr>
                      <w:color w:val="auto"/>
                      <w:kern w:val="0"/>
                    </w:rPr>
                    <w:t>1000</w:t>
                  </w:r>
                </w:p>
              </w:tc>
              <w:tc>
                <w:tcPr>
                  <w:tcW w:w="559" w:type="pct"/>
                  <w:tcBorders>
                    <w:tl2br w:val="nil"/>
                    <w:tr2bl w:val="nil"/>
                  </w:tcBorders>
                  <w:vAlign w:val="center"/>
                </w:tcPr>
                <w:p w14:paraId="3A84F693">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694">
                  <w:pPr>
                    <w:adjustRightInd w:val="0"/>
                    <w:snapToGrid w:val="0"/>
                    <w:jc w:val="center"/>
                    <w:rPr>
                      <w:color w:val="auto"/>
                      <w:kern w:val="0"/>
                    </w:rPr>
                  </w:pPr>
                  <w:r>
                    <w:rPr>
                      <w:rFonts w:hint="eastAsia"/>
                      <w:color w:val="auto"/>
                      <w:kern w:val="0"/>
                      <w:lang w:val="en-US" w:eastAsia="zh-CN"/>
                    </w:rPr>
                    <w:t>气</w:t>
                  </w:r>
                </w:p>
              </w:tc>
              <w:tc>
                <w:tcPr>
                  <w:tcW w:w="681" w:type="pct"/>
                  <w:tcBorders>
                    <w:tl2br w:val="nil"/>
                    <w:tr2bl w:val="nil"/>
                  </w:tcBorders>
                  <w:vAlign w:val="center"/>
                </w:tcPr>
                <w:p w14:paraId="3A84F695">
                  <w:pPr>
                    <w:adjustRightInd w:val="0"/>
                    <w:snapToGrid w:val="0"/>
                    <w:jc w:val="center"/>
                    <w:rPr>
                      <w:color w:val="auto"/>
                      <w:kern w:val="0"/>
                    </w:rPr>
                  </w:pPr>
                  <w:r>
                    <w:rPr>
                      <w:color w:val="auto"/>
                      <w:kern w:val="0"/>
                    </w:rPr>
                    <w:t>储罐</w:t>
                  </w:r>
                </w:p>
              </w:tc>
              <w:tc>
                <w:tcPr>
                  <w:tcW w:w="554" w:type="pct"/>
                  <w:tcBorders>
                    <w:tl2br w:val="nil"/>
                    <w:tr2bl w:val="nil"/>
                  </w:tcBorders>
                  <w:vAlign w:val="center"/>
                </w:tcPr>
                <w:p w14:paraId="3A84F696">
                  <w:pPr>
                    <w:adjustRightInd w:val="0"/>
                    <w:snapToGrid w:val="0"/>
                    <w:jc w:val="center"/>
                    <w:rPr>
                      <w:color w:val="auto"/>
                      <w:kern w:val="0"/>
                    </w:rPr>
                  </w:pPr>
                  <w:r>
                    <w:rPr>
                      <w:color w:val="auto"/>
                      <w:kern w:val="0"/>
                    </w:rPr>
                    <w:t>30</w:t>
                  </w:r>
                </w:p>
              </w:tc>
            </w:tr>
            <w:tr w14:paraId="3A84F6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98">
                  <w:pPr>
                    <w:adjustRightInd w:val="0"/>
                    <w:snapToGrid w:val="0"/>
                    <w:jc w:val="center"/>
                    <w:rPr>
                      <w:color w:val="auto"/>
                      <w:kern w:val="0"/>
                    </w:rPr>
                  </w:pPr>
                  <w:r>
                    <w:rPr>
                      <w:color w:val="auto"/>
                      <w:kern w:val="0"/>
                    </w:rPr>
                    <w:t>氮气</w:t>
                  </w:r>
                </w:p>
              </w:tc>
              <w:tc>
                <w:tcPr>
                  <w:tcW w:w="673" w:type="pct"/>
                  <w:tcBorders>
                    <w:tl2br w:val="nil"/>
                    <w:tr2bl w:val="nil"/>
                  </w:tcBorders>
                  <w:vAlign w:val="center"/>
                </w:tcPr>
                <w:p w14:paraId="3A84F699">
                  <w:pPr>
                    <w:adjustRightInd w:val="0"/>
                    <w:snapToGrid w:val="0"/>
                    <w:jc w:val="center"/>
                    <w:rPr>
                      <w:color w:val="auto"/>
                      <w:kern w:val="0"/>
                    </w:rPr>
                  </w:pPr>
                  <w:r>
                    <w:rPr>
                      <w:color w:val="auto"/>
                      <w:kern w:val="0"/>
                    </w:rPr>
                    <w:t>N</w:t>
                  </w:r>
                  <w:r>
                    <w:rPr>
                      <w:color w:val="auto"/>
                      <w:kern w:val="0"/>
                      <w:vertAlign w:val="subscript"/>
                    </w:rPr>
                    <w:t>2</w:t>
                  </w:r>
                </w:p>
              </w:tc>
              <w:tc>
                <w:tcPr>
                  <w:tcW w:w="453" w:type="pct"/>
                  <w:tcBorders>
                    <w:tl2br w:val="nil"/>
                    <w:tr2bl w:val="nil"/>
                  </w:tcBorders>
                  <w:vAlign w:val="center"/>
                </w:tcPr>
                <w:p w14:paraId="723C2BE4">
                  <w:pPr>
                    <w:adjustRightInd w:val="0"/>
                    <w:snapToGrid w:val="0"/>
                    <w:jc w:val="center"/>
                    <w:rPr>
                      <w:color w:val="auto"/>
                      <w:kern w:val="0"/>
                    </w:rPr>
                  </w:pPr>
                  <w:r>
                    <w:rPr>
                      <w:rFonts w:hint="eastAsia"/>
                      <w:color w:val="auto"/>
                      <w:kern w:val="0"/>
                      <w:lang w:val="en-US" w:eastAsia="zh-CN"/>
                    </w:rPr>
                    <w:t>m</w:t>
                  </w:r>
                  <w:r>
                    <w:rPr>
                      <w:rFonts w:hint="eastAsia"/>
                      <w:color w:val="auto"/>
                      <w:kern w:val="0"/>
                      <w:vertAlign w:val="superscript"/>
                      <w:lang w:val="en-US" w:eastAsia="zh-CN"/>
                    </w:rPr>
                    <w:t>3</w:t>
                  </w:r>
                </w:p>
              </w:tc>
              <w:tc>
                <w:tcPr>
                  <w:tcW w:w="553" w:type="pct"/>
                  <w:tcBorders>
                    <w:tl2br w:val="nil"/>
                    <w:tr2bl w:val="nil"/>
                  </w:tcBorders>
                  <w:vAlign w:val="center"/>
                </w:tcPr>
                <w:p w14:paraId="3A84F69A">
                  <w:pPr>
                    <w:adjustRightInd w:val="0"/>
                    <w:snapToGrid w:val="0"/>
                    <w:jc w:val="center"/>
                    <w:rPr>
                      <w:color w:val="auto"/>
                      <w:kern w:val="0"/>
                    </w:rPr>
                  </w:pPr>
                  <w:r>
                    <w:rPr>
                      <w:color w:val="auto"/>
                      <w:kern w:val="0"/>
                    </w:rPr>
                    <w:t>100</w:t>
                  </w:r>
                </w:p>
              </w:tc>
              <w:tc>
                <w:tcPr>
                  <w:tcW w:w="553" w:type="pct"/>
                  <w:tcBorders>
                    <w:tl2br w:val="nil"/>
                    <w:tr2bl w:val="nil"/>
                  </w:tcBorders>
                  <w:vAlign w:val="center"/>
                </w:tcPr>
                <w:p w14:paraId="3A84F69B">
                  <w:pPr>
                    <w:adjustRightInd w:val="0"/>
                    <w:snapToGrid w:val="0"/>
                    <w:jc w:val="center"/>
                    <w:rPr>
                      <w:color w:val="auto"/>
                      <w:kern w:val="0"/>
                    </w:rPr>
                  </w:pPr>
                  <w:r>
                    <w:rPr>
                      <w:color w:val="auto"/>
                      <w:kern w:val="0"/>
                    </w:rPr>
                    <w:t>100</w:t>
                  </w:r>
                </w:p>
              </w:tc>
              <w:tc>
                <w:tcPr>
                  <w:tcW w:w="559" w:type="pct"/>
                  <w:tcBorders>
                    <w:tl2br w:val="nil"/>
                    <w:tr2bl w:val="nil"/>
                  </w:tcBorders>
                  <w:vAlign w:val="center"/>
                </w:tcPr>
                <w:p w14:paraId="3A84F69C">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69D">
                  <w:pPr>
                    <w:adjustRightInd w:val="0"/>
                    <w:snapToGrid w:val="0"/>
                    <w:jc w:val="center"/>
                    <w:rPr>
                      <w:color w:val="auto"/>
                      <w:kern w:val="0"/>
                    </w:rPr>
                  </w:pPr>
                  <w:r>
                    <w:rPr>
                      <w:rFonts w:hint="eastAsia"/>
                      <w:color w:val="auto"/>
                      <w:kern w:val="0"/>
                      <w:lang w:val="en-US" w:eastAsia="zh-CN"/>
                    </w:rPr>
                    <w:t>气</w:t>
                  </w:r>
                </w:p>
              </w:tc>
              <w:tc>
                <w:tcPr>
                  <w:tcW w:w="681" w:type="pct"/>
                  <w:tcBorders>
                    <w:tl2br w:val="nil"/>
                    <w:tr2bl w:val="nil"/>
                  </w:tcBorders>
                  <w:vAlign w:val="center"/>
                </w:tcPr>
                <w:p w14:paraId="3A84F69E">
                  <w:pPr>
                    <w:adjustRightInd w:val="0"/>
                    <w:snapToGrid w:val="0"/>
                    <w:jc w:val="center"/>
                    <w:rPr>
                      <w:color w:val="auto"/>
                      <w:kern w:val="0"/>
                    </w:rPr>
                  </w:pPr>
                  <w:r>
                    <w:rPr>
                      <w:color w:val="auto"/>
                      <w:kern w:val="0"/>
                    </w:rPr>
                    <w:t>储罐</w:t>
                  </w:r>
                </w:p>
              </w:tc>
              <w:tc>
                <w:tcPr>
                  <w:tcW w:w="554" w:type="pct"/>
                  <w:tcBorders>
                    <w:tl2br w:val="nil"/>
                    <w:tr2bl w:val="nil"/>
                  </w:tcBorders>
                  <w:vAlign w:val="center"/>
                </w:tcPr>
                <w:p w14:paraId="3A84F69F">
                  <w:pPr>
                    <w:adjustRightInd w:val="0"/>
                    <w:snapToGrid w:val="0"/>
                    <w:jc w:val="center"/>
                    <w:rPr>
                      <w:color w:val="auto"/>
                      <w:kern w:val="0"/>
                    </w:rPr>
                  </w:pPr>
                  <w:r>
                    <w:rPr>
                      <w:color w:val="auto"/>
                      <w:kern w:val="0"/>
                    </w:rPr>
                    <w:t>20</w:t>
                  </w:r>
                </w:p>
              </w:tc>
            </w:tr>
            <w:tr w14:paraId="3A84F6A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A1">
                  <w:pPr>
                    <w:adjustRightInd w:val="0"/>
                    <w:snapToGrid w:val="0"/>
                    <w:jc w:val="center"/>
                    <w:rPr>
                      <w:color w:val="auto"/>
                      <w:kern w:val="0"/>
                    </w:rPr>
                  </w:pPr>
                  <w:r>
                    <w:rPr>
                      <w:color w:val="auto"/>
                      <w:kern w:val="0"/>
                    </w:rPr>
                    <w:t>引爆器</w:t>
                  </w:r>
                </w:p>
              </w:tc>
              <w:tc>
                <w:tcPr>
                  <w:tcW w:w="673" w:type="pct"/>
                  <w:tcBorders>
                    <w:tl2br w:val="nil"/>
                    <w:tr2bl w:val="nil"/>
                  </w:tcBorders>
                  <w:vAlign w:val="center"/>
                </w:tcPr>
                <w:p w14:paraId="3A84F6A2">
                  <w:pPr>
                    <w:adjustRightInd w:val="0"/>
                    <w:snapToGrid w:val="0"/>
                    <w:jc w:val="center"/>
                    <w:rPr>
                      <w:color w:val="auto"/>
                      <w:kern w:val="0"/>
                    </w:rPr>
                  </w:pPr>
                  <w:r>
                    <w:rPr>
                      <w:color w:val="auto"/>
                      <w:kern w:val="0"/>
                    </w:rPr>
                    <w:t>/</w:t>
                  </w:r>
                </w:p>
              </w:tc>
              <w:tc>
                <w:tcPr>
                  <w:tcW w:w="453" w:type="pct"/>
                  <w:tcBorders>
                    <w:tl2br w:val="nil"/>
                    <w:tr2bl w:val="nil"/>
                  </w:tcBorders>
                  <w:vAlign w:val="center"/>
                </w:tcPr>
                <w:p w14:paraId="37C4FC74">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6A3">
                  <w:pPr>
                    <w:adjustRightInd w:val="0"/>
                    <w:snapToGrid w:val="0"/>
                    <w:jc w:val="center"/>
                    <w:rPr>
                      <w:color w:val="auto"/>
                      <w:kern w:val="0"/>
                    </w:rPr>
                  </w:pPr>
                  <w:r>
                    <w:rPr>
                      <w:rFonts w:hint="eastAsia"/>
                      <w:color w:val="auto"/>
                      <w:kern w:val="0"/>
                      <w:lang w:val="en-US" w:eastAsia="zh-CN"/>
                    </w:rPr>
                    <w:t>3300</w:t>
                  </w:r>
                </w:p>
              </w:tc>
              <w:tc>
                <w:tcPr>
                  <w:tcW w:w="553" w:type="pct"/>
                  <w:tcBorders>
                    <w:tl2br w:val="nil"/>
                    <w:tr2bl w:val="nil"/>
                  </w:tcBorders>
                  <w:vAlign w:val="center"/>
                </w:tcPr>
                <w:p w14:paraId="3A84F6A4">
                  <w:pPr>
                    <w:adjustRightInd w:val="0"/>
                    <w:snapToGrid w:val="0"/>
                    <w:jc w:val="center"/>
                    <w:rPr>
                      <w:color w:val="auto"/>
                      <w:kern w:val="0"/>
                    </w:rPr>
                  </w:pPr>
                  <w:r>
                    <w:rPr>
                      <w:rFonts w:hint="eastAsia"/>
                      <w:color w:val="auto"/>
                      <w:kern w:val="0"/>
                      <w:lang w:val="en-US" w:eastAsia="zh-CN"/>
                    </w:rPr>
                    <w:t>3300</w:t>
                  </w:r>
                </w:p>
              </w:tc>
              <w:tc>
                <w:tcPr>
                  <w:tcW w:w="559" w:type="pct"/>
                  <w:tcBorders>
                    <w:tl2br w:val="nil"/>
                    <w:tr2bl w:val="nil"/>
                  </w:tcBorders>
                  <w:vAlign w:val="center"/>
                </w:tcPr>
                <w:p w14:paraId="3A84F6A5">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6A6">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6A7">
                  <w:pPr>
                    <w:adjustRightInd w:val="0"/>
                    <w:snapToGrid w:val="0"/>
                    <w:jc w:val="center"/>
                    <w:rPr>
                      <w:color w:val="auto"/>
                      <w:kern w:val="0"/>
                    </w:rPr>
                  </w:pPr>
                  <w:r>
                    <w:rPr>
                      <w:color w:val="auto"/>
                      <w:kern w:val="0"/>
                    </w:rPr>
                    <w:t>752枚/箱</w:t>
                  </w:r>
                </w:p>
              </w:tc>
              <w:tc>
                <w:tcPr>
                  <w:tcW w:w="554" w:type="pct"/>
                  <w:tcBorders>
                    <w:tl2br w:val="nil"/>
                    <w:tr2bl w:val="nil"/>
                  </w:tcBorders>
                  <w:vAlign w:val="center"/>
                </w:tcPr>
                <w:p w14:paraId="3A84F6A8">
                  <w:pPr>
                    <w:adjustRightInd w:val="0"/>
                    <w:snapToGrid w:val="0"/>
                    <w:jc w:val="center"/>
                    <w:rPr>
                      <w:color w:val="auto"/>
                      <w:kern w:val="0"/>
                    </w:rPr>
                  </w:pPr>
                  <w:r>
                    <w:rPr>
                      <w:color w:val="auto"/>
                      <w:kern w:val="0"/>
                    </w:rPr>
                    <w:t>200</w:t>
                  </w:r>
                </w:p>
              </w:tc>
            </w:tr>
            <w:tr w14:paraId="3A84F6B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AA">
                  <w:pPr>
                    <w:adjustRightInd w:val="0"/>
                    <w:snapToGrid w:val="0"/>
                    <w:jc w:val="center"/>
                    <w:rPr>
                      <w:color w:val="auto"/>
                      <w:kern w:val="0"/>
                    </w:rPr>
                  </w:pPr>
                  <w:r>
                    <w:rPr>
                      <w:color w:val="auto"/>
                      <w:kern w:val="0"/>
                    </w:rPr>
                    <w:t>短路片</w:t>
                  </w:r>
                </w:p>
              </w:tc>
              <w:tc>
                <w:tcPr>
                  <w:tcW w:w="673" w:type="pct"/>
                  <w:tcBorders>
                    <w:tl2br w:val="nil"/>
                    <w:tr2bl w:val="nil"/>
                  </w:tcBorders>
                  <w:vAlign w:val="center"/>
                </w:tcPr>
                <w:p w14:paraId="3A84F6AB">
                  <w:pPr>
                    <w:adjustRightInd w:val="0"/>
                    <w:snapToGrid w:val="0"/>
                    <w:jc w:val="center"/>
                    <w:rPr>
                      <w:color w:val="auto"/>
                      <w:kern w:val="0"/>
                    </w:rPr>
                  </w:pPr>
                  <w:r>
                    <w:rPr>
                      <w:color w:val="auto"/>
                      <w:kern w:val="0"/>
                    </w:rPr>
                    <w:t>/</w:t>
                  </w:r>
                </w:p>
              </w:tc>
              <w:tc>
                <w:tcPr>
                  <w:tcW w:w="453" w:type="pct"/>
                  <w:tcBorders>
                    <w:tl2br w:val="nil"/>
                    <w:tr2bl w:val="nil"/>
                  </w:tcBorders>
                  <w:vAlign w:val="center"/>
                </w:tcPr>
                <w:p w14:paraId="38CC9470">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6AC">
                  <w:pPr>
                    <w:adjustRightInd w:val="0"/>
                    <w:snapToGrid w:val="0"/>
                    <w:jc w:val="center"/>
                    <w:rPr>
                      <w:color w:val="auto"/>
                      <w:kern w:val="0"/>
                    </w:rPr>
                  </w:pPr>
                  <w:r>
                    <w:rPr>
                      <w:rFonts w:hint="eastAsia"/>
                      <w:color w:val="auto"/>
                      <w:kern w:val="0"/>
                      <w:lang w:val="en-US" w:eastAsia="zh-CN"/>
                    </w:rPr>
                    <w:t>3300</w:t>
                  </w:r>
                </w:p>
              </w:tc>
              <w:tc>
                <w:tcPr>
                  <w:tcW w:w="553" w:type="pct"/>
                  <w:tcBorders>
                    <w:tl2br w:val="nil"/>
                    <w:tr2bl w:val="nil"/>
                  </w:tcBorders>
                  <w:vAlign w:val="center"/>
                </w:tcPr>
                <w:p w14:paraId="3A84F6AD">
                  <w:pPr>
                    <w:adjustRightInd w:val="0"/>
                    <w:snapToGrid w:val="0"/>
                    <w:jc w:val="center"/>
                    <w:rPr>
                      <w:color w:val="auto"/>
                      <w:kern w:val="0"/>
                    </w:rPr>
                  </w:pPr>
                  <w:r>
                    <w:rPr>
                      <w:rFonts w:hint="eastAsia"/>
                      <w:color w:val="auto"/>
                      <w:kern w:val="0"/>
                      <w:lang w:val="en-US" w:eastAsia="zh-CN"/>
                    </w:rPr>
                    <w:t>3300</w:t>
                  </w:r>
                </w:p>
              </w:tc>
              <w:tc>
                <w:tcPr>
                  <w:tcW w:w="559" w:type="pct"/>
                  <w:tcBorders>
                    <w:tl2br w:val="nil"/>
                    <w:tr2bl w:val="nil"/>
                  </w:tcBorders>
                  <w:vAlign w:val="center"/>
                </w:tcPr>
                <w:p w14:paraId="3A84F6AE">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6AF">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6B0">
                  <w:pPr>
                    <w:adjustRightInd w:val="0"/>
                    <w:snapToGrid w:val="0"/>
                    <w:jc w:val="center"/>
                    <w:rPr>
                      <w:color w:val="auto"/>
                      <w:kern w:val="0"/>
                    </w:rPr>
                  </w:pPr>
                  <w:r>
                    <w:rPr>
                      <w:color w:val="auto"/>
                      <w:kern w:val="0"/>
                    </w:rPr>
                    <w:t>12000枚/箱</w:t>
                  </w:r>
                </w:p>
              </w:tc>
              <w:tc>
                <w:tcPr>
                  <w:tcW w:w="554" w:type="pct"/>
                  <w:tcBorders>
                    <w:tl2br w:val="nil"/>
                    <w:tr2bl w:val="nil"/>
                  </w:tcBorders>
                  <w:vAlign w:val="center"/>
                </w:tcPr>
                <w:p w14:paraId="3A84F6B1">
                  <w:pPr>
                    <w:adjustRightInd w:val="0"/>
                    <w:snapToGrid w:val="0"/>
                    <w:jc w:val="center"/>
                    <w:rPr>
                      <w:color w:val="auto"/>
                      <w:kern w:val="0"/>
                    </w:rPr>
                  </w:pPr>
                  <w:r>
                    <w:rPr>
                      <w:color w:val="auto"/>
                      <w:kern w:val="0"/>
                    </w:rPr>
                    <w:t>200</w:t>
                  </w:r>
                </w:p>
              </w:tc>
            </w:tr>
            <w:tr w14:paraId="51022A9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10"/>
                  <w:tcBorders>
                    <w:tl2br w:val="nil"/>
                    <w:tr2bl w:val="nil"/>
                  </w:tcBorders>
                  <w:vAlign w:val="center"/>
                </w:tcPr>
                <w:p w14:paraId="75B6EE53">
                  <w:pPr>
                    <w:adjustRightInd w:val="0"/>
                    <w:snapToGrid w:val="0"/>
                    <w:jc w:val="center"/>
                    <w:rPr>
                      <w:rFonts w:hint="eastAsia" w:ascii="宋体" w:hAnsi="宋体" w:cs="宋体"/>
                      <w:b/>
                      <w:bCs/>
                      <w:color w:val="auto"/>
                      <w:kern w:val="0"/>
                    </w:rPr>
                  </w:pPr>
                  <w:r>
                    <w:rPr>
                      <w:rFonts w:hint="eastAsia" w:ascii="宋体" w:hAnsi="宋体" w:cs="宋体"/>
                      <w:b/>
                      <w:bCs/>
                      <w:color w:val="auto"/>
                      <w:kern w:val="0"/>
                    </w:rPr>
                    <w:t>②</w:t>
                  </w:r>
                  <w:r>
                    <w:rPr>
                      <w:b/>
                      <w:bCs/>
                      <w:color w:val="auto"/>
                      <w:kern w:val="0"/>
                    </w:rPr>
                    <w:t>PF双极</w:t>
                  </w:r>
                </w:p>
              </w:tc>
            </w:tr>
            <w:tr w14:paraId="3A84F6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B5">
                  <w:pPr>
                    <w:adjustRightInd w:val="0"/>
                    <w:snapToGrid w:val="0"/>
                    <w:jc w:val="center"/>
                    <w:rPr>
                      <w:color w:val="auto"/>
                      <w:kern w:val="0"/>
                    </w:rPr>
                  </w:pPr>
                  <w:r>
                    <w:rPr>
                      <w:color w:val="auto"/>
                      <w:kern w:val="0"/>
                    </w:rPr>
                    <w:t>基板</w:t>
                  </w:r>
                </w:p>
              </w:tc>
              <w:tc>
                <w:tcPr>
                  <w:tcW w:w="673" w:type="pct"/>
                  <w:tcBorders>
                    <w:tl2br w:val="nil"/>
                    <w:tr2bl w:val="nil"/>
                  </w:tcBorders>
                  <w:vAlign w:val="center"/>
                </w:tcPr>
                <w:p w14:paraId="3A84F6B6">
                  <w:pPr>
                    <w:adjustRightInd w:val="0"/>
                    <w:snapToGrid w:val="0"/>
                    <w:jc w:val="center"/>
                    <w:rPr>
                      <w:color w:val="auto"/>
                      <w:kern w:val="0"/>
                    </w:rPr>
                  </w:pPr>
                  <w:r>
                    <w:rPr>
                      <w:color w:val="auto"/>
                      <w:kern w:val="0"/>
                    </w:rPr>
                    <w:t>/</w:t>
                  </w:r>
                </w:p>
              </w:tc>
              <w:tc>
                <w:tcPr>
                  <w:tcW w:w="453" w:type="pct"/>
                  <w:tcBorders>
                    <w:tl2br w:val="nil"/>
                    <w:tr2bl w:val="nil"/>
                  </w:tcBorders>
                  <w:vAlign w:val="center"/>
                </w:tcPr>
                <w:p w14:paraId="4BFF1DB7">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6B7">
                  <w:pPr>
                    <w:adjustRightInd w:val="0"/>
                    <w:snapToGrid w:val="0"/>
                    <w:jc w:val="center"/>
                    <w:rPr>
                      <w:color w:val="auto"/>
                      <w:kern w:val="0"/>
                    </w:rPr>
                  </w:pPr>
                  <w:r>
                    <w:rPr>
                      <w:color w:val="auto"/>
                      <w:kern w:val="0"/>
                    </w:rPr>
                    <w:t>110</w:t>
                  </w:r>
                </w:p>
              </w:tc>
              <w:tc>
                <w:tcPr>
                  <w:tcW w:w="553" w:type="pct"/>
                  <w:tcBorders>
                    <w:tl2br w:val="nil"/>
                    <w:tr2bl w:val="nil"/>
                  </w:tcBorders>
                  <w:vAlign w:val="center"/>
                </w:tcPr>
                <w:p w14:paraId="3A84F6B8">
                  <w:pPr>
                    <w:adjustRightInd w:val="0"/>
                    <w:snapToGrid w:val="0"/>
                    <w:jc w:val="center"/>
                    <w:rPr>
                      <w:rFonts w:hint="default" w:eastAsia="宋体"/>
                      <w:color w:val="auto"/>
                      <w:kern w:val="0"/>
                      <w:lang w:val="en-US" w:eastAsia="zh-CN"/>
                    </w:rPr>
                  </w:pPr>
                  <w:r>
                    <w:rPr>
                      <w:rFonts w:hint="eastAsia"/>
                      <w:color w:val="auto"/>
                      <w:kern w:val="0"/>
                      <w:lang w:val="en-US" w:eastAsia="zh-CN"/>
                    </w:rPr>
                    <w:t>610</w:t>
                  </w:r>
                </w:p>
              </w:tc>
              <w:tc>
                <w:tcPr>
                  <w:tcW w:w="559" w:type="pct"/>
                  <w:tcBorders>
                    <w:tl2br w:val="nil"/>
                    <w:tr2bl w:val="nil"/>
                  </w:tcBorders>
                  <w:vAlign w:val="center"/>
                </w:tcPr>
                <w:p w14:paraId="3A84F6B9">
                  <w:pPr>
                    <w:adjustRightInd w:val="0"/>
                    <w:snapToGrid w:val="0"/>
                    <w:jc w:val="center"/>
                    <w:rPr>
                      <w:color w:val="auto"/>
                      <w:kern w:val="0"/>
                    </w:rPr>
                  </w:pPr>
                  <w:r>
                    <w:rPr>
                      <w:rFonts w:hint="eastAsia"/>
                      <w:color w:val="auto"/>
                      <w:kern w:val="0"/>
                      <w:lang w:val="en-US" w:eastAsia="zh-CN"/>
                    </w:rPr>
                    <w:t>+500</w:t>
                  </w:r>
                </w:p>
              </w:tc>
              <w:tc>
                <w:tcPr>
                  <w:tcW w:w="266" w:type="pct"/>
                  <w:tcBorders>
                    <w:tl2br w:val="nil"/>
                    <w:tr2bl w:val="nil"/>
                  </w:tcBorders>
                  <w:vAlign w:val="center"/>
                </w:tcPr>
                <w:p w14:paraId="3A84F6BA">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6BB">
                  <w:pPr>
                    <w:adjustRightInd w:val="0"/>
                    <w:snapToGrid w:val="0"/>
                    <w:jc w:val="center"/>
                    <w:rPr>
                      <w:color w:val="auto"/>
                      <w:kern w:val="0"/>
                    </w:rPr>
                  </w:pPr>
                  <w:r>
                    <w:rPr>
                      <w:color w:val="auto"/>
                      <w:kern w:val="0"/>
                    </w:rPr>
                    <w:t>100枚/箱</w:t>
                  </w:r>
                </w:p>
              </w:tc>
              <w:tc>
                <w:tcPr>
                  <w:tcW w:w="554" w:type="pct"/>
                  <w:tcBorders>
                    <w:tl2br w:val="nil"/>
                    <w:tr2bl w:val="nil"/>
                  </w:tcBorders>
                  <w:vAlign w:val="center"/>
                </w:tcPr>
                <w:p w14:paraId="3A84F6BC">
                  <w:pPr>
                    <w:adjustRightInd w:val="0"/>
                    <w:snapToGrid w:val="0"/>
                    <w:jc w:val="center"/>
                    <w:rPr>
                      <w:color w:val="auto"/>
                      <w:kern w:val="0"/>
                    </w:rPr>
                  </w:pPr>
                  <w:r>
                    <w:rPr>
                      <w:color w:val="auto"/>
                      <w:kern w:val="0"/>
                    </w:rPr>
                    <w:t>50</w:t>
                  </w:r>
                </w:p>
              </w:tc>
            </w:tr>
            <w:tr w14:paraId="3A84F6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BE">
                  <w:pPr>
                    <w:adjustRightInd w:val="0"/>
                    <w:snapToGrid w:val="0"/>
                    <w:jc w:val="center"/>
                    <w:rPr>
                      <w:color w:val="auto"/>
                      <w:kern w:val="0"/>
                    </w:rPr>
                  </w:pPr>
                  <w:r>
                    <w:rPr>
                      <w:color w:val="auto"/>
                      <w:kern w:val="0"/>
                    </w:rPr>
                    <w:t>标签</w:t>
                  </w:r>
                </w:p>
              </w:tc>
              <w:tc>
                <w:tcPr>
                  <w:tcW w:w="673" w:type="pct"/>
                  <w:tcBorders>
                    <w:tl2br w:val="nil"/>
                    <w:tr2bl w:val="nil"/>
                  </w:tcBorders>
                  <w:vAlign w:val="center"/>
                </w:tcPr>
                <w:p w14:paraId="3A84F6BF">
                  <w:pPr>
                    <w:adjustRightInd w:val="0"/>
                    <w:snapToGrid w:val="0"/>
                    <w:jc w:val="center"/>
                    <w:rPr>
                      <w:color w:val="auto"/>
                      <w:kern w:val="0"/>
                    </w:rPr>
                  </w:pPr>
                  <w:r>
                    <w:rPr>
                      <w:color w:val="auto"/>
                      <w:kern w:val="0"/>
                    </w:rPr>
                    <w:t>/</w:t>
                  </w:r>
                </w:p>
              </w:tc>
              <w:tc>
                <w:tcPr>
                  <w:tcW w:w="453" w:type="pct"/>
                  <w:tcBorders>
                    <w:tl2br w:val="nil"/>
                    <w:tr2bl w:val="nil"/>
                  </w:tcBorders>
                  <w:vAlign w:val="center"/>
                </w:tcPr>
                <w:p w14:paraId="2CE4918D">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6C0">
                  <w:pPr>
                    <w:adjustRightInd w:val="0"/>
                    <w:snapToGrid w:val="0"/>
                    <w:jc w:val="center"/>
                    <w:rPr>
                      <w:color w:val="auto"/>
                      <w:kern w:val="0"/>
                    </w:rPr>
                  </w:pPr>
                  <w:r>
                    <w:rPr>
                      <w:color w:val="auto"/>
                      <w:kern w:val="0"/>
                    </w:rPr>
                    <w:t>110</w:t>
                  </w:r>
                </w:p>
              </w:tc>
              <w:tc>
                <w:tcPr>
                  <w:tcW w:w="553" w:type="pct"/>
                  <w:tcBorders>
                    <w:tl2br w:val="nil"/>
                    <w:tr2bl w:val="nil"/>
                  </w:tcBorders>
                  <w:vAlign w:val="center"/>
                </w:tcPr>
                <w:p w14:paraId="3A84F6C1">
                  <w:pPr>
                    <w:adjustRightInd w:val="0"/>
                    <w:snapToGrid w:val="0"/>
                    <w:jc w:val="center"/>
                    <w:rPr>
                      <w:color w:val="auto"/>
                      <w:kern w:val="0"/>
                    </w:rPr>
                  </w:pPr>
                  <w:r>
                    <w:rPr>
                      <w:rFonts w:hint="eastAsia"/>
                      <w:color w:val="auto"/>
                      <w:kern w:val="0"/>
                      <w:lang w:val="en-US" w:eastAsia="zh-CN"/>
                    </w:rPr>
                    <w:t>610</w:t>
                  </w:r>
                </w:p>
              </w:tc>
              <w:tc>
                <w:tcPr>
                  <w:tcW w:w="559" w:type="pct"/>
                  <w:tcBorders>
                    <w:tl2br w:val="nil"/>
                    <w:tr2bl w:val="nil"/>
                  </w:tcBorders>
                  <w:vAlign w:val="center"/>
                </w:tcPr>
                <w:p w14:paraId="3A84F6C2">
                  <w:pPr>
                    <w:adjustRightInd w:val="0"/>
                    <w:snapToGrid w:val="0"/>
                    <w:jc w:val="center"/>
                    <w:rPr>
                      <w:color w:val="auto"/>
                      <w:kern w:val="0"/>
                    </w:rPr>
                  </w:pPr>
                  <w:r>
                    <w:rPr>
                      <w:rFonts w:hint="eastAsia"/>
                      <w:color w:val="auto"/>
                      <w:kern w:val="0"/>
                      <w:lang w:val="en-US" w:eastAsia="zh-CN"/>
                    </w:rPr>
                    <w:t>+500</w:t>
                  </w:r>
                </w:p>
              </w:tc>
              <w:tc>
                <w:tcPr>
                  <w:tcW w:w="266" w:type="pct"/>
                  <w:tcBorders>
                    <w:tl2br w:val="nil"/>
                    <w:tr2bl w:val="nil"/>
                  </w:tcBorders>
                  <w:vAlign w:val="center"/>
                </w:tcPr>
                <w:p w14:paraId="3A84F6C3">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6C4">
                  <w:pPr>
                    <w:adjustRightInd w:val="0"/>
                    <w:snapToGrid w:val="0"/>
                    <w:jc w:val="center"/>
                    <w:rPr>
                      <w:color w:val="auto"/>
                      <w:kern w:val="0"/>
                    </w:rPr>
                  </w:pPr>
                  <w:r>
                    <w:rPr>
                      <w:color w:val="auto"/>
                      <w:kern w:val="0"/>
                    </w:rPr>
                    <w:t>5000枚/箱</w:t>
                  </w:r>
                </w:p>
              </w:tc>
              <w:tc>
                <w:tcPr>
                  <w:tcW w:w="554" w:type="pct"/>
                  <w:tcBorders>
                    <w:tl2br w:val="nil"/>
                    <w:tr2bl w:val="nil"/>
                  </w:tcBorders>
                  <w:vAlign w:val="center"/>
                </w:tcPr>
                <w:p w14:paraId="3A84F6C5">
                  <w:pPr>
                    <w:adjustRightInd w:val="0"/>
                    <w:snapToGrid w:val="0"/>
                    <w:jc w:val="center"/>
                    <w:rPr>
                      <w:color w:val="auto"/>
                      <w:kern w:val="0"/>
                    </w:rPr>
                  </w:pPr>
                  <w:r>
                    <w:rPr>
                      <w:color w:val="auto"/>
                      <w:kern w:val="0"/>
                    </w:rPr>
                    <w:t>50</w:t>
                  </w:r>
                </w:p>
              </w:tc>
            </w:tr>
            <w:tr w14:paraId="3A84F6C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C7">
                  <w:pPr>
                    <w:adjustRightInd w:val="0"/>
                    <w:snapToGrid w:val="0"/>
                    <w:jc w:val="center"/>
                    <w:rPr>
                      <w:color w:val="auto"/>
                      <w:kern w:val="0"/>
                    </w:rPr>
                  </w:pPr>
                  <w:r>
                    <w:rPr>
                      <w:color w:val="auto"/>
                      <w:kern w:val="0"/>
                    </w:rPr>
                    <w:t>适配器</w:t>
                  </w:r>
                </w:p>
              </w:tc>
              <w:tc>
                <w:tcPr>
                  <w:tcW w:w="673" w:type="pct"/>
                  <w:tcBorders>
                    <w:tl2br w:val="nil"/>
                    <w:tr2bl w:val="nil"/>
                  </w:tcBorders>
                  <w:vAlign w:val="center"/>
                </w:tcPr>
                <w:p w14:paraId="3A84F6C8">
                  <w:pPr>
                    <w:adjustRightInd w:val="0"/>
                    <w:snapToGrid w:val="0"/>
                    <w:jc w:val="center"/>
                    <w:rPr>
                      <w:color w:val="auto"/>
                      <w:kern w:val="0"/>
                    </w:rPr>
                  </w:pPr>
                  <w:r>
                    <w:rPr>
                      <w:color w:val="auto"/>
                      <w:kern w:val="0"/>
                    </w:rPr>
                    <w:t>/</w:t>
                  </w:r>
                </w:p>
              </w:tc>
              <w:tc>
                <w:tcPr>
                  <w:tcW w:w="453" w:type="pct"/>
                  <w:tcBorders>
                    <w:tl2br w:val="nil"/>
                    <w:tr2bl w:val="nil"/>
                  </w:tcBorders>
                  <w:vAlign w:val="center"/>
                </w:tcPr>
                <w:p w14:paraId="3512E4BA">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6C9">
                  <w:pPr>
                    <w:adjustRightInd w:val="0"/>
                    <w:snapToGrid w:val="0"/>
                    <w:jc w:val="center"/>
                    <w:rPr>
                      <w:color w:val="auto"/>
                      <w:kern w:val="0"/>
                    </w:rPr>
                  </w:pPr>
                  <w:r>
                    <w:rPr>
                      <w:color w:val="auto"/>
                      <w:kern w:val="0"/>
                    </w:rPr>
                    <w:t>110</w:t>
                  </w:r>
                </w:p>
              </w:tc>
              <w:tc>
                <w:tcPr>
                  <w:tcW w:w="553" w:type="pct"/>
                  <w:tcBorders>
                    <w:tl2br w:val="nil"/>
                    <w:tr2bl w:val="nil"/>
                  </w:tcBorders>
                  <w:vAlign w:val="center"/>
                </w:tcPr>
                <w:p w14:paraId="3A84F6CA">
                  <w:pPr>
                    <w:adjustRightInd w:val="0"/>
                    <w:snapToGrid w:val="0"/>
                    <w:jc w:val="center"/>
                    <w:rPr>
                      <w:color w:val="auto"/>
                      <w:kern w:val="0"/>
                    </w:rPr>
                  </w:pPr>
                  <w:r>
                    <w:rPr>
                      <w:rFonts w:hint="eastAsia"/>
                      <w:color w:val="auto"/>
                      <w:kern w:val="0"/>
                      <w:lang w:val="en-US" w:eastAsia="zh-CN"/>
                    </w:rPr>
                    <w:t>610</w:t>
                  </w:r>
                </w:p>
              </w:tc>
              <w:tc>
                <w:tcPr>
                  <w:tcW w:w="559" w:type="pct"/>
                  <w:tcBorders>
                    <w:tl2br w:val="nil"/>
                    <w:tr2bl w:val="nil"/>
                  </w:tcBorders>
                  <w:vAlign w:val="center"/>
                </w:tcPr>
                <w:p w14:paraId="3A84F6CB">
                  <w:pPr>
                    <w:adjustRightInd w:val="0"/>
                    <w:snapToGrid w:val="0"/>
                    <w:jc w:val="center"/>
                    <w:rPr>
                      <w:color w:val="auto"/>
                      <w:kern w:val="0"/>
                    </w:rPr>
                  </w:pPr>
                  <w:r>
                    <w:rPr>
                      <w:rFonts w:hint="eastAsia"/>
                      <w:color w:val="auto"/>
                      <w:kern w:val="0"/>
                      <w:lang w:val="en-US" w:eastAsia="zh-CN"/>
                    </w:rPr>
                    <w:t>+500</w:t>
                  </w:r>
                </w:p>
              </w:tc>
              <w:tc>
                <w:tcPr>
                  <w:tcW w:w="266" w:type="pct"/>
                  <w:tcBorders>
                    <w:tl2br w:val="nil"/>
                    <w:tr2bl w:val="nil"/>
                  </w:tcBorders>
                  <w:vAlign w:val="center"/>
                </w:tcPr>
                <w:p w14:paraId="3A84F6CC">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6CD">
                  <w:pPr>
                    <w:adjustRightInd w:val="0"/>
                    <w:snapToGrid w:val="0"/>
                    <w:jc w:val="center"/>
                    <w:rPr>
                      <w:color w:val="auto"/>
                      <w:kern w:val="0"/>
                    </w:rPr>
                  </w:pPr>
                  <w:r>
                    <w:rPr>
                      <w:color w:val="auto"/>
                      <w:kern w:val="0"/>
                    </w:rPr>
                    <w:t>150枚/箱</w:t>
                  </w:r>
                </w:p>
              </w:tc>
              <w:tc>
                <w:tcPr>
                  <w:tcW w:w="554" w:type="pct"/>
                  <w:tcBorders>
                    <w:tl2br w:val="nil"/>
                    <w:tr2bl w:val="nil"/>
                  </w:tcBorders>
                  <w:vAlign w:val="center"/>
                </w:tcPr>
                <w:p w14:paraId="3A84F6CE">
                  <w:pPr>
                    <w:adjustRightInd w:val="0"/>
                    <w:snapToGrid w:val="0"/>
                    <w:jc w:val="center"/>
                    <w:rPr>
                      <w:color w:val="auto"/>
                      <w:kern w:val="0"/>
                    </w:rPr>
                  </w:pPr>
                  <w:r>
                    <w:rPr>
                      <w:color w:val="auto"/>
                      <w:kern w:val="0"/>
                    </w:rPr>
                    <w:t>50</w:t>
                  </w:r>
                </w:p>
              </w:tc>
            </w:tr>
            <w:tr w14:paraId="3A84F6D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D0">
                  <w:pPr>
                    <w:adjustRightInd w:val="0"/>
                    <w:snapToGrid w:val="0"/>
                    <w:jc w:val="center"/>
                    <w:rPr>
                      <w:color w:val="auto"/>
                      <w:kern w:val="0"/>
                    </w:rPr>
                  </w:pPr>
                  <w:r>
                    <w:rPr>
                      <w:color w:val="auto"/>
                      <w:kern w:val="0"/>
                    </w:rPr>
                    <w:t>密封圈</w:t>
                  </w:r>
                </w:p>
              </w:tc>
              <w:tc>
                <w:tcPr>
                  <w:tcW w:w="673" w:type="pct"/>
                  <w:tcBorders>
                    <w:tl2br w:val="nil"/>
                    <w:tr2bl w:val="nil"/>
                  </w:tcBorders>
                  <w:vAlign w:val="center"/>
                </w:tcPr>
                <w:p w14:paraId="3A84F6D1">
                  <w:pPr>
                    <w:adjustRightInd w:val="0"/>
                    <w:snapToGrid w:val="0"/>
                    <w:jc w:val="center"/>
                    <w:rPr>
                      <w:color w:val="auto"/>
                      <w:kern w:val="0"/>
                    </w:rPr>
                  </w:pPr>
                  <w:r>
                    <w:rPr>
                      <w:color w:val="auto"/>
                      <w:kern w:val="0"/>
                    </w:rPr>
                    <w:t>/</w:t>
                  </w:r>
                </w:p>
              </w:tc>
              <w:tc>
                <w:tcPr>
                  <w:tcW w:w="453" w:type="pct"/>
                  <w:tcBorders>
                    <w:tl2br w:val="nil"/>
                    <w:tr2bl w:val="nil"/>
                  </w:tcBorders>
                  <w:vAlign w:val="center"/>
                </w:tcPr>
                <w:p w14:paraId="4D0A718D">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6D2">
                  <w:pPr>
                    <w:adjustRightInd w:val="0"/>
                    <w:snapToGrid w:val="0"/>
                    <w:jc w:val="center"/>
                    <w:rPr>
                      <w:color w:val="auto"/>
                      <w:kern w:val="0"/>
                    </w:rPr>
                  </w:pPr>
                  <w:r>
                    <w:rPr>
                      <w:color w:val="auto"/>
                      <w:kern w:val="0"/>
                    </w:rPr>
                    <w:t>110</w:t>
                  </w:r>
                </w:p>
              </w:tc>
              <w:tc>
                <w:tcPr>
                  <w:tcW w:w="553" w:type="pct"/>
                  <w:tcBorders>
                    <w:tl2br w:val="nil"/>
                    <w:tr2bl w:val="nil"/>
                  </w:tcBorders>
                  <w:vAlign w:val="center"/>
                </w:tcPr>
                <w:p w14:paraId="3A84F6D3">
                  <w:pPr>
                    <w:adjustRightInd w:val="0"/>
                    <w:snapToGrid w:val="0"/>
                    <w:jc w:val="center"/>
                    <w:rPr>
                      <w:color w:val="auto"/>
                      <w:kern w:val="0"/>
                    </w:rPr>
                  </w:pPr>
                  <w:r>
                    <w:rPr>
                      <w:rFonts w:hint="eastAsia"/>
                      <w:color w:val="auto"/>
                      <w:kern w:val="0"/>
                      <w:lang w:val="en-US" w:eastAsia="zh-CN"/>
                    </w:rPr>
                    <w:t>610</w:t>
                  </w:r>
                </w:p>
              </w:tc>
              <w:tc>
                <w:tcPr>
                  <w:tcW w:w="559" w:type="pct"/>
                  <w:tcBorders>
                    <w:tl2br w:val="nil"/>
                    <w:tr2bl w:val="nil"/>
                  </w:tcBorders>
                  <w:vAlign w:val="center"/>
                </w:tcPr>
                <w:p w14:paraId="3A84F6D4">
                  <w:pPr>
                    <w:adjustRightInd w:val="0"/>
                    <w:snapToGrid w:val="0"/>
                    <w:jc w:val="center"/>
                    <w:rPr>
                      <w:color w:val="auto"/>
                      <w:kern w:val="0"/>
                    </w:rPr>
                  </w:pPr>
                  <w:r>
                    <w:rPr>
                      <w:rFonts w:hint="eastAsia"/>
                      <w:color w:val="auto"/>
                      <w:kern w:val="0"/>
                      <w:lang w:val="en-US" w:eastAsia="zh-CN"/>
                    </w:rPr>
                    <w:t>+500</w:t>
                  </w:r>
                </w:p>
              </w:tc>
              <w:tc>
                <w:tcPr>
                  <w:tcW w:w="266" w:type="pct"/>
                  <w:tcBorders>
                    <w:tl2br w:val="nil"/>
                    <w:tr2bl w:val="nil"/>
                  </w:tcBorders>
                  <w:vAlign w:val="center"/>
                </w:tcPr>
                <w:p w14:paraId="3A84F6D5">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6D6">
                  <w:pPr>
                    <w:adjustRightInd w:val="0"/>
                    <w:snapToGrid w:val="0"/>
                    <w:jc w:val="center"/>
                    <w:rPr>
                      <w:color w:val="auto"/>
                      <w:kern w:val="0"/>
                    </w:rPr>
                  </w:pPr>
                  <w:r>
                    <w:rPr>
                      <w:color w:val="auto"/>
                      <w:kern w:val="0"/>
                    </w:rPr>
                    <w:t>10000枚/箱</w:t>
                  </w:r>
                </w:p>
              </w:tc>
              <w:tc>
                <w:tcPr>
                  <w:tcW w:w="554" w:type="pct"/>
                  <w:tcBorders>
                    <w:tl2br w:val="nil"/>
                    <w:tr2bl w:val="nil"/>
                  </w:tcBorders>
                  <w:vAlign w:val="center"/>
                </w:tcPr>
                <w:p w14:paraId="3A84F6D7">
                  <w:pPr>
                    <w:adjustRightInd w:val="0"/>
                    <w:snapToGrid w:val="0"/>
                    <w:jc w:val="center"/>
                    <w:rPr>
                      <w:color w:val="auto"/>
                      <w:kern w:val="0"/>
                    </w:rPr>
                  </w:pPr>
                  <w:r>
                    <w:rPr>
                      <w:color w:val="auto"/>
                      <w:kern w:val="0"/>
                    </w:rPr>
                    <w:t>50</w:t>
                  </w:r>
                </w:p>
              </w:tc>
            </w:tr>
            <w:tr w14:paraId="3A84F6E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6D9">
                  <w:pPr>
                    <w:adjustRightInd w:val="0"/>
                    <w:snapToGrid w:val="0"/>
                    <w:jc w:val="center"/>
                    <w:rPr>
                      <w:color w:val="auto"/>
                      <w:kern w:val="0"/>
                    </w:rPr>
                  </w:pPr>
                  <w:r>
                    <w:rPr>
                      <w:color w:val="auto"/>
                      <w:kern w:val="0"/>
                    </w:rPr>
                    <w:t>引爆器</w:t>
                  </w:r>
                </w:p>
              </w:tc>
              <w:tc>
                <w:tcPr>
                  <w:tcW w:w="673" w:type="pct"/>
                  <w:tcBorders>
                    <w:tl2br w:val="nil"/>
                    <w:tr2bl w:val="nil"/>
                  </w:tcBorders>
                  <w:vAlign w:val="center"/>
                </w:tcPr>
                <w:p w14:paraId="3A84F6DA">
                  <w:pPr>
                    <w:adjustRightInd w:val="0"/>
                    <w:snapToGrid w:val="0"/>
                    <w:jc w:val="center"/>
                    <w:rPr>
                      <w:color w:val="auto"/>
                      <w:kern w:val="0"/>
                    </w:rPr>
                  </w:pPr>
                  <w:r>
                    <w:rPr>
                      <w:color w:val="auto"/>
                      <w:kern w:val="0"/>
                    </w:rPr>
                    <w:t>/</w:t>
                  </w:r>
                </w:p>
              </w:tc>
              <w:tc>
                <w:tcPr>
                  <w:tcW w:w="453" w:type="pct"/>
                  <w:tcBorders>
                    <w:tl2br w:val="nil"/>
                    <w:tr2bl w:val="nil"/>
                  </w:tcBorders>
                  <w:vAlign w:val="center"/>
                </w:tcPr>
                <w:p w14:paraId="7347A6E4">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6DB">
                  <w:pPr>
                    <w:adjustRightInd w:val="0"/>
                    <w:snapToGrid w:val="0"/>
                    <w:jc w:val="center"/>
                    <w:rPr>
                      <w:color w:val="auto"/>
                      <w:kern w:val="0"/>
                    </w:rPr>
                  </w:pPr>
                  <w:r>
                    <w:rPr>
                      <w:color w:val="auto"/>
                      <w:kern w:val="0"/>
                    </w:rPr>
                    <w:t>110</w:t>
                  </w:r>
                </w:p>
              </w:tc>
              <w:tc>
                <w:tcPr>
                  <w:tcW w:w="553" w:type="pct"/>
                  <w:tcBorders>
                    <w:tl2br w:val="nil"/>
                    <w:tr2bl w:val="nil"/>
                  </w:tcBorders>
                  <w:vAlign w:val="center"/>
                </w:tcPr>
                <w:p w14:paraId="3A84F6DC">
                  <w:pPr>
                    <w:adjustRightInd w:val="0"/>
                    <w:snapToGrid w:val="0"/>
                    <w:jc w:val="center"/>
                    <w:rPr>
                      <w:color w:val="auto"/>
                      <w:kern w:val="0"/>
                    </w:rPr>
                  </w:pPr>
                  <w:r>
                    <w:rPr>
                      <w:rFonts w:hint="eastAsia"/>
                      <w:color w:val="auto"/>
                      <w:kern w:val="0"/>
                      <w:lang w:val="en-US" w:eastAsia="zh-CN"/>
                    </w:rPr>
                    <w:t>610</w:t>
                  </w:r>
                </w:p>
              </w:tc>
              <w:tc>
                <w:tcPr>
                  <w:tcW w:w="559" w:type="pct"/>
                  <w:tcBorders>
                    <w:tl2br w:val="nil"/>
                    <w:tr2bl w:val="nil"/>
                  </w:tcBorders>
                  <w:vAlign w:val="center"/>
                </w:tcPr>
                <w:p w14:paraId="3A84F6DD">
                  <w:pPr>
                    <w:adjustRightInd w:val="0"/>
                    <w:snapToGrid w:val="0"/>
                    <w:jc w:val="center"/>
                    <w:rPr>
                      <w:color w:val="auto"/>
                      <w:kern w:val="0"/>
                    </w:rPr>
                  </w:pPr>
                  <w:r>
                    <w:rPr>
                      <w:rFonts w:hint="eastAsia"/>
                      <w:color w:val="auto"/>
                      <w:kern w:val="0"/>
                      <w:lang w:val="en-US" w:eastAsia="zh-CN"/>
                    </w:rPr>
                    <w:t>+500</w:t>
                  </w:r>
                </w:p>
              </w:tc>
              <w:tc>
                <w:tcPr>
                  <w:tcW w:w="266" w:type="pct"/>
                  <w:tcBorders>
                    <w:tl2br w:val="nil"/>
                    <w:tr2bl w:val="nil"/>
                  </w:tcBorders>
                  <w:vAlign w:val="center"/>
                </w:tcPr>
                <w:p w14:paraId="3A84F6DE">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6DF">
                  <w:pPr>
                    <w:adjustRightInd w:val="0"/>
                    <w:snapToGrid w:val="0"/>
                    <w:jc w:val="center"/>
                    <w:rPr>
                      <w:color w:val="auto"/>
                      <w:kern w:val="0"/>
                    </w:rPr>
                  </w:pPr>
                  <w:r>
                    <w:rPr>
                      <w:color w:val="auto"/>
                      <w:kern w:val="0"/>
                    </w:rPr>
                    <w:t>752枚/箱</w:t>
                  </w:r>
                </w:p>
              </w:tc>
              <w:tc>
                <w:tcPr>
                  <w:tcW w:w="554" w:type="pct"/>
                  <w:tcBorders>
                    <w:tl2br w:val="nil"/>
                    <w:tr2bl w:val="nil"/>
                  </w:tcBorders>
                  <w:vAlign w:val="center"/>
                </w:tcPr>
                <w:p w14:paraId="3A84F6E0">
                  <w:pPr>
                    <w:adjustRightInd w:val="0"/>
                    <w:snapToGrid w:val="0"/>
                    <w:jc w:val="center"/>
                    <w:rPr>
                      <w:color w:val="auto"/>
                      <w:kern w:val="0"/>
                    </w:rPr>
                  </w:pPr>
                  <w:r>
                    <w:rPr>
                      <w:color w:val="auto"/>
                      <w:kern w:val="0"/>
                    </w:rPr>
                    <w:t>50</w:t>
                  </w:r>
                </w:p>
              </w:tc>
            </w:tr>
            <w:tr w14:paraId="3A84F6E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94" w:type="pct"/>
                  <w:vMerge w:val="restart"/>
                  <w:tcBorders>
                    <w:tl2br w:val="nil"/>
                    <w:tr2bl w:val="nil"/>
                  </w:tcBorders>
                  <w:shd w:val="clear" w:color="auto" w:fill="auto"/>
                  <w:vAlign w:val="center"/>
                </w:tcPr>
                <w:p w14:paraId="3A84F6E2">
                  <w:pPr>
                    <w:adjustRightInd w:val="0"/>
                    <w:snapToGrid w:val="0"/>
                    <w:jc w:val="center"/>
                    <w:rPr>
                      <w:color w:val="auto"/>
                      <w:kern w:val="0"/>
                    </w:rPr>
                  </w:pPr>
                  <w:r>
                    <w:rPr>
                      <w:color w:val="auto"/>
                      <w:kern w:val="0"/>
                    </w:rPr>
                    <w:t>点火管</w:t>
                  </w:r>
                </w:p>
              </w:tc>
              <w:tc>
                <w:tcPr>
                  <w:tcW w:w="410" w:type="pct"/>
                  <w:tcBorders>
                    <w:tl2br w:val="nil"/>
                    <w:tr2bl w:val="nil"/>
                  </w:tcBorders>
                  <w:shd w:val="clear" w:color="auto" w:fill="auto"/>
                  <w:vAlign w:val="center"/>
                </w:tcPr>
                <w:p w14:paraId="3A84F6E3">
                  <w:pPr>
                    <w:adjustRightInd w:val="0"/>
                    <w:snapToGrid w:val="0"/>
                    <w:jc w:val="center"/>
                    <w:rPr>
                      <w:color w:val="auto"/>
                      <w:kern w:val="0"/>
                    </w:rPr>
                  </w:pPr>
                  <w:r>
                    <w:rPr>
                      <w:color w:val="auto"/>
                      <w:kern w:val="0"/>
                    </w:rPr>
                    <w:t>金属管</w:t>
                  </w:r>
                </w:p>
              </w:tc>
              <w:tc>
                <w:tcPr>
                  <w:tcW w:w="673" w:type="pct"/>
                  <w:tcBorders>
                    <w:tl2br w:val="nil"/>
                    <w:tr2bl w:val="nil"/>
                  </w:tcBorders>
                  <w:vAlign w:val="center"/>
                </w:tcPr>
                <w:p w14:paraId="3A84F6E4">
                  <w:pPr>
                    <w:adjustRightInd w:val="0"/>
                    <w:snapToGrid w:val="0"/>
                    <w:jc w:val="center"/>
                    <w:rPr>
                      <w:color w:val="auto"/>
                      <w:kern w:val="0"/>
                    </w:rPr>
                  </w:pPr>
                  <w:r>
                    <w:rPr>
                      <w:color w:val="auto"/>
                      <w:kern w:val="0"/>
                    </w:rPr>
                    <w:t>/</w:t>
                  </w:r>
                </w:p>
              </w:tc>
              <w:tc>
                <w:tcPr>
                  <w:tcW w:w="453" w:type="pct"/>
                  <w:tcBorders>
                    <w:tl2br w:val="nil"/>
                    <w:tr2bl w:val="nil"/>
                  </w:tcBorders>
                  <w:vAlign w:val="center"/>
                </w:tcPr>
                <w:p w14:paraId="3A93E396">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6E5">
                  <w:pPr>
                    <w:adjustRightInd w:val="0"/>
                    <w:snapToGrid w:val="0"/>
                    <w:jc w:val="center"/>
                    <w:rPr>
                      <w:color w:val="auto"/>
                      <w:kern w:val="0"/>
                    </w:rPr>
                  </w:pPr>
                  <w:r>
                    <w:rPr>
                      <w:color w:val="auto"/>
                      <w:kern w:val="0"/>
                    </w:rPr>
                    <w:t>110</w:t>
                  </w:r>
                </w:p>
              </w:tc>
              <w:tc>
                <w:tcPr>
                  <w:tcW w:w="553" w:type="pct"/>
                  <w:tcBorders>
                    <w:tl2br w:val="nil"/>
                    <w:tr2bl w:val="nil"/>
                  </w:tcBorders>
                  <w:vAlign w:val="center"/>
                </w:tcPr>
                <w:p w14:paraId="3A84F6E6">
                  <w:pPr>
                    <w:adjustRightInd w:val="0"/>
                    <w:snapToGrid w:val="0"/>
                    <w:jc w:val="center"/>
                    <w:rPr>
                      <w:rFonts w:hint="default" w:eastAsia="宋体"/>
                      <w:color w:val="auto"/>
                      <w:kern w:val="0"/>
                      <w:lang w:val="en-US" w:eastAsia="zh-CN"/>
                    </w:rPr>
                  </w:pPr>
                  <w:r>
                    <w:rPr>
                      <w:rFonts w:hint="eastAsia"/>
                      <w:color w:val="auto"/>
                      <w:kern w:val="0"/>
                      <w:lang w:val="en-US" w:eastAsia="zh-CN"/>
                    </w:rPr>
                    <w:t>610</w:t>
                  </w:r>
                </w:p>
              </w:tc>
              <w:tc>
                <w:tcPr>
                  <w:tcW w:w="559" w:type="pct"/>
                  <w:tcBorders>
                    <w:tl2br w:val="nil"/>
                    <w:tr2bl w:val="nil"/>
                  </w:tcBorders>
                  <w:vAlign w:val="center"/>
                </w:tcPr>
                <w:p w14:paraId="3A84F6E7">
                  <w:pPr>
                    <w:adjustRightInd w:val="0"/>
                    <w:snapToGrid w:val="0"/>
                    <w:jc w:val="center"/>
                    <w:rPr>
                      <w:color w:val="auto"/>
                      <w:kern w:val="0"/>
                    </w:rPr>
                  </w:pPr>
                  <w:r>
                    <w:rPr>
                      <w:rFonts w:hint="eastAsia"/>
                      <w:color w:val="auto"/>
                      <w:kern w:val="0"/>
                      <w:lang w:val="en-US" w:eastAsia="zh-CN"/>
                    </w:rPr>
                    <w:t>+500</w:t>
                  </w:r>
                </w:p>
              </w:tc>
              <w:tc>
                <w:tcPr>
                  <w:tcW w:w="266" w:type="pct"/>
                  <w:tcBorders>
                    <w:tl2br w:val="nil"/>
                    <w:tr2bl w:val="nil"/>
                  </w:tcBorders>
                  <w:vAlign w:val="center"/>
                </w:tcPr>
                <w:p w14:paraId="3A84F6E8">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6E9">
                  <w:pPr>
                    <w:adjustRightInd w:val="0"/>
                    <w:snapToGrid w:val="0"/>
                    <w:jc w:val="center"/>
                    <w:rPr>
                      <w:rFonts w:hint="default" w:eastAsia="宋体"/>
                      <w:color w:val="auto"/>
                      <w:kern w:val="0"/>
                      <w:lang w:val="en-US" w:eastAsia="zh-CN"/>
                    </w:rPr>
                  </w:pPr>
                  <w:r>
                    <w:rPr>
                      <w:rFonts w:hint="eastAsia"/>
                      <w:color w:val="auto"/>
                      <w:kern w:val="0"/>
                      <w:lang w:val="en-US" w:eastAsia="zh-CN"/>
                    </w:rPr>
                    <w:t>2000枚/箱</w:t>
                  </w:r>
                </w:p>
              </w:tc>
              <w:tc>
                <w:tcPr>
                  <w:tcW w:w="554" w:type="pct"/>
                  <w:tcBorders>
                    <w:tl2br w:val="nil"/>
                    <w:tr2bl w:val="nil"/>
                  </w:tcBorders>
                  <w:vAlign w:val="center"/>
                </w:tcPr>
                <w:p w14:paraId="3A84F6EA">
                  <w:pPr>
                    <w:adjustRightInd w:val="0"/>
                    <w:snapToGrid w:val="0"/>
                    <w:jc w:val="center"/>
                    <w:rPr>
                      <w:color w:val="auto"/>
                      <w:kern w:val="0"/>
                    </w:rPr>
                  </w:pPr>
                  <w:r>
                    <w:rPr>
                      <w:color w:val="auto"/>
                      <w:kern w:val="0"/>
                    </w:rPr>
                    <w:t>50</w:t>
                  </w:r>
                </w:p>
              </w:tc>
            </w:tr>
            <w:tr w14:paraId="3A84F6F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94" w:type="pct"/>
                  <w:vMerge w:val="continue"/>
                  <w:tcBorders>
                    <w:tl2br w:val="nil"/>
                    <w:tr2bl w:val="nil"/>
                  </w:tcBorders>
                  <w:shd w:val="clear" w:color="auto" w:fill="auto"/>
                  <w:vAlign w:val="center"/>
                </w:tcPr>
                <w:p w14:paraId="3A84F6EC">
                  <w:pPr>
                    <w:adjustRightInd w:val="0"/>
                    <w:snapToGrid w:val="0"/>
                    <w:jc w:val="center"/>
                    <w:rPr>
                      <w:color w:val="auto"/>
                      <w:kern w:val="0"/>
                    </w:rPr>
                  </w:pPr>
                </w:p>
              </w:tc>
              <w:tc>
                <w:tcPr>
                  <w:tcW w:w="410" w:type="pct"/>
                  <w:tcBorders>
                    <w:tl2br w:val="nil"/>
                    <w:tr2bl w:val="nil"/>
                  </w:tcBorders>
                  <w:shd w:val="clear" w:color="auto" w:fill="auto"/>
                  <w:vAlign w:val="center"/>
                </w:tcPr>
                <w:p w14:paraId="3A84F6ED">
                  <w:pPr>
                    <w:adjustRightInd w:val="0"/>
                    <w:snapToGrid w:val="0"/>
                    <w:jc w:val="center"/>
                    <w:rPr>
                      <w:color w:val="auto"/>
                      <w:kern w:val="0"/>
                    </w:rPr>
                  </w:pPr>
                  <w:r>
                    <w:rPr>
                      <w:color w:val="auto"/>
                      <w:kern w:val="0"/>
                    </w:rPr>
                    <w:t>固定环</w:t>
                  </w:r>
                </w:p>
              </w:tc>
              <w:tc>
                <w:tcPr>
                  <w:tcW w:w="673" w:type="pct"/>
                  <w:tcBorders>
                    <w:tl2br w:val="nil"/>
                    <w:tr2bl w:val="nil"/>
                  </w:tcBorders>
                  <w:vAlign w:val="center"/>
                </w:tcPr>
                <w:p w14:paraId="3A84F6EE">
                  <w:pPr>
                    <w:adjustRightInd w:val="0"/>
                    <w:snapToGrid w:val="0"/>
                    <w:jc w:val="center"/>
                    <w:rPr>
                      <w:color w:val="auto"/>
                      <w:kern w:val="0"/>
                    </w:rPr>
                  </w:pPr>
                  <w:r>
                    <w:rPr>
                      <w:color w:val="auto"/>
                      <w:kern w:val="0"/>
                    </w:rPr>
                    <w:t>/</w:t>
                  </w:r>
                </w:p>
              </w:tc>
              <w:tc>
                <w:tcPr>
                  <w:tcW w:w="453" w:type="pct"/>
                  <w:tcBorders>
                    <w:tl2br w:val="nil"/>
                    <w:tr2bl w:val="nil"/>
                  </w:tcBorders>
                  <w:vAlign w:val="center"/>
                </w:tcPr>
                <w:p w14:paraId="282616E0">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6EF">
                  <w:pPr>
                    <w:adjustRightInd w:val="0"/>
                    <w:snapToGrid w:val="0"/>
                    <w:jc w:val="center"/>
                    <w:rPr>
                      <w:color w:val="auto"/>
                      <w:kern w:val="0"/>
                    </w:rPr>
                  </w:pPr>
                  <w:r>
                    <w:rPr>
                      <w:color w:val="auto"/>
                      <w:kern w:val="0"/>
                    </w:rPr>
                    <w:t>110</w:t>
                  </w:r>
                </w:p>
              </w:tc>
              <w:tc>
                <w:tcPr>
                  <w:tcW w:w="553" w:type="pct"/>
                  <w:tcBorders>
                    <w:tl2br w:val="nil"/>
                    <w:tr2bl w:val="nil"/>
                  </w:tcBorders>
                  <w:vAlign w:val="center"/>
                </w:tcPr>
                <w:p w14:paraId="3A84F6F0">
                  <w:pPr>
                    <w:adjustRightInd w:val="0"/>
                    <w:snapToGrid w:val="0"/>
                    <w:jc w:val="center"/>
                    <w:rPr>
                      <w:rFonts w:hint="default" w:eastAsia="宋体"/>
                      <w:color w:val="auto"/>
                      <w:kern w:val="0"/>
                      <w:lang w:val="en-US" w:eastAsia="zh-CN"/>
                    </w:rPr>
                  </w:pPr>
                  <w:r>
                    <w:rPr>
                      <w:rFonts w:hint="eastAsia"/>
                      <w:color w:val="auto"/>
                      <w:kern w:val="0"/>
                      <w:lang w:val="en-US" w:eastAsia="zh-CN"/>
                    </w:rPr>
                    <w:t>610</w:t>
                  </w:r>
                </w:p>
              </w:tc>
              <w:tc>
                <w:tcPr>
                  <w:tcW w:w="559" w:type="pct"/>
                  <w:tcBorders>
                    <w:tl2br w:val="nil"/>
                    <w:tr2bl w:val="nil"/>
                  </w:tcBorders>
                  <w:vAlign w:val="center"/>
                </w:tcPr>
                <w:p w14:paraId="3A84F6F1">
                  <w:pPr>
                    <w:adjustRightInd w:val="0"/>
                    <w:snapToGrid w:val="0"/>
                    <w:jc w:val="center"/>
                    <w:rPr>
                      <w:color w:val="auto"/>
                      <w:kern w:val="0"/>
                    </w:rPr>
                  </w:pPr>
                  <w:r>
                    <w:rPr>
                      <w:rFonts w:hint="eastAsia"/>
                      <w:color w:val="auto"/>
                      <w:kern w:val="0"/>
                      <w:lang w:val="en-US" w:eastAsia="zh-CN"/>
                    </w:rPr>
                    <w:t>+500</w:t>
                  </w:r>
                </w:p>
              </w:tc>
              <w:tc>
                <w:tcPr>
                  <w:tcW w:w="266" w:type="pct"/>
                  <w:tcBorders>
                    <w:tl2br w:val="nil"/>
                    <w:tr2bl w:val="nil"/>
                  </w:tcBorders>
                  <w:vAlign w:val="center"/>
                </w:tcPr>
                <w:p w14:paraId="3A84F6F2">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6F3">
                  <w:pPr>
                    <w:adjustRightInd w:val="0"/>
                    <w:snapToGrid w:val="0"/>
                    <w:jc w:val="center"/>
                    <w:rPr>
                      <w:color w:val="auto"/>
                      <w:kern w:val="0"/>
                    </w:rPr>
                  </w:pPr>
                  <w:r>
                    <w:rPr>
                      <w:rFonts w:hint="eastAsia"/>
                      <w:color w:val="auto"/>
                      <w:kern w:val="0"/>
                      <w:lang w:val="en-US" w:eastAsia="zh-CN"/>
                    </w:rPr>
                    <w:t>2000枚/箱</w:t>
                  </w:r>
                </w:p>
              </w:tc>
              <w:tc>
                <w:tcPr>
                  <w:tcW w:w="554" w:type="pct"/>
                  <w:tcBorders>
                    <w:tl2br w:val="nil"/>
                    <w:tr2bl w:val="nil"/>
                  </w:tcBorders>
                  <w:vAlign w:val="center"/>
                </w:tcPr>
                <w:p w14:paraId="3A84F6F4">
                  <w:pPr>
                    <w:adjustRightInd w:val="0"/>
                    <w:snapToGrid w:val="0"/>
                    <w:jc w:val="center"/>
                    <w:rPr>
                      <w:color w:val="auto"/>
                      <w:kern w:val="0"/>
                    </w:rPr>
                  </w:pPr>
                  <w:r>
                    <w:rPr>
                      <w:color w:val="auto"/>
                      <w:kern w:val="0"/>
                    </w:rPr>
                    <w:t>50</w:t>
                  </w:r>
                </w:p>
              </w:tc>
            </w:tr>
            <w:tr w14:paraId="3A84F6F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94" w:type="pct"/>
                  <w:vMerge w:val="continue"/>
                  <w:tcBorders>
                    <w:tl2br w:val="nil"/>
                    <w:tr2bl w:val="nil"/>
                  </w:tcBorders>
                  <w:shd w:val="clear" w:color="auto" w:fill="auto"/>
                  <w:vAlign w:val="center"/>
                </w:tcPr>
                <w:p w14:paraId="3A84F6F6">
                  <w:pPr>
                    <w:adjustRightInd w:val="0"/>
                    <w:snapToGrid w:val="0"/>
                    <w:jc w:val="center"/>
                    <w:rPr>
                      <w:color w:val="auto"/>
                      <w:kern w:val="0"/>
                    </w:rPr>
                  </w:pPr>
                </w:p>
              </w:tc>
              <w:tc>
                <w:tcPr>
                  <w:tcW w:w="410" w:type="pct"/>
                  <w:tcBorders>
                    <w:tl2br w:val="nil"/>
                    <w:tr2bl w:val="nil"/>
                  </w:tcBorders>
                  <w:shd w:val="clear" w:color="auto" w:fill="auto"/>
                  <w:vAlign w:val="center"/>
                </w:tcPr>
                <w:p w14:paraId="3A84F6F7">
                  <w:pPr>
                    <w:adjustRightInd w:val="0"/>
                    <w:snapToGrid w:val="0"/>
                    <w:jc w:val="center"/>
                    <w:rPr>
                      <w:color w:val="auto"/>
                      <w:kern w:val="0"/>
                    </w:rPr>
                  </w:pPr>
                  <w:r>
                    <w:rPr>
                      <w:color w:val="auto"/>
                      <w:kern w:val="0"/>
                    </w:rPr>
                    <w:t>电火花</w:t>
                  </w:r>
                </w:p>
              </w:tc>
              <w:tc>
                <w:tcPr>
                  <w:tcW w:w="673" w:type="pct"/>
                  <w:tcBorders>
                    <w:tl2br w:val="nil"/>
                    <w:tr2bl w:val="nil"/>
                  </w:tcBorders>
                  <w:vAlign w:val="center"/>
                </w:tcPr>
                <w:p w14:paraId="3A84F6F8">
                  <w:pPr>
                    <w:adjustRightInd w:val="0"/>
                    <w:snapToGrid w:val="0"/>
                    <w:jc w:val="center"/>
                    <w:rPr>
                      <w:color w:val="auto"/>
                      <w:kern w:val="0"/>
                    </w:rPr>
                  </w:pPr>
                  <w:r>
                    <w:rPr>
                      <w:color w:val="auto"/>
                      <w:kern w:val="0"/>
                    </w:rPr>
                    <w:t>/</w:t>
                  </w:r>
                </w:p>
              </w:tc>
              <w:tc>
                <w:tcPr>
                  <w:tcW w:w="453" w:type="pct"/>
                  <w:tcBorders>
                    <w:tl2br w:val="nil"/>
                    <w:tr2bl w:val="nil"/>
                  </w:tcBorders>
                  <w:vAlign w:val="center"/>
                </w:tcPr>
                <w:p w14:paraId="77E5B02A">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6F9">
                  <w:pPr>
                    <w:adjustRightInd w:val="0"/>
                    <w:snapToGrid w:val="0"/>
                    <w:jc w:val="center"/>
                    <w:rPr>
                      <w:color w:val="auto"/>
                      <w:kern w:val="0"/>
                    </w:rPr>
                  </w:pPr>
                  <w:r>
                    <w:rPr>
                      <w:color w:val="auto"/>
                      <w:kern w:val="0"/>
                    </w:rPr>
                    <w:t>110</w:t>
                  </w:r>
                </w:p>
              </w:tc>
              <w:tc>
                <w:tcPr>
                  <w:tcW w:w="553" w:type="pct"/>
                  <w:tcBorders>
                    <w:tl2br w:val="nil"/>
                    <w:tr2bl w:val="nil"/>
                  </w:tcBorders>
                  <w:vAlign w:val="center"/>
                </w:tcPr>
                <w:p w14:paraId="3A84F6FA">
                  <w:pPr>
                    <w:adjustRightInd w:val="0"/>
                    <w:snapToGrid w:val="0"/>
                    <w:jc w:val="center"/>
                    <w:rPr>
                      <w:rFonts w:hint="default" w:eastAsia="宋体"/>
                      <w:color w:val="auto"/>
                      <w:kern w:val="0"/>
                      <w:lang w:val="en-US" w:eastAsia="zh-CN"/>
                    </w:rPr>
                  </w:pPr>
                  <w:r>
                    <w:rPr>
                      <w:rFonts w:hint="eastAsia"/>
                      <w:color w:val="auto"/>
                      <w:kern w:val="0"/>
                      <w:lang w:val="en-US" w:eastAsia="zh-CN"/>
                    </w:rPr>
                    <w:t>610</w:t>
                  </w:r>
                </w:p>
              </w:tc>
              <w:tc>
                <w:tcPr>
                  <w:tcW w:w="559" w:type="pct"/>
                  <w:tcBorders>
                    <w:tl2br w:val="nil"/>
                    <w:tr2bl w:val="nil"/>
                  </w:tcBorders>
                  <w:vAlign w:val="center"/>
                </w:tcPr>
                <w:p w14:paraId="3A84F6FB">
                  <w:pPr>
                    <w:adjustRightInd w:val="0"/>
                    <w:snapToGrid w:val="0"/>
                    <w:jc w:val="center"/>
                    <w:rPr>
                      <w:color w:val="auto"/>
                      <w:kern w:val="0"/>
                    </w:rPr>
                  </w:pPr>
                  <w:r>
                    <w:rPr>
                      <w:rFonts w:hint="eastAsia"/>
                      <w:color w:val="auto"/>
                      <w:kern w:val="0"/>
                      <w:lang w:val="en-US" w:eastAsia="zh-CN"/>
                    </w:rPr>
                    <w:t>+500</w:t>
                  </w:r>
                </w:p>
              </w:tc>
              <w:tc>
                <w:tcPr>
                  <w:tcW w:w="266" w:type="pct"/>
                  <w:tcBorders>
                    <w:tl2br w:val="nil"/>
                    <w:tr2bl w:val="nil"/>
                  </w:tcBorders>
                  <w:vAlign w:val="center"/>
                </w:tcPr>
                <w:p w14:paraId="3A84F6FC">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6FD">
                  <w:pPr>
                    <w:adjustRightInd w:val="0"/>
                    <w:snapToGrid w:val="0"/>
                    <w:jc w:val="center"/>
                    <w:rPr>
                      <w:color w:val="auto"/>
                      <w:kern w:val="0"/>
                    </w:rPr>
                  </w:pPr>
                  <w:r>
                    <w:rPr>
                      <w:rFonts w:hint="eastAsia"/>
                      <w:color w:val="auto"/>
                      <w:kern w:val="0"/>
                      <w:lang w:val="en-US" w:eastAsia="zh-CN"/>
                    </w:rPr>
                    <w:t>2000枚/箱</w:t>
                  </w:r>
                </w:p>
              </w:tc>
              <w:tc>
                <w:tcPr>
                  <w:tcW w:w="554" w:type="pct"/>
                  <w:tcBorders>
                    <w:tl2br w:val="nil"/>
                    <w:tr2bl w:val="nil"/>
                  </w:tcBorders>
                  <w:vAlign w:val="center"/>
                </w:tcPr>
                <w:p w14:paraId="3A84F6FE">
                  <w:pPr>
                    <w:adjustRightInd w:val="0"/>
                    <w:snapToGrid w:val="0"/>
                    <w:jc w:val="center"/>
                    <w:rPr>
                      <w:color w:val="auto"/>
                      <w:kern w:val="0"/>
                    </w:rPr>
                  </w:pPr>
                  <w:r>
                    <w:rPr>
                      <w:color w:val="auto"/>
                      <w:kern w:val="0"/>
                    </w:rPr>
                    <w:t>50</w:t>
                  </w:r>
                </w:p>
              </w:tc>
            </w:tr>
            <w:tr w14:paraId="3A84F70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shd w:val="clear" w:color="auto" w:fill="auto"/>
                  <w:vAlign w:val="center"/>
                </w:tcPr>
                <w:p w14:paraId="3A84F700">
                  <w:pPr>
                    <w:adjustRightInd w:val="0"/>
                    <w:snapToGrid w:val="0"/>
                    <w:jc w:val="center"/>
                    <w:rPr>
                      <w:color w:val="auto"/>
                      <w:kern w:val="0"/>
                    </w:rPr>
                  </w:pPr>
                  <w:r>
                    <w:rPr>
                      <w:color w:val="auto"/>
                      <w:kern w:val="0"/>
                    </w:rPr>
                    <w:t>过滤网</w:t>
                  </w:r>
                </w:p>
              </w:tc>
              <w:tc>
                <w:tcPr>
                  <w:tcW w:w="673" w:type="pct"/>
                  <w:tcBorders>
                    <w:tl2br w:val="nil"/>
                    <w:tr2bl w:val="nil"/>
                  </w:tcBorders>
                  <w:vAlign w:val="center"/>
                </w:tcPr>
                <w:p w14:paraId="3A84F701">
                  <w:pPr>
                    <w:adjustRightInd w:val="0"/>
                    <w:snapToGrid w:val="0"/>
                    <w:jc w:val="center"/>
                    <w:rPr>
                      <w:color w:val="auto"/>
                      <w:kern w:val="0"/>
                    </w:rPr>
                  </w:pPr>
                  <w:r>
                    <w:rPr>
                      <w:color w:val="auto"/>
                      <w:kern w:val="0"/>
                    </w:rPr>
                    <w:t>/</w:t>
                  </w:r>
                </w:p>
              </w:tc>
              <w:tc>
                <w:tcPr>
                  <w:tcW w:w="453" w:type="pct"/>
                  <w:tcBorders>
                    <w:tl2br w:val="nil"/>
                    <w:tr2bl w:val="nil"/>
                  </w:tcBorders>
                  <w:vAlign w:val="center"/>
                </w:tcPr>
                <w:p w14:paraId="0B9A6C8F">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02">
                  <w:pPr>
                    <w:adjustRightInd w:val="0"/>
                    <w:snapToGrid w:val="0"/>
                    <w:jc w:val="center"/>
                    <w:rPr>
                      <w:color w:val="auto"/>
                      <w:kern w:val="0"/>
                    </w:rPr>
                  </w:pPr>
                  <w:r>
                    <w:rPr>
                      <w:color w:val="auto"/>
                      <w:kern w:val="0"/>
                    </w:rPr>
                    <w:t>110</w:t>
                  </w:r>
                </w:p>
              </w:tc>
              <w:tc>
                <w:tcPr>
                  <w:tcW w:w="553" w:type="pct"/>
                  <w:tcBorders>
                    <w:tl2br w:val="nil"/>
                    <w:tr2bl w:val="nil"/>
                  </w:tcBorders>
                  <w:vAlign w:val="center"/>
                </w:tcPr>
                <w:p w14:paraId="3A84F703">
                  <w:pPr>
                    <w:adjustRightInd w:val="0"/>
                    <w:snapToGrid w:val="0"/>
                    <w:jc w:val="center"/>
                    <w:rPr>
                      <w:rFonts w:hint="default" w:eastAsia="宋体"/>
                      <w:color w:val="auto"/>
                      <w:kern w:val="0"/>
                      <w:lang w:val="en-US" w:eastAsia="zh-CN"/>
                    </w:rPr>
                  </w:pPr>
                  <w:r>
                    <w:rPr>
                      <w:rFonts w:hint="eastAsia"/>
                      <w:color w:val="auto"/>
                      <w:kern w:val="0"/>
                      <w:lang w:val="en-US" w:eastAsia="zh-CN"/>
                    </w:rPr>
                    <w:t>610</w:t>
                  </w:r>
                </w:p>
              </w:tc>
              <w:tc>
                <w:tcPr>
                  <w:tcW w:w="559" w:type="pct"/>
                  <w:tcBorders>
                    <w:tl2br w:val="nil"/>
                    <w:tr2bl w:val="nil"/>
                  </w:tcBorders>
                  <w:vAlign w:val="center"/>
                </w:tcPr>
                <w:p w14:paraId="3A84F704">
                  <w:pPr>
                    <w:adjustRightInd w:val="0"/>
                    <w:snapToGrid w:val="0"/>
                    <w:jc w:val="center"/>
                    <w:rPr>
                      <w:color w:val="auto"/>
                      <w:kern w:val="0"/>
                    </w:rPr>
                  </w:pPr>
                  <w:r>
                    <w:rPr>
                      <w:rFonts w:hint="eastAsia"/>
                      <w:color w:val="auto"/>
                      <w:kern w:val="0"/>
                      <w:lang w:val="en-US" w:eastAsia="zh-CN"/>
                    </w:rPr>
                    <w:t>+500</w:t>
                  </w:r>
                </w:p>
              </w:tc>
              <w:tc>
                <w:tcPr>
                  <w:tcW w:w="266" w:type="pct"/>
                  <w:tcBorders>
                    <w:tl2br w:val="nil"/>
                    <w:tr2bl w:val="nil"/>
                  </w:tcBorders>
                  <w:vAlign w:val="center"/>
                </w:tcPr>
                <w:p w14:paraId="3A84F705">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06">
                  <w:pPr>
                    <w:adjustRightInd w:val="0"/>
                    <w:snapToGrid w:val="0"/>
                    <w:jc w:val="center"/>
                    <w:rPr>
                      <w:color w:val="auto"/>
                      <w:kern w:val="0"/>
                    </w:rPr>
                  </w:pPr>
                  <w:r>
                    <w:rPr>
                      <w:color w:val="auto"/>
                      <w:kern w:val="0"/>
                    </w:rPr>
                    <w:t>200枚/箱</w:t>
                  </w:r>
                </w:p>
              </w:tc>
              <w:tc>
                <w:tcPr>
                  <w:tcW w:w="554" w:type="pct"/>
                  <w:tcBorders>
                    <w:tl2br w:val="nil"/>
                    <w:tr2bl w:val="nil"/>
                  </w:tcBorders>
                  <w:vAlign w:val="center"/>
                </w:tcPr>
                <w:p w14:paraId="3A84F707">
                  <w:pPr>
                    <w:adjustRightInd w:val="0"/>
                    <w:snapToGrid w:val="0"/>
                    <w:jc w:val="center"/>
                    <w:rPr>
                      <w:color w:val="auto"/>
                      <w:kern w:val="0"/>
                    </w:rPr>
                  </w:pPr>
                  <w:r>
                    <w:rPr>
                      <w:color w:val="auto"/>
                      <w:kern w:val="0"/>
                    </w:rPr>
                    <w:t>50</w:t>
                  </w:r>
                </w:p>
              </w:tc>
            </w:tr>
            <w:tr w14:paraId="3A84F71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shd w:val="clear" w:color="auto" w:fill="auto"/>
                  <w:vAlign w:val="center"/>
                </w:tcPr>
                <w:p w14:paraId="3A84F709">
                  <w:pPr>
                    <w:adjustRightInd w:val="0"/>
                    <w:snapToGrid w:val="0"/>
                    <w:jc w:val="center"/>
                    <w:rPr>
                      <w:color w:val="auto"/>
                      <w:kern w:val="0"/>
                    </w:rPr>
                  </w:pPr>
                  <w:r>
                    <w:rPr>
                      <w:color w:val="auto"/>
                      <w:kern w:val="0"/>
                    </w:rPr>
                    <w:t>缓冲棉</w:t>
                  </w:r>
                </w:p>
              </w:tc>
              <w:tc>
                <w:tcPr>
                  <w:tcW w:w="673" w:type="pct"/>
                  <w:tcBorders>
                    <w:tl2br w:val="nil"/>
                    <w:tr2bl w:val="nil"/>
                  </w:tcBorders>
                  <w:vAlign w:val="center"/>
                </w:tcPr>
                <w:p w14:paraId="3A84F70A">
                  <w:pPr>
                    <w:adjustRightInd w:val="0"/>
                    <w:snapToGrid w:val="0"/>
                    <w:jc w:val="center"/>
                    <w:rPr>
                      <w:color w:val="auto"/>
                      <w:kern w:val="0"/>
                    </w:rPr>
                  </w:pPr>
                  <w:r>
                    <w:rPr>
                      <w:color w:val="auto"/>
                      <w:kern w:val="0"/>
                    </w:rPr>
                    <w:t>/</w:t>
                  </w:r>
                </w:p>
              </w:tc>
              <w:tc>
                <w:tcPr>
                  <w:tcW w:w="453" w:type="pct"/>
                  <w:tcBorders>
                    <w:tl2br w:val="nil"/>
                    <w:tr2bl w:val="nil"/>
                  </w:tcBorders>
                  <w:vAlign w:val="center"/>
                </w:tcPr>
                <w:p w14:paraId="64772685">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0B">
                  <w:pPr>
                    <w:adjustRightInd w:val="0"/>
                    <w:snapToGrid w:val="0"/>
                    <w:jc w:val="center"/>
                    <w:rPr>
                      <w:color w:val="auto"/>
                      <w:kern w:val="0"/>
                    </w:rPr>
                  </w:pPr>
                  <w:r>
                    <w:rPr>
                      <w:color w:val="auto"/>
                      <w:kern w:val="0"/>
                    </w:rPr>
                    <w:t>110</w:t>
                  </w:r>
                </w:p>
              </w:tc>
              <w:tc>
                <w:tcPr>
                  <w:tcW w:w="553" w:type="pct"/>
                  <w:tcBorders>
                    <w:tl2br w:val="nil"/>
                    <w:tr2bl w:val="nil"/>
                  </w:tcBorders>
                  <w:vAlign w:val="center"/>
                </w:tcPr>
                <w:p w14:paraId="3A84F70C">
                  <w:pPr>
                    <w:adjustRightInd w:val="0"/>
                    <w:snapToGrid w:val="0"/>
                    <w:jc w:val="center"/>
                    <w:rPr>
                      <w:rFonts w:hint="default" w:eastAsia="宋体"/>
                      <w:color w:val="auto"/>
                      <w:kern w:val="0"/>
                      <w:lang w:val="en-US" w:eastAsia="zh-CN"/>
                    </w:rPr>
                  </w:pPr>
                  <w:r>
                    <w:rPr>
                      <w:rFonts w:hint="eastAsia"/>
                      <w:color w:val="auto"/>
                      <w:kern w:val="0"/>
                      <w:lang w:val="en-US" w:eastAsia="zh-CN"/>
                    </w:rPr>
                    <w:t>610</w:t>
                  </w:r>
                </w:p>
              </w:tc>
              <w:tc>
                <w:tcPr>
                  <w:tcW w:w="559" w:type="pct"/>
                  <w:tcBorders>
                    <w:tl2br w:val="nil"/>
                    <w:tr2bl w:val="nil"/>
                  </w:tcBorders>
                  <w:vAlign w:val="center"/>
                </w:tcPr>
                <w:p w14:paraId="3A84F70D">
                  <w:pPr>
                    <w:adjustRightInd w:val="0"/>
                    <w:snapToGrid w:val="0"/>
                    <w:jc w:val="center"/>
                    <w:rPr>
                      <w:color w:val="auto"/>
                      <w:kern w:val="0"/>
                    </w:rPr>
                  </w:pPr>
                  <w:r>
                    <w:rPr>
                      <w:rFonts w:hint="eastAsia"/>
                      <w:color w:val="auto"/>
                      <w:kern w:val="0"/>
                      <w:lang w:val="en-US" w:eastAsia="zh-CN"/>
                    </w:rPr>
                    <w:t>+500</w:t>
                  </w:r>
                </w:p>
              </w:tc>
              <w:tc>
                <w:tcPr>
                  <w:tcW w:w="266" w:type="pct"/>
                  <w:tcBorders>
                    <w:tl2br w:val="nil"/>
                    <w:tr2bl w:val="nil"/>
                  </w:tcBorders>
                  <w:vAlign w:val="center"/>
                </w:tcPr>
                <w:p w14:paraId="3A84F70E">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0F">
                  <w:pPr>
                    <w:adjustRightInd w:val="0"/>
                    <w:snapToGrid w:val="0"/>
                    <w:jc w:val="center"/>
                    <w:rPr>
                      <w:color w:val="auto"/>
                      <w:kern w:val="0"/>
                    </w:rPr>
                  </w:pPr>
                  <w:r>
                    <w:rPr>
                      <w:color w:val="auto"/>
                      <w:kern w:val="0"/>
                    </w:rPr>
                    <w:t>500枚/箱</w:t>
                  </w:r>
                </w:p>
              </w:tc>
              <w:tc>
                <w:tcPr>
                  <w:tcW w:w="554" w:type="pct"/>
                  <w:tcBorders>
                    <w:tl2br w:val="nil"/>
                    <w:tr2bl w:val="nil"/>
                  </w:tcBorders>
                  <w:vAlign w:val="center"/>
                </w:tcPr>
                <w:p w14:paraId="3A84F710">
                  <w:pPr>
                    <w:adjustRightInd w:val="0"/>
                    <w:snapToGrid w:val="0"/>
                    <w:jc w:val="center"/>
                    <w:rPr>
                      <w:color w:val="auto"/>
                      <w:kern w:val="0"/>
                    </w:rPr>
                  </w:pPr>
                  <w:r>
                    <w:rPr>
                      <w:color w:val="auto"/>
                      <w:kern w:val="0"/>
                    </w:rPr>
                    <w:t>50</w:t>
                  </w:r>
                </w:p>
              </w:tc>
            </w:tr>
            <w:tr w14:paraId="3A84F71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712">
                  <w:pPr>
                    <w:adjustRightInd w:val="0"/>
                    <w:snapToGrid w:val="0"/>
                    <w:jc w:val="center"/>
                    <w:rPr>
                      <w:color w:val="auto"/>
                      <w:kern w:val="0"/>
                    </w:rPr>
                  </w:pPr>
                  <w:r>
                    <w:rPr>
                      <w:color w:val="auto"/>
                      <w:kern w:val="0"/>
                    </w:rPr>
                    <w:t>产气药</w:t>
                  </w:r>
                </w:p>
              </w:tc>
              <w:tc>
                <w:tcPr>
                  <w:tcW w:w="673" w:type="pct"/>
                  <w:tcBorders>
                    <w:tl2br w:val="nil"/>
                    <w:tr2bl w:val="nil"/>
                  </w:tcBorders>
                  <w:vAlign w:val="center"/>
                </w:tcPr>
                <w:p w14:paraId="3A84F713">
                  <w:pPr>
                    <w:adjustRightInd w:val="0"/>
                    <w:snapToGrid w:val="0"/>
                    <w:jc w:val="center"/>
                    <w:rPr>
                      <w:color w:val="auto"/>
                      <w:kern w:val="0"/>
                    </w:rPr>
                  </w:pPr>
                  <w:r>
                    <w:rPr>
                      <w:color w:val="auto"/>
                      <w:kern w:val="0"/>
                    </w:rPr>
                    <w:t>硝酸胍、硝酸铜等</w:t>
                  </w:r>
                </w:p>
              </w:tc>
              <w:tc>
                <w:tcPr>
                  <w:tcW w:w="453" w:type="pct"/>
                  <w:tcBorders>
                    <w:tl2br w:val="nil"/>
                    <w:tr2bl w:val="nil"/>
                  </w:tcBorders>
                  <w:vAlign w:val="center"/>
                </w:tcPr>
                <w:p w14:paraId="6909328C">
                  <w:pPr>
                    <w:adjustRightInd w:val="0"/>
                    <w:snapToGrid w:val="0"/>
                    <w:jc w:val="center"/>
                    <w:rPr>
                      <w:rFonts w:hint="eastAsia" w:eastAsia="宋体"/>
                      <w:color w:val="auto"/>
                      <w:kern w:val="0"/>
                      <w:lang w:val="en-US" w:eastAsia="zh-CN"/>
                    </w:rPr>
                  </w:pPr>
                  <w:r>
                    <w:rPr>
                      <w:rFonts w:hint="eastAsia"/>
                      <w:color w:val="auto"/>
                      <w:kern w:val="0"/>
                      <w:lang w:val="en-US" w:eastAsia="zh-CN"/>
                    </w:rPr>
                    <w:t>吨</w:t>
                  </w:r>
                </w:p>
              </w:tc>
              <w:tc>
                <w:tcPr>
                  <w:tcW w:w="553" w:type="pct"/>
                  <w:tcBorders>
                    <w:tl2br w:val="nil"/>
                    <w:tr2bl w:val="nil"/>
                  </w:tcBorders>
                  <w:vAlign w:val="center"/>
                </w:tcPr>
                <w:p w14:paraId="3A84F714">
                  <w:pPr>
                    <w:adjustRightInd w:val="0"/>
                    <w:snapToGrid w:val="0"/>
                    <w:jc w:val="center"/>
                    <w:rPr>
                      <w:rFonts w:hint="default" w:eastAsia="宋体"/>
                      <w:color w:val="auto"/>
                      <w:kern w:val="0"/>
                      <w:lang w:val="en-US" w:eastAsia="zh-CN"/>
                    </w:rPr>
                  </w:pPr>
                  <w:r>
                    <w:rPr>
                      <w:rFonts w:hint="eastAsia"/>
                      <w:color w:val="auto"/>
                      <w:kern w:val="0"/>
                      <w:lang w:val="en-US" w:eastAsia="zh-CN"/>
                    </w:rPr>
                    <w:t>200</w:t>
                  </w:r>
                </w:p>
              </w:tc>
              <w:tc>
                <w:tcPr>
                  <w:tcW w:w="553" w:type="pct"/>
                  <w:tcBorders>
                    <w:tl2br w:val="nil"/>
                    <w:tr2bl w:val="nil"/>
                  </w:tcBorders>
                  <w:vAlign w:val="center"/>
                </w:tcPr>
                <w:p w14:paraId="3A84F715">
                  <w:pPr>
                    <w:adjustRightInd w:val="0"/>
                    <w:snapToGrid w:val="0"/>
                    <w:jc w:val="center"/>
                    <w:rPr>
                      <w:rFonts w:hint="default" w:eastAsia="宋体"/>
                      <w:color w:val="auto"/>
                      <w:kern w:val="0"/>
                      <w:lang w:val="en-US" w:eastAsia="zh-CN"/>
                    </w:rPr>
                  </w:pPr>
                  <w:r>
                    <w:rPr>
                      <w:rFonts w:hint="eastAsia"/>
                      <w:color w:val="auto"/>
                      <w:kern w:val="0"/>
                      <w:lang w:val="en-US" w:eastAsia="zh-CN"/>
                    </w:rPr>
                    <w:t>700</w:t>
                  </w:r>
                </w:p>
              </w:tc>
              <w:tc>
                <w:tcPr>
                  <w:tcW w:w="559" w:type="pct"/>
                  <w:tcBorders>
                    <w:tl2br w:val="nil"/>
                    <w:tr2bl w:val="nil"/>
                  </w:tcBorders>
                  <w:vAlign w:val="center"/>
                </w:tcPr>
                <w:p w14:paraId="3A84F716">
                  <w:pPr>
                    <w:adjustRightInd w:val="0"/>
                    <w:snapToGrid w:val="0"/>
                    <w:jc w:val="center"/>
                    <w:rPr>
                      <w:rFonts w:hint="default" w:eastAsia="宋体"/>
                      <w:color w:val="auto"/>
                      <w:kern w:val="0"/>
                      <w:lang w:val="en-US" w:eastAsia="zh-CN"/>
                    </w:rPr>
                  </w:pPr>
                  <w:r>
                    <w:rPr>
                      <w:rFonts w:hint="eastAsia"/>
                      <w:color w:val="auto"/>
                      <w:kern w:val="0"/>
                      <w:lang w:val="en-US" w:eastAsia="zh-CN"/>
                    </w:rPr>
                    <w:t>+500</w:t>
                  </w:r>
                </w:p>
              </w:tc>
              <w:tc>
                <w:tcPr>
                  <w:tcW w:w="266" w:type="pct"/>
                  <w:tcBorders>
                    <w:tl2br w:val="nil"/>
                    <w:tr2bl w:val="nil"/>
                  </w:tcBorders>
                  <w:vAlign w:val="center"/>
                </w:tcPr>
                <w:p w14:paraId="3A84F717">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18">
                  <w:pPr>
                    <w:adjustRightInd w:val="0"/>
                    <w:snapToGrid w:val="0"/>
                    <w:jc w:val="center"/>
                    <w:rPr>
                      <w:color w:val="auto"/>
                      <w:kern w:val="0"/>
                    </w:rPr>
                  </w:pPr>
                  <w:r>
                    <w:rPr>
                      <w:color w:val="auto"/>
                      <w:kern w:val="0"/>
                    </w:rPr>
                    <w:t>12kg/桶</w:t>
                  </w:r>
                </w:p>
              </w:tc>
              <w:tc>
                <w:tcPr>
                  <w:tcW w:w="554" w:type="pct"/>
                  <w:tcBorders>
                    <w:tl2br w:val="nil"/>
                    <w:tr2bl w:val="nil"/>
                  </w:tcBorders>
                  <w:vAlign w:val="center"/>
                </w:tcPr>
                <w:p w14:paraId="3A84F719">
                  <w:pPr>
                    <w:adjustRightInd w:val="0"/>
                    <w:snapToGrid w:val="0"/>
                    <w:jc w:val="center"/>
                    <w:rPr>
                      <w:rFonts w:hint="default" w:eastAsia="宋体"/>
                      <w:color w:val="auto"/>
                      <w:kern w:val="0"/>
                      <w:lang w:val="en-US" w:eastAsia="zh-CN"/>
                    </w:rPr>
                  </w:pPr>
                  <w:r>
                    <w:rPr>
                      <w:rFonts w:hint="eastAsia"/>
                      <w:color w:val="auto"/>
                      <w:kern w:val="0"/>
                      <w:lang w:val="en-US" w:eastAsia="zh-CN"/>
                    </w:rPr>
                    <w:t>15</w:t>
                  </w:r>
                </w:p>
              </w:tc>
            </w:tr>
            <w:tr w14:paraId="3A84F72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71B">
                  <w:pPr>
                    <w:adjustRightInd w:val="0"/>
                    <w:snapToGrid w:val="0"/>
                    <w:jc w:val="center"/>
                    <w:rPr>
                      <w:color w:val="auto"/>
                      <w:kern w:val="0"/>
                    </w:rPr>
                  </w:pPr>
                  <w:r>
                    <w:rPr>
                      <w:color w:val="auto"/>
                      <w:kern w:val="0"/>
                    </w:rPr>
                    <w:t>固定盖板</w:t>
                  </w:r>
                </w:p>
              </w:tc>
              <w:tc>
                <w:tcPr>
                  <w:tcW w:w="673" w:type="pct"/>
                  <w:tcBorders>
                    <w:tl2br w:val="nil"/>
                    <w:tr2bl w:val="nil"/>
                  </w:tcBorders>
                  <w:vAlign w:val="center"/>
                </w:tcPr>
                <w:p w14:paraId="3A84F71C">
                  <w:pPr>
                    <w:adjustRightInd w:val="0"/>
                    <w:snapToGrid w:val="0"/>
                    <w:jc w:val="center"/>
                    <w:rPr>
                      <w:color w:val="auto"/>
                      <w:kern w:val="0"/>
                    </w:rPr>
                  </w:pPr>
                  <w:r>
                    <w:rPr>
                      <w:color w:val="auto"/>
                      <w:kern w:val="0"/>
                    </w:rPr>
                    <w:t>/</w:t>
                  </w:r>
                </w:p>
              </w:tc>
              <w:tc>
                <w:tcPr>
                  <w:tcW w:w="453" w:type="pct"/>
                  <w:tcBorders>
                    <w:tl2br w:val="nil"/>
                    <w:tr2bl w:val="nil"/>
                  </w:tcBorders>
                  <w:vAlign w:val="center"/>
                </w:tcPr>
                <w:p w14:paraId="71AECDB1">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1D">
                  <w:pPr>
                    <w:adjustRightInd w:val="0"/>
                    <w:snapToGrid w:val="0"/>
                    <w:jc w:val="center"/>
                    <w:rPr>
                      <w:color w:val="auto"/>
                      <w:kern w:val="0"/>
                    </w:rPr>
                  </w:pPr>
                  <w:r>
                    <w:rPr>
                      <w:color w:val="auto"/>
                      <w:kern w:val="0"/>
                    </w:rPr>
                    <w:t>110</w:t>
                  </w:r>
                </w:p>
              </w:tc>
              <w:tc>
                <w:tcPr>
                  <w:tcW w:w="553" w:type="pct"/>
                  <w:tcBorders>
                    <w:tl2br w:val="nil"/>
                    <w:tr2bl w:val="nil"/>
                  </w:tcBorders>
                  <w:vAlign w:val="center"/>
                </w:tcPr>
                <w:p w14:paraId="3A84F71E">
                  <w:pPr>
                    <w:adjustRightInd w:val="0"/>
                    <w:snapToGrid w:val="0"/>
                    <w:jc w:val="center"/>
                    <w:rPr>
                      <w:color w:val="auto"/>
                      <w:kern w:val="0"/>
                    </w:rPr>
                  </w:pPr>
                  <w:r>
                    <w:rPr>
                      <w:rFonts w:hint="eastAsia"/>
                      <w:color w:val="auto"/>
                      <w:kern w:val="0"/>
                      <w:lang w:val="en-US" w:eastAsia="zh-CN"/>
                    </w:rPr>
                    <w:t>610</w:t>
                  </w:r>
                </w:p>
              </w:tc>
              <w:tc>
                <w:tcPr>
                  <w:tcW w:w="559" w:type="pct"/>
                  <w:tcBorders>
                    <w:tl2br w:val="nil"/>
                    <w:tr2bl w:val="nil"/>
                  </w:tcBorders>
                  <w:vAlign w:val="center"/>
                </w:tcPr>
                <w:p w14:paraId="3A84F71F">
                  <w:pPr>
                    <w:adjustRightInd w:val="0"/>
                    <w:snapToGrid w:val="0"/>
                    <w:jc w:val="center"/>
                    <w:rPr>
                      <w:color w:val="auto"/>
                      <w:kern w:val="0"/>
                    </w:rPr>
                  </w:pPr>
                  <w:r>
                    <w:rPr>
                      <w:rFonts w:hint="eastAsia"/>
                      <w:color w:val="auto"/>
                      <w:kern w:val="0"/>
                      <w:lang w:val="en-US" w:eastAsia="zh-CN"/>
                    </w:rPr>
                    <w:t>+500</w:t>
                  </w:r>
                </w:p>
              </w:tc>
              <w:tc>
                <w:tcPr>
                  <w:tcW w:w="266" w:type="pct"/>
                  <w:tcBorders>
                    <w:tl2br w:val="nil"/>
                    <w:tr2bl w:val="nil"/>
                  </w:tcBorders>
                  <w:vAlign w:val="center"/>
                </w:tcPr>
                <w:p w14:paraId="3A84F720">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21">
                  <w:pPr>
                    <w:adjustRightInd w:val="0"/>
                    <w:snapToGrid w:val="0"/>
                    <w:jc w:val="center"/>
                    <w:rPr>
                      <w:color w:val="auto"/>
                      <w:kern w:val="0"/>
                    </w:rPr>
                  </w:pPr>
                  <w:r>
                    <w:rPr>
                      <w:color w:val="auto"/>
                      <w:kern w:val="0"/>
                    </w:rPr>
                    <w:t>500枚/箱</w:t>
                  </w:r>
                </w:p>
              </w:tc>
              <w:tc>
                <w:tcPr>
                  <w:tcW w:w="554" w:type="pct"/>
                  <w:tcBorders>
                    <w:tl2br w:val="nil"/>
                    <w:tr2bl w:val="nil"/>
                  </w:tcBorders>
                  <w:vAlign w:val="center"/>
                </w:tcPr>
                <w:p w14:paraId="3A84F722">
                  <w:pPr>
                    <w:adjustRightInd w:val="0"/>
                    <w:snapToGrid w:val="0"/>
                    <w:jc w:val="center"/>
                    <w:rPr>
                      <w:color w:val="auto"/>
                      <w:kern w:val="0"/>
                    </w:rPr>
                  </w:pPr>
                  <w:r>
                    <w:rPr>
                      <w:color w:val="auto"/>
                      <w:kern w:val="0"/>
                    </w:rPr>
                    <w:t>50</w:t>
                  </w:r>
                </w:p>
              </w:tc>
            </w:tr>
            <w:tr w14:paraId="3A84F72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724">
                  <w:pPr>
                    <w:adjustRightInd w:val="0"/>
                    <w:snapToGrid w:val="0"/>
                    <w:jc w:val="center"/>
                    <w:rPr>
                      <w:color w:val="auto"/>
                      <w:kern w:val="0"/>
                    </w:rPr>
                  </w:pPr>
                  <w:r>
                    <w:rPr>
                      <w:color w:val="auto"/>
                      <w:kern w:val="0"/>
                    </w:rPr>
                    <w:t>扩散体</w:t>
                  </w:r>
                </w:p>
              </w:tc>
              <w:tc>
                <w:tcPr>
                  <w:tcW w:w="673" w:type="pct"/>
                  <w:tcBorders>
                    <w:tl2br w:val="nil"/>
                    <w:tr2bl w:val="nil"/>
                  </w:tcBorders>
                  <w:vAlign w:val="center"/>
                </w:tcPr>
                <w:p w14:paraId="3A84F725">
                  <w:pPr>
                    <w:adjustRightInd w:val="0"/>
                    <w:snapToGrid w:val="0"/>
                    <w:jc w:val="center"/>
                    <w:rPr>
                      <w:color w:val="auto"/>
                      <w:kern w:val="0"/>
                    </w:rPr>
                  </w:pPr>
                  <w:r>
                    <w:rPr>
                      <w:color w:val="auto"/>
                      <w:kern w:val="0"/>
                    </w:rPr>
                    <w:t>/</w:t>
                  </w:r>
                </w:p>
              </w:tc>
              <w:tc>
                <w:tcPr>
                  <w:tcW w:w="453" w:type="pct"/>
                  <w:tcBorders>
                    <w:tl2br w:val="nil"/>
                    <w:tr2bl w:val="nil"/>
                  </w:tcBorders>
                  <w:vAlign w:val="center"/>
                </w:tcPr>
                <w:p w14:paraId="7DD1E832">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26">
                  <w:pPr>
                    <w:adjustRightInd w:val="0"/>
                    <w:snapToGrid w:val="0"/>
                    <w:jc w:val="center"/>
                    <w:rPr>
                      <w:color w:val="auto"/>
                      <w:kern w:val="0"/>
                    </w:rPr>
                  </w:pPr>
                  <w:r>
                    <w:rPr>
                      <w:color w:val="auto"/>
                      <w:kern w:val="0"/>
                    </w:rPr>
                    <w:t>110</w:t>
                  </w:r>
                </w:p>
              </w:tc>
              <w:tc>
                <w:tcPr>
                  <w:tcW w:w="553" w:type="pct"/>
                  <w:tcBorders>
                    <w:tl2br w:val="nil"/>
                    <w:tr2bl w:val="nil"/>
                  </w:tcBorders>
                  <w:vAlign w:val="center"/>
                </w:tcPr>
                <w:p w14:paraId="3A84F727">
                  <w:pPr>
                    <w:adjustRightInd w:val="0"/>
                    <w:snapToGrid w:val="0"/>
                    <w:jc w:val="center"/>
                    <w:rPr>
                      <w:color w:val="auto"/>
                      <w:kern w:val="0"/>
                    </w:rPr>
                  </w:pPr>
                  <w:r>
                    <w:rPr>
                      <w:rFonts w:hint="eastAsia"/>
                      <w:color w:val="auto"/>
                      <w:kern w:val="0"/>
                      <w:lang w:val="en-US" w:eastAsia="zh-CN"/>
                    </w:rPr>
                    <w:t>610</w:t>
                  </w:r>
                </w:p>
              </w:tc>
              <w:tc>
                <w:tcPr>
                  <w:tcW w:w="559" w:type="pct"/>
                  <w:tcBorders>
                    <w:tl2br w:val="nil"/>
                    <w:tr2bl w:val="nil"/>
                  </w:tcBorders>
                  <w:vAlign w:val="center"/>
                </w:tcPr>
                <w:p w14:paraId="3A84F728">
                  <w:pPr>
                    <w:adjustRightInd w:val="0"/>
                    <w:snapToGrid w:val="0"/>
                    <w:jc w:val="center"/>
                    <w:rPr>
                      <w:color w:val="auto"/>
                      <w:kern w:val="0"/>
                    </w:rPr>
                  </w:pPr>
                  <w:r>
                    <w:rPr>
                      <w:rFonts w:hint="eastAsia"/>
                      <w:color w:val="auto"/>
                      <w:kern w:val="0"/>
                      <w:lang w:val="en-US" w:eastAsia="zh-CN"/>
                    </w:rPr>
                    <w:t>+500</w:t>
                  </w:r>
                </w:p>
              </w:tc>
              <w:tc>
                <w:tcPr>
                  <w:tcW w:w="266" w:type="pct"/>
                  <w:tcBorders>
                    <w:tl2br w:val="nil"/>
                    <w:tr2bl w:val="nil"/>
                  </w:tcBorders>
                  <w:vAlign w:val="center"/>
                </w:tcPr>
                <w:p w14:paraId="3A84F729">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2A">
                  <w:pPr>
                    <w:adjustRightInd w:val="0"/>
                    <w:snapToGrid w:val="0"/>
                    <w:jc w:val="center"/>
                    <w:rPr>
                      <w:color w:val="auto"/>
                      <w:kern w:val="0"/>
                    </w:rPr>
                  </w:pPr>
                  <w:r>
                    <w:rPr>
                      <w:color w:val="auto"/>
                      <w:kern w:val="0"/>
                    </w:rPr>
                    <w:t>200枚/箱</w:t>
                  </w:r>
                </w:p>
              </w:tc>
              <w:tc>
                <w:tcPr>
                  <w:tcW w:w="554" w:type="pct"/>
                  <w:tcBorders>
                    <w:tl2br w:val="nil"/>
                    <w:tr2bl w:val="nil"/>
                  </w:tcBorders>
                  <w:vAlign w:val="center"/>
                </w:tcPr>
                <w:p w14:paraId="3A84F72B">
                  <w:pPr>
                    <w:adjustRightInd w:val="0"/>
                    <w:snapToGrid w:val="0"/>
                    <w:jc w:val="center"/>
                    <w:rPr>
                      <w:color w:val="auto"/>
                      <w:kern w:val="0"/>
                    </w:rPr>
                  </w:pPr>
                  <w:r>
                    <w:rPr>
                      <w:color w:val="auto"/>
                      <w:kern w:val="0"/>
                    </w:rPr>
                    <w:t>50</w:t>
                  </w:r>
                </w:p>
              </w:tc>
            </w:tr>
            <w:tr w14:paraId="3A84F73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72D">
                  <w:pPr>
                    <w:adjustRightInd w:val="0"/>
                    <w:snapToGrid w:val="0"/>
                    <w:jc w:val="center"/>
                    <w:rPr>
                      <w:color w:val="auto"/>
                      <w:kern w:val="0"/>
                    </w:rPr>
                  </w:pPr>
                  <w:r>
                    <w:rPr>
                      <w:color w:val="auto"/>
                      <w:kern w:val="0"/>
                    </w:rPr>
                    <w:t>短路片</w:t>
                  </w:r>
                </w:p>
              </w:tc>
              <w:tc>
                <w:tcPr>
                  <w:tcW w:w="673" w:type="pct"/>
                  <w:tcBorders>
                    <w:tl2br w:val="nil"/>
                    <w:tr2bl w:val="nil"/>
                  </w:tcBorders>
                  <w:vAlign w:val="center"/>
                </w:tcPr>
                <w:p w14:paraId="3A84F72E">
                  <w:pPr>
                    <w:adjustRightInd w:val="0"/>
                    <w:snapToGrid w:val="0"/>
                    <w:jc w:val="center"/>
                    <w:rPr>
                      <w:color w:val="auto"/>
                      <w:kern w:val="0"/>
                    </w:rPr>
                  </w:pPr>
                  <w:r>
                    <w:rPr>
                      <w:color w:val="auto"/>
                      <w:kern w:val="0"/>
                    </w:rPr>
                    <w:t>/</w:t>
                  </w:r>
                </w:p>
              </w:tc>
              <w:tc>
                <w:tcPr>
                  <w:tcW w:w="453" w:type="pct"/>
                  <w:tcBorders>
                    <w:tl2br w:val="nil"/>
                    <w:tr2bl w:val="nil"/>
                  </w:tcBorders>
                  <w:vAlign w:val="center"/>
                </w:tcPr>
                <w:p w14:paraId="69346F8F">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2F">
                  <w:pPr>
                    <w:adjustRightInd w:val="0"/>
                    <w:snapToGrid w:val="0"/>
                    <w:jc w:val="center"/>
                    <w:rPr>
                      <w:color w:val="auto"/>
                      <w:kern w:val="0"/>
                    </w:rPr>
                  </w:pPr>
                  <w:r>
                    <w:rPr>
                      <w:color w:val="auto"/>
                      <w:kern w:val="0"/>
                    </w:rPr>
                    <w:t>110</w:t>
                  </w:r>
                </w:p>
              </w:tc>
              <w:tc>
                <w:tcPr>
                  <w:tcW w:w="553" w:type="pct"/>
                  <w:tcBorders>
                    <w:tl2br w:val="nil"/>
                    <w:tr2bl w:val="nil"/>
                  </w:tcBorders>
                  <w:vAlign w:val="center"/>
                </w:tcPr>
                <w:p w14:paraId="3A84F730">
                  <w:pPr>
                    <w:adjustRightInd w:val="0"/>
                    <w:snapToGrid w:val="0"/>
                    <w:jc w:val="center"/>
                    <w:rPr>
                      <w:color w:val="auto"/>
                      <w:kern w:val="0"/>
                    </w:rPr>
                  </w:pPr>
                  <w:r>
                    <w:rPr>
                      <w:rFonts w:hint="eastAsia"/>
                      <w:color w:val="auto"/>
                      <w:kern w:val="0"/>
                      <w:lang w:val="en-US" w:eastAsia="zh-CN"/>
                    </w:rPr>
                    <w:t>610</w:t>
                  </w:r>
                </w:p>
              </w:tc>
              <w:tc>
                <w:tcPr>
                  <w:tcW w:w="559" w:type="pct"/>
                  <w:tcBorders>
                    <w:tl2br w:val="nil"/>
                    <w:tr2bl w:val="nil"/>
                  </w:tcBorders>
                  <w:vAlign w:val="center"/>
                </w:tcPr>
                <w:p w14:paraId="3A84F731">
                  <w:pPr>
                    <w:adjustRightInd w:val="0"/>
                    <w:snapToGrid w:val="0"/>
                    <w:jc w:val="center"/>
                    <w:rPr>
                      <w:color w:val="auto"/>
                      <w:kern w:val="0"/>
                    </w:rPr>
                  </w:pPr>
                  <w:r>
                    <w:rPr>
                      <w:rFonts w:hint="eastAsia"/>
                      <w:color w:val="auto"/>
                      <w:kern w:val="0"/>
                      <w:lang w:val="en-US" w:eastAsia="zh-CN"/>
                    </w:rPr>
                    <w:t>+500</w:t>
                  </w:r>
                </w:p>
              </w:tc>
              <w:tc>
                <w:tcPr>
                  <w:tcW w:w="266" w:type="pct"/>
                  <w:tcBorders>
                    <w:tl2br w:val="nil"/>
                    <w:tr2bl w:val="nil"/>
                  </w:tcBorders>
                  <w:vAlign w:val="center"/>
                </w:tcPr>
                <w:p w14:paraId="3A84F732">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33">
                  <w:pPr>
                    <w:adjustRightInd w:val="0"/>
                    <w:snapToGrid w:val="0"/>
                    <w:jc w:val="center"/>
                    <w:rPr>
                      <w:color w:val="auto"/>
                      <w:kern w:val="0"/>
                    </w:rPr>
                  </w:pPr>
                  <w:r>
                    <w:rPr>
                      <w:color w:val="auto"/>
                      <w:kern w:val="0"/>
                    </w:rPr>
                    <w:t>12000枚/箱</w:t>
                  </w:r>
                </w:p>
              </w:tc>
              <w:tc>
                <w:tcPr>
                  <w:tcW w:w="554" w:type="pct"/>
                  <w:tcBorders>
                    <w:tl2br w:val="nil"/>
                    <w:tr2bl w:val="nil"/>
                  </w:tcBorders>
                  <w:vAlign w:val="center"/>
                </w:tcPr>
                <w:p w14:paraId="3A84F734">
                  <w:pPr>
                    <w:adjustRightInd w:val="0"/>
                    <w:snapToGrid w:val="0"/>
                    <w:jc w:val="center"/>
                    <w:rPr>
                      <w:color w:val="auto"/>
                      <w:kern w:val="0"/>
                    </w:rPr>
                  </w:pPr>
                  <w:r>
                    <w:rPr>
                      <w:color w:val="auto"/>
                      <w:kern w:val="0"/>
                    </w:rPr>
                    <w:t>50</w:t>
                  </w:r>
                </w:p>
              </w:tc>
            </w:tr>
            <w:tr w14:paraId="3A84F73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736">
                  <w:pPr>
                    <w:adjustRightInd w:val="0"/>
                    <w:snapToGrid w:val="0"/>
                    <w:jc w:val="center"/>
                    <w:rPr>
                      <w:color w:val="auto"/>
                      <w:kern w:val="0"/>
                    </w:rPr>
                  </w:pPr>
                  <w:r>
                    <w:rPr>
                      <w:color w:val="auto"/>
                      <w:kern w:val="0"/>
                    </w:rPr>
                    <w:t>螺钉</w:t>
                  </w:r>
                </w:p>
              </w:tc>
              <w:tc>
                <w:tcPr>
                  <w:tcW w:w="673" w:type="pct"/>
                  <w:tcBorders>
                    <w:tl2br w:val="nil"/>
                    <w:tr2bl w:val="nil"/>
                  </w:tcBorders>
                  <w:vAlign w:val="center"/>
                </w:tcPr>
                <w:p w14:paraId="3A84F737">
                  <w:pPr>
                    <w:adjustRightInd w:val="0"/>
                    <w:snapToGrid w:val="0"/>
                    <w:jc w:val="center"/>
                    <w:rPr>
                      <w:color w:val="auto"/>
                      <w:kern w:val="0"/>
                    </w:rPr>
                  </w:pPr>
                  <w:r>
                    <w:rPr>
                      <w:color w:val="auto"/>
                      <w:kern w:val="0"/>
                    </w:rPr>
                    <w:t>/</w:t>
                  </w:r>
                </w:p>
              </w:tc>
              <w:tc>
                <w:tcPr>
                  <w:tcW w:w="453" w:type="pct"/>
                  <w:tcBorders>
                    <w:tl2br w:val="nil"/>
                    <w:tr2bl w:val="nil"/>
                  </w:tcBorders>
                  <w:vAlign w:val="center"/>
                </w:tcPr>
                <w:p w14:paraId="3D10B2F2">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38">
                  <w:pPr>
                    <w:adjustRightInd w:val="0"/>
                    <w:snapToGrid w:val="0"/>
                    <w:jc w:val="center"/>
                    <w:rPr>
                      <w:color w:val="auto"/>
                      <w:kern w:val="0"/>
                    </w:rPr>
                  </w:pPr>
                  <w:r>
                    <w:rPr>
                      <w:color w:val="auto"/>
                      <w:kern w:val="0"/>
                    </w:rPr>
                    <w:t>110</w:t>
                  </w:r>
                </w:p>
              </w:tc>
              <w:tc>
                <w:tcPr>
                  <w:tcW w:w="553" w:type="pct"/>
                  <w:tcBorders>
                    <w:tl2br w:val="nil"/>
                    <w:tr2bl w:val="nil"/>
                  </w:tcBorders>
                  <w:vAlign w:val="center"/>
                </w:tcPr>
                <w:p w14:paraId="3A84F739">
                  <w:pPr>
                    <w:adjustRightInd w:val="0"/>
                    <w:snapToGrid w:val="0"/>
                    <w:jc w:val="center"/>
                    <w:rPr>
                      <w:color w:val="auto"/>
                      <w:kern w:val="0"/>
                    </w:rPr>
                  </w:pPr>
                  <w:r>
                    <w:rPr>
                      <w:rFonts w:hint="eastAsia"/>
                      <w:color w:val="auto"/>
                      <w:kern w:val="0"/>
                      <w:lang w:val="en-US" w:eastAsia="zh-CN"/>
                    </w:rPr>
                    <w:t>610</w:t>
                  </w:r>
                </w:p>
              </w:tc>
              <w:tc>
                <w:tcPr>
                  <w:tcW w:w="559" w:type="pct"/>
                  <w:tcBorders>
                    <w:tl2br w:val="nil"/>
                    <w:tr2bl w:val="nil"/>
                  </w:tcBorders>
                  <w:vAlign w:val="center"/>
                </w:tcPr>
                <w:p w14:paraId="3A84F73A">
                  <w:pPr>
                    <w:adjustRightInd w:val="0"/>
                    <w:snapToGrid w:val="0"/>
                    <w:jc w:val="center"/>
                    <w:rPr>
                      <w:color w:val="auto"/>
                      <w:kern w:val="0"/>
                    </w:rPr>
                  </w:pPr>
                  <w:r>
                    <w:rPr>
                      <w:rFonts w:hint="eastAsia"/>
                      <w:color w:val="auto"/>
                      <w:kern w:val="0"/>
                      <w:lang w:val="en-US" w:eastAsia="zh-CN"/>
                    </w:rPr>
                    <w:t>+500</w:t>
                  </w:r>
                </w:p>
              </w:tc>
              <w:tc>
                <w:tcPr>
                  <w:tcW w:w="266" w:type="pct"/>
                  <w:tcBorders>
                    <w:tl2br w:val="nil"/>
                    <w:tr2bl w:val="nil"/>
                  </w:tcBorders>
                  <w:vAlign w:val="center"/>
                </w:tcPr>
                <w:p w14:paraId="3A84F73B">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3C">
                  <w:pPr>
                    <w:adjustRightInd w:val="0"/>
                    <w:snapToGrid w:val="0"/>
                    <w:jc w:val="center"/>
                    <w:rPr>
                      <w:color w:val="auto"/>
                      <w:kern w:val="0"/>
                    </w:rPr>
                  </w:pPr>
                  <w:r>
                    <w:rPr>
                      <w:color w:val="auto"/>
                      <w:kern w:val="0"/>
                    </w:rPr>
                    <w:t>5000枚/箱</w:t>
                  </w:r>
                </w:p>
              </w:tc>
              <w:tc>
                <w:tcPr>
                  <w:tcW w:w="554" w:type="pct"/>
                  <w:tcBorders>
                    <w:tl2br w:val="nil"/>
                    <w:tr2bl w:val="nil"/>
                  </w:tcBorders>
                  <w:vAlign w:val="center"/>
                </w:tcPr>
                <w:p w14:paraId="3A84F73D">
                  <w:pPr>
                    <w:adjustRightInd w:val="0"/>
                    <w:snapToGrid w:val="0"/>
                    <w:jc w:val="center"/>
                    <w:rPr>
                      <w:color w:val="auto"/>
                      <w:kern w:val="0"/>
                    </w:rPr>
                  </w:pPr>
                  <w:r>
                    <w:rPr>
                      <w:color w:val="auto"/>
                      <w:kern w:val="0"/>
                    </w:rPr>
                    <w:t>50</w:t>
                  </w:r>
                </w:p>
              </w:tc>
            </w:tr>
            <w:tr w14:paraId="7DA8A86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10"/>
                  <w:tcBorders>
                    <w:tl2br w:val="nil"/>
                    <w:tr2bl w:val="nil"/>
                  </w:tcBorders>
                  <w:vAlign w:val="center"/>
                </w:tcPr>
                <w:p w14:paraId="34B10824">
                  <w:pPr>
                    <w:adjustRightInd w:val="0"/>
                    <w:snapToGrid w:val="0"/>
                    <w:jc w:val="center"/>
                    <w:rPr>
                      <w:rFonts w:hint="eastAsia"/>
                      <w:b/>
                      <w:bCs/>
                      <w:color w:val="auto"/>
                      <w:kern w:val="0"/>
                    </w:rPr>
                  </w:pPr>
                  <w:r>
                    <w:rPr>
                      <w:rFonts w:hint="eastAsia"/>
                      <w:b/>
                      <w:bCs/>
                      <w:color w:val="auto"/>
                      <w:kern w:val="0"/>
                    </w:rPr>
                    <w:t>③</w:t>
                  </w:r>
                  <w:r>
                    <w:rPr>
                      <w:b/>
                      <w:bCs/>
                      <w:color w:val="auto"/>
                      <w:kern w:val="0"/>
                    </w:rPr>
                    <w:t>PF单级</w:t>
                  </w:r>
                </w:p>
              </w:tc>
            </w:tr>
            <w:tr w14:paraId="3A84F74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741">
                  <w:pPr>
                    <w:adjustRightInd w:val="0"/>
                    <w:snapToGrid w:val="0"/>
                    <w:jc w:val="center"/>
                    <w:rPr>
                      <w:color w:val="auto"/>
                      <w:kern w:val="0"/>
                    </w:rPr>
                  </w:pPr>
                  <w:r>
                    <w:rPr>
                      <w:color w:val="auto"/>
                      <w:kern w:val="0"/>
                    </w:rPr>
                    <w:t>基板</w:t>
                  </w:r>
                </w:p>
              </w:tc>
              <w:tc>
                <w:tcPr>
                  <w:tcW w:w="673" w:type="pct"/>
                  <w:tcBorders>
                    <w:tl2br w:val="nil"/>
                    <w:tr2bl w:val="nil"/>
                  </w:tcBorders>
                  <w:vAlign w:val="center"/>
                </w:tcPr>
                <w:p w14:paraId="3A84F742">
                  <w:pPr>
                    <w:adjustRightInd w:val="0"/>
                    <w:snapToGrid w:val="0"/>
                    <w:jc w:val="center"/>
                    <w:rPr>
                      <w:color w:val="auto"/>
                      <w:kern w:val="0"/>
                    </w:rPr>
                  </w:pPr>
                  <w:r>
                    <w:rPr>
                      <w:color w:val="auto"/>
                      <w:kern w:val="0"/>
                    </w:rPr>
                    <w:t>/</w:t>
                  </w:r>
                </w:p>
              </w:tc>
              <w:tc>
                <w:tcPr>
                  <w:tcW w:w="453" w:type="pct"/>
                  <w:tcBorders>
                    <w:tl2br w:val="nil"/>
                    <w:tr2bl w:val="nil"/>
                  </w:tcBorders>
                  <w:vAlign w:val="center"/>
                </w:tcPr>
                <w:p w14:paraId="475F0525">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43">
                  <w:pPr>
                    <w:adjustRightInd w:val="0"/>
                    <w:snapToGrid w:val="0"/>
                    <w:jc w:val="center"/>
                    <w:rPr>
                      <w:color w:val="auto"/>
                      <w:kern w:val="0"/>
                    </w:rPr>
                  </w:pPr>
                  <w:r>
                    <w:rPr>
                      <w:color w:val="auto"/>
                      <w:kern w:val="0"/>
                    </w:rPr>
                    <w:t>110</w:t>
                  </w:r>
                </w:p>
              </w:tc>
              <w:tc>
                <w:tcPr>
                  <w:tcW w:w="553" w:type="pct"/>
                  <w:tcBorders>
                    <w:tl2br w:val="nil"/>
                    <w:tr2bl w:val="nil"/>
                  </w:tcBorders>
                  <w:vAlign w:val="center"/>
                </w:tcPr>
                <w:p w14:paraId="3A84F744">
                  <w:pPr>
                    <w:adjustRightInd w:val="0"/>
                    <w:snapToGrid w:val="0"/>
                    <w:jc w:val="center"/>
                    <w:rPr>
                      <w:rFonts w:hint="default" w:eastAsia="宋体"/>
                      <w:color w:val="auto"/>
                      <w:kern w:val="0"/>
                      <w:lang w:val="en-US" w:eastAsia="zh-CN"/>
                    </w:rPr>
                  </w:pPr>
                  <w:r>
                    <w:rPr>
                      <w:rFonts w:hint="eastAsia"/>
                      <w:color w:val="auto"/>
                      <w:kern w:val="0"/>
                      <w:lang w:val="en-US" w:eastAsia="zh-CN"/>
                    </w:rPr>
                    <w:t>610</w:t>
                  </w:r>
                </w:p>
              </w:tc>
              <w:tc>
                <w:tcPr>
                  <w:tcW w:w="559" w:type="pct"/>
                  <w:tcBorders>
                    <w:tl2br w:val="nil"/>
                    <w:tr2bl w:val="nil"/>
                  </w:tcBorders>
                  <w:vAlign w:val="center"/>
                </w:tcPr>
                <w:p w14:paraId="3A84F745">
                  <w:pPr>
                    <w:adjustRightInd w:val="0"/>
                    <w:snapToGrid w:val="0"/>
                    <w:jc w:val="center"/>
                    <w:rPr>
                      <w:rFonts w:hint="default" w:eastAsia="宋体"/>
                      <w:color w:val="auto"/>
                      <w:kern w:val="0"/>
                      <w:lang w:val="en-US" w:eastAsia="zh-CN"/>
                    </w:rPr>
                  </w:pPr>
                  <w:r>
                    <w:rPr>
                      <w:rFonts w:hint="eastAsia"/>
                      <w:color w:val="auto"/>
                      <w:kern w:val="0"/>
                      <w:lang w:val="en-US" w:eastAsia="zh-CN"/>
                    </w:rPr>
                    <w:t>+500</w:t>
                  </w:r>
                </w:p>
              </w:tc>
              <w:tc>
                <w:tcPr>
                  <w:tcW w:w="266" w:type="pct"/>
                  <w:tcBorders>
                    <w:tl2br w:val="nil"/>
                    <w:tr2bl w:val="nil"/>
                  </w:tcBorders>
                  <w:vAlign w:val="center"/>
                </w:tcPr>
                <w:p w14:paraId="3A84F746">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47">
                  <w:pPr>
                    <w:adjustRightInd w:val="0"/>
                    <w:snapToGrid w:val="0"/>
                    <w:jc w:val="center"/>
                    <w:rPr>
                      <w:color w:val="auto"/>
                      <w:kern w:val="0"/>
                    </w:rPr>
                  </w:pPr>
                  <w:r>
                    <w:rPr>
                      <w:color w:val="auto"/>
                      <w:kern w:val="0"/>
                    </w:rPr>
                    <w:t>100枚/箱</w:t>
                  </w:r>
                </w:p>
              </w:tc>
              <w:tc>
                <w:tcPr>
                  <w:tcW w:w="554" w:type="pct"/>
                  <w:tcBorders>
                    <w:tl2br w:val="nil"/>
                    <w:tr2bl w:val="nil"/>
                  </w:tcBorders>
                  <w:vAlign w:val="center"/>
                </w:tcPr>
                <w:p w14:paraId="3A84F748">
                  <w:pPr>
                    <w:adjustRightInd w:val="0"/>
                    <w:snapToGrid w:val="0"/>
                    <w:jc w:val="center"/>
                    <w:rPr>
                      <w:color w:val="auto"/>
                      <w:kern w:val="0"/>
                    </w:rPr>
                  </w:pPr>
                  <w:r>
                    <w:rPr>
                      <w:color w:val="auto"/>
                      <w:kern w:val="0"/>
                    </w:rPr>
                    <w:t>50</w:t>
                  </w:r>
                </w:p>
              </w:tc>
            </w:tr>
            <w:tr w14:paraId="3A84F7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74A">
                  <w:pPr>
                    <w:adjustRightInd w:val="0"/>
                    <w:snapToGrid w:val="0"/>
                    <w:jc w:val="center"/>
                    <w:rPr>
                      <w:color w:val="auto"/>
                      <w:kern w:val="0"/>
                    </w:rPr>
                  </w:pPr>
                  <w:r>
                    <w:rPr>
                      <w:color w:val="auto"/>
                      <w:kern w:val="0"/>
                    </w:rPr>
                    <w:t>标签</w:t>
                  </w:r>
                </w:p>
              </w:tc>
              <w:tc>
                <w:tcPr>
                  <w:tcW w:w="673" w:type="pct"/>
                  <w:tcBorders>
                    <w:tl2br w:val="nil"/>
                    <w:tr2bl w:val="nil"/>
                  </w:tcBorders>
                  <w:vAlign w:val="center"/>
                </w:tcPr>
                <w:p w14:paraId="3A84F74B">
                  <w:pPr>
                    <w:adjustRightInd w:val="0"/>
                    <w:snapToGrid w:val="0"/>
                    <w:jc w:val="center"/>
                    <w:rPr>
                      <w:color w:val="auto"/>
                      <w:kern w:val="0"/>
                    </w:rPr>
                  </w:pPr>
                  <w:r>
                    <w:rPr>
                      <w:color w:val="auto"/>
                      <w:kern w:val="0"/>
                    </w:rPr>
                    <w:t>/</w:t>
                  </w:r>
                </w:p>
              </w:tc>
              <w:tc>
                <w:tcPr>
                  <w:tcW w:w="453" w:type="pct"/>
                  <w:tcBorders>
                    <w:tl2br w:val="nil"/>
                    <w:tr2bl w:val="nil"/>
                  </w:tcBorders>
                  <w:vAlign w:val="center"/>
                </w:tcPr>
                <w:p w14:paraId="3A0D878B">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4C">
                  <w:pPr>
                    <w:adjustRightInd w:val="0"/>
                    <w:snapToGrid w:val="0"/>
                    <w:jc w:val="center"/>
                    <w:rPr>
                      <w:color w:val="auto"/>
                      <w:kern w:val="0"/>
                    </w:rPr>
                  </w:pPr>
                  <w:r>
                    <w:rPr>
                      <w:color w:val="auto"/>
                      <w:kern w:val="0"/>
                    </w:rPr>
                    <w:t>110</w:t>
                  </w:r>
                </w:p>
              </w:tc>
              <w:tc>
                <w:tcPr>
                  <w:tcW w:w="553" w:type="pct"/>
                  <w:tcBorders>
                    <w:tl2br w:val="nil"/>
                    <w:tr2bl w:val="nil"/>
                  </w:tcBorders>
                  <w:vAlign w:val="center"/>
                </w:tcPr>
                <w:p w14:paraId="3A84F74D">
                  <w:pPr>
                    <w:adjustRightInd w:val="0"/>
                    <w:snapToGrid w:val="0"/>
                    <w:jc w:val="center"/>
                    <w:rPr>
                      <w:rFonts w:hint="default" w:eastAsia="宋体"/>
                      <w:color w:val="auto"/>
                      <w:kern w:val="0"/>
                      <w:lang w:val="en-US" w:eastAsia="zh-CN"/>
                    </w:rPr>
                  </w:pPr>
                  <w:r>
                    <w:rPr>
                      <w:rFonts w:hint="eastAsia"/>
                      <w:color w:val="auto"/>
                      <w:kern w:val="0"/>
                      <w:lang w:val="en-US" w:eastAsia="zh-CN"/>
                    </w:rPr>
                    <w:t>1610</w:t>
                  </w:r>
                </w:p>
              </w:tc>
              <w:tc>
                <w:tcPr>
                  <w:tcW w:w="559" w:type="pct"/>
                  <w:tcBorders>
                    <w:tl2br w:val="nil"/>
                    <w:tr2bl w:val="nil"/>
                  </w:tcBorders>
                  <w:vAlign w:val="center"/>
                </w:tcPr>
                <w:p w14:paraId="3A84F74E">
                  <w:pPr>
                    <w:adjustRightInd w:val="0"/>
                    <w:snapToGrid w:val="0"/>
                    <w:jc w:val="center"/>
                    <w:rPr>
                      <w:rFonts w:hint="default" w:eastAsia="宋体"/>
                      <w:color w:val="auto"/>
                      <w:kern w:val="0"/>
                      <w:lang w:val="en-US" w:eastAsia="zh-CN"/>
                    </w:rPr>
                  </w:pPr>
                  <w:r>
                    <w:rPr>
                      <w:rFonts w:hint="eastAsia"/>
                      <w:color w:val="auto"/>
                      <w:kern w:val="0"/>
                      <w:lang w:val="en-US" w:eastAsia="zh-CN"/>
                    </w:rPr>
                    <w:t>+1500</w:t>
                  </w:r>
                </w:p>
              </w:tc>
              <w:tc>
                <w:tcPr>
                  <w:tcW w:w="266" w:type="pct"/>
                  <w:tcBorders>
                    <w:tl2br w:val="nil"/>
                    <w:tr2bl w:val="nil"/>
                  </w:tcBorders>
                  <w:vAlign w:val="center"/>
                </w:tcPr>
                <w:p w14:paraId="3A84F74F">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50">
                  <w:pPr>
                    <w:adjustRightInd w:val="0"/>
                    <w:snapToGrid w:val="0"/>
                    <w:jc w:val="center"/>
                    <w:rPr>
                      <w:color w:val="auto"/>
                      <w:kern w:val="0"/>
                    </w:rPr>
                  </w:pPr>
                  <w:r>
                    <w:rPr>
                      <w:color w:val="auto"/>
                      <w:kern w:val="0"/>
                    </w:rPr>
                    <w:t>5000枚/箱</w:t>
                  </w:r>
                </w:p>
              </w:tc>
              <w:tc>
                <w:tcPr>
                  <w:tcW w:w="554" w:type="pct"/>
                  <w:tcBorders>
                    <w:tl2br w:val="nil"/>
                    <w:tr2bl w:val="nil"/>
                  </w:tcBorders>
                  <w:vAlign w:val="center"/>
                </w:tcPr>
                <w:p w14:paraId="3A84F751">
                  <w:pPr>
                    <w:adjustRightInd w:val="0"/>
                    <w:snapToGrid w:val="0"/>
                    <w:jc w:val="center"/>
                    <w:rPr>
                      <w:color w:val="auto"/>
                      <w:kern w:val="0"/>
                    </w:rPr>
                  </w:pPr>
                  <w:r>
                    <w:rPr>
                      <w:color w:val="auto"/>
                      <w:kern w:val="0"/>
                    </w:rPr>
                    <w:t>50</w:t>
                  </w:r>
                </w:p>
              </w:tc>
            </w:tr>
            <w:tr w14:paraId="3A84F75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94" w:type="pct"/>
                  <w:vMerge w:val="restart"/>
                  <w:tcBorders>
                    <w:tl2br w:val="nil"/>
                    <w:tr2bl w:val="nil"/>
                  </w:tcBorders>
                  <w:vAlign w:val="center"/>
                </w:tcPr>
                <w:p w14:paraId="3A84F753">
                  <w:pPr>
                    <w:adjustRightInd w:val="0"/>
                    <w:snapToGrid w:val="0"/>
                    <w:jc w:val="center"/>
                    <w:rPr>
                      <w:color w:val="auto"/>
                      <w:kern w:val="0"/>
                    </w:rPr>
                  </w:pPr>
                  <w:r>
                    <w:rPr>
                      <w:color w:val="auto"/>
                      <w:kern w:val="0"/>
                    </w:rPr>
                    <w:t>点火管</w:t>
                  </w:r>
                </w:p>
              </w:tc>
              <w:tc>
                <w:tcPr>
                  <w:tcW w:w="410" w:type="pct"/>
                  <w:tcBorders>
                    <w:tl2br w:val="nil"/>
                    <w:tr2bl w:val="nil"/>
                  </w:tcBorders>
                  <w:vAlign w:val="center"/>
                </w:tcPr>
                <w:p w14:paraId="3A84F754">
                  <w:pPr>
                    <w:adjustRightInd w:val="0"/>
                    <w:snapToGrid w:val="0"/>
                    <w:jc w:val="center"/>
                    <w:rPr>
                      <w:color w:val="auto"/>
                      <w:kern w:val="0"/>
                    </w:rPr>
                  </w:pPr>
                  <w:r>
                    <w:rPr>
                      <w:color w:val="auto"/>
                      <w:kern w:val="0"/>
                    </w:rPr>
                    <w:t>金属管</w:t>
                  </w:r>
                </w:p>
              </w:tc>
              <w:tc>
                <w:tcPr>
                  <w:tcW w:w="673" w:type="pct"/>
                  <w:tcBorders>
                    <w:tl2br w:val="nil"/>
                    <w:tr2bl w:val="nil"/>
                  </w:tcBorders>
                  <w:vAlign w:val="center"/>
                </w:tcPr>
                <w:p w14:paraId="3A84F755">
                  <w:pPr>
                    <w:adjustRightInd w:val="0"/>
                    <w:snapToGrid w:val="0"/>
                    <w:jc w:val="center"/>
                    <w:rPr>
                      <w:color w:val="auto"/>
                      <w:kern w:val="0"/>
                    </w:rPr>
                  </w:pPr>
                  <w:r>
                    <w:rPr>
                      <w:color w:val="auto"/>
                      <w:kern w:val="0"/>
                    </w:rPr>
                    <w:t>/</w:t>
                  </w:r>
                </w:p>
              </w:tc>
              <w:tc>
                <w:tcPr>
                  <w:tcW w:w="453" w:type="pct"/>
                  <w:tcBorders>
                    <w:tl2br w:val="nil"/>
                    <w:tr2bl w:val="nil"/>
                  </w:tcBorders>
                  <w:vAlign w:val="center"/>
                </w:tcPr>
                <w:p w14:paraId="46AD9646">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56">
                  <w:pPr>
                    <w:adjustRightInd w:val="0"/>
                    <w:snapToGrid w:val="0"/>
                    <w:jc w:val="center"/>
                    <w:rPr>
                      <w:color w:val="auto"/>
                      <w:kern w:val="0"/>
                    </w:rPr>
                  </w:pPr>
                  <w:r>
                    <w:rPr>
                      <w:color w:val="auto"/>
                      <w:kern w:val="0"/>
                    </w:rPr>
                    <w:t>110</w:t>
                  </w:r>
                </w:p>
              </w:tc>
              <w:tc>
                <w:tcPr>
                  <w:tcW w:w="952" w:type="dxa"/>
                  <w:tcBorders>
                    <w:tl2br w:val="nil"/>
                    <w:tr2bl w:val="nil"/>
                  </w:tcBorders>
                  <w:vAlign w:val="center"/>
                </w:tcPr>
                <w:p w14:paraId="3A84F757">
                  <w:pPr>
                    <w:adjustRightInd w:val="0"/>
                    <w:snapToGrid w:val="0"/>
                    <w:jc w:val="center"/>
                    <w:rPr>
                      <w:color w:val="auto"/>
                      <w:kern w:val="0"/>
                    </w:rPr>
                  </w:pPr>
                  <w:r>
                    <w:rPr>
                      <w:rFonts w:hint="eastAsia"/>
                      <w:color w:val="auto"/>
                      <w:kern w:val="0"/>
                      <w:lang w:val="en-US" w:eastAsia="zh-CN"/>
                    </w:rPr>
                    <w:t>1610</w:t>
                  </w:r>
                </w:p>
              </w:tc>
              <w:tc>
                <w:tcPr>
                  <w:tcW w:w="962" w:type="dxa"/>
                  <w:tcBorders>
                    <w:tl2br w:val="nil"/>
                    <w:tr2bl w:val="nil"/>
                  </w:tcBorders>
                  <w:vAlign w:val="center"/>
                </w:tcPr>
                <w:p w14:paraId="3A84F758">
                  <w:pPr>
                    <w:adjustRightInd w:val="0"/>
                    <w:snapToGrid w:val="0"/>
                    <w:jc w:val="center"/>
                    <w:rPr>
                      <w:color w:val="auto"/>
                      <w:kern w:val="0"/>
                    </w:rPr>
                  </w:pPr>
                  <w:r>
                    <w:rPr>
                      <w:rFonts w:hint="eastAsia"/>
                      <w:color w:val="auto"/>
                      <w:kern w:val="0"/>
                      <w:lang w:val="en-US" w:eastAsia="zh-CN"/>
                    </w:rPr>
                    <w:t>+1500</w:t>
                  </w:r>
                </w:p>
              </w:tc>
              <w:tc>
                <w:tcPr>
                  <w:tcW w:w="266" w:type="pct"/>
                  <w:tcBorders>
                    <w:tl2br w:val="nil"/>
                    <w:tr2bl w:val="nil"/>
                  </w:tcBorders>
                  <w:vAlign w:val="center"/>
                </w:tcPr>
                <w:p w14:paraId="3A84F759">
                  <w:pPr>
                    <w:adjustRightInd w:val="0"/>
                    <w:snapToGrid w:val="0"/>
                    <w:jc w:val="center"/>
                    <w:rPr>
                      <w:color w:val="auto"/>
                      <w:kern w:val="0"/>
                    </w:rPr>
                  </w:pPr>
                  <w:r>
                    <w:rPr>
                      <w:color w:val="auto"/>
                      <w:kern w:val="0"/>
                    </w:rPr>
                    <w:t>固</w:t>
                  </w:r>
                </w:p>
              </w:tc>
              <w:tc>
                <w:tcPr>
                  <w:tcW w:w="1172" w:type="dxa"/>
                  <w:tcBorders>
                    <w:tl2br w:val="nil"/>
                    <w:tr2bl w:val="nil"/>
                  </w:tcBorders>
                  <w:vAlign w:val="center"/>
                </w:tcPr>
                <w:p w14:paraId="3A84F75A">
                  <w:pPr>
                    <w:adjustRightInd w:val="0"/>
                    <w:snapToGrid w:val="0"/>
                    <w:jc w:val="center"/>
                    <w:rPr>
                      <w:color w:val="auto"/>
                      <w:kern w:val="0"/>
                    </w:rPr>
                  </w:pPr>
                  <w:r>
                    <w:rPr>
                      <w:rFonts w:hint="eastAsia"/>
                      <w:color w:val="auto"/>
                      <w:kern w:val="0"/>
                      <w:lang w:val="en-US" w:eastAsia="zh-CN"/>
                    </w:rPr>
                    <w:t>2000枚/箱</w:t>
                  </w:r>
                </w:p>
              </w:tc>
              <w:tc>
                <w:tcPr>
                  <w:tcW w:w="554" w:type="pct"/>
                  <w:tcBorders>
                    <w:tl2br w:val="nil"/>
                    <w:tr2bl w:val="nil"/>
                  </w:tcBorders>
                  <w:vAlign w:val="center"/>
                </w:tcPr>
                <w:p w14:paraId="3A84F75B">
                  <w:pPr>
                    <w:adjustRightInd w:val="0"/>
                    <w:snapToGrid w:val="0"/>
                    <w:jc w:val="center"/>
                    <w:rPr>
                      <w:color w:val="auto"/>
                      <w:kern w:val="0"/>
                    </w:rPr>
                  </w:pPr>
                  <w:r>
                    <w:rPr>
                      <w:color w:val="auto"/>
                      <w:kern w:val="0"/>
                    </w:rPr>
                    <w:t>50</w:t>
                  </w:r>
                </w:p>
              </w:tc>
            </w:tr>
            <w:tr w14:paraId="3A84F76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94" w:type="pct"/>
                  <w:vMerge w:val="continue"/>
                  <w:tcBorders>
                    <w:tl2br w:val="nil"/>
                    <w:tr2bl w:val="nil"/>
                  </w:tcBorders>
                  <w:vAlign w:val="center"/>
                </w:tcPr>
                <w:p w14:paraId="3A84F75D">
                  <w:pPr>
                    <w:adjustRightInd w:val="0"/>
                    <w:snapToGrid w:val="0"/>
                    <w:jc w:val="center"/>
                    <w:rPr>
                      <w:color w:val="auto"/>
                      <w:kern w:val="0"/>
                    </w:rPr>
                  </w:pPr>
                </w:p>
              </w:tc>
              <w:tc>
                <w:tcPr>
                  <w:tcW w:w="410" w:type="pct"/>
                  <w:tcBorders>
                    <w:tl2br w:val="nil"/>
                    <w:tr2bl w:val="nil"/>
                  </w:tcBorders>
                  <w:vAlign w:val="center"/>
                </w:tcPr>
                <w:p w14:paraId="3A84F75E">
                  <w:pPr>
                    <w:adjustRightInd w:val="0"/>
                    <w:snapToGrid w:val="0"/>
                    <w:jc w:val="center"/>
                    <w:rPr>
                      <w:color w:val="auto"/>
                      <w:kern w:val="0"/>
                    </w:rPr>
                  </w:pPr>
                  <w:r>
                    <w:rPr>
                      <w:color w:val="auto"/>
                      <w:kern w:val="0"/>
                    </w:rPr>
                    <w:t>固定环</w:t>
                  </w:r>
                </w:p>
              </w:tc>
              <w:tc>
                <w:tcPr>
                  <w:tcW w:w="673" w:type="pct"/>
                  <w:tcBorders>
                    <w:tl2br w:val="nil"/>
                    <w:tr2bl w:val="nil"/>
                  </w:tcBorders>
                  <w:vAlign w:val="center"/>
                </w:tcPr>
                <w:p w14:paraId="3A84F75F">
                  <w:pPr>
                    <w:adjustRightInd w:val="0"/>
                    <w:snapToGrid w:val="0"/>
                    <w:jc w:val="center"/>
                    <w:rPr>
                      <w:color w:val="auto"/>
                      <w:kern w:val="0"/>
                    </w:rPr>
                  </w:pPr>
                  <w:r>
                    <w:rPr>
                      <w:color w:val="auto"/>
                      <w:kern w:val="0"/>
                    </w:rPr>
                    <w:t>/</w:t>
                  </w:r>
                </w:p>
              </w:tc>
              <w:tc>
                <w:tcPr>
                  <w:tcW w:w="453" w:type="pct"/>
                  <w:tcBorders>
                    <w:tl2br w:val="nil"/>
                    <w:tr2bl w:val="nil"/>
                  </w:tcBorders>
                  <w:vAlign w:val="center"/>
                </w:tcPr>
                <w:p w14:paraId="3ECB7ABA">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60">
                  <w:pPr>
                    <w:adjustRightInd w:val="0"/>
                    <w:snapToGrid w:val="0"/>
                    <w:jc w:val="center"/>
                    <w:rPr>
                      <w:color w:val="auto"/>
                      <w:kern w:val="0"/>
                    </w:rPr>
                  </w:pPr>
                  <w:r>
                    <w:rPr>
                      <w:color w:val="auto"/>
                      <w:kern w:val="0"/>
                    </w:rPr>
                    <w:t>110</w:t>
                  </w:r>
                </w:p>
              </w:tc>
              <w:tc>
                <w:tcPr>
                  <w:tcW w:w="952" w:type="dxa"/>
                  <w:tcBorders>
                    <w:tl2br w:val="nil"/>
                    <w:tr2bl w:val="nil"/>
                  </w:tcBorders>
                  <w:vAlign w:val="center"/>
                </w:tcPr>
                <w:p w14:paraId="3A84F761">
                  <w:pPr>
                    <w:adjustRightInd w:val="0"/>
                    <w:snapToGrid w:val="0"/>
                    <w:jc w:val="center"/>
                    <w:rPr>
                      <w:color w:val="auto"/>
                      <w:kern w:val="0"/>
                    </w:rPr>
                  </w:pPr>
                  <w:r>
                    <w:rPr>
                      <w:rFonts w:hint="eastAsia"/>
                      <w:color w:val="auto"/>
                      <w:kern w:val="0"/>
                      <w:lang w:val="en-US" w:eastAsia="zh-CN"/>
                    </w:rPr>
                    <w:t>1610</w:t>
                  </w:r>
                </w:p>
              </w:tc>
              <w:tc>
                <w:tcPr>
                  <w:tcW w:w="962" w:type="dxa"/>
                  <w:tcBorders>
                    <w:tl2br w:val="nil"/>
                    <w:tr2bl w:val="nil"/>
                  </w:tcBorders>
                  <w:vAlign w:val="center"/>
                </w:tcPr>
                <w:p w14:paraId="3A84F762">
                  <w:pPr>
                    <w:adjustRightInd w:val="0"/>
                    <w:snapToGrid w:val="0"/>
                    <w:jc w:val="center"/>
                    <w:rPr>
                      <w:color w:val="auto"/>
                      <w:kern w:val="0"/>
                    </w:rPr>
                  </w:pPr>
                  <w:r>
                    <w:rPr>
                      <w:rFonts w:hint="eastAsia"/>
                      <w:color w:val="auto"/>
                      <w:kern w:val="0"/>
                      <w:lang w:val="en-US" w:eastAsia="zh-CN"/>
                    </w:rPr>
                    <w:t>+1500</w:t>
                  </w:r>
                </w:p>
              </w:tc>
              <w:tc>
                <w:tcPr>
                  <w:tcW w:w="266" w:type="pct"/>
                  <w:tcBorders>
                    <w:tl2br w:val="nil"/>
                    <w:tr2bl w:val="nil"/>
                  </w:tcBorders>
                  <w:vAlign w:val="center"/>
                </w:tcPr>
                <w:p w14:paraId="3A84F763">
                  <w:pPr>
                    <w:adjustRightInd w:val="0"/>
                    <w:snapToGrid w:val="0"/>
                    <w:jc w:val="center"/>
                    <w:rPr>
                      <w:color w:val="auto"/>
                      <w:kern w:val="0"/>
                    </w:rPr>
                  </w:pPr>
                  <w:r>
                    <w:rPr>
                      <w:color w:val="auto"/>
                      <w:kern w:val="0"/>
                    </w:rPr>
                    <w:t>固</w:t>
                  </w:r>
                </w:p>
              </w:tc>
              <w:tc>
                <w:tcPr>
                  <w:tcW w:w="1172" w:type="dxa"/>
                  <w:tcBorders>
                    <w:tl2br w:val="nil"/>
                    <w:tr2bl w:val="nil"/>
                  </w:tcBorders>
                  <w:vAlign w:val="center"/>
                </w:tcPr>
                <w:p w14:paraId="3A84F764">
                  <w:pPr>
                    <w:adjustRightInd w:val="0"/>
                    <w:snapToGrid w:val="0"/>
                    <w:jc w:val="center"/>
                    <w:rPr>
                      <w:color w:val="auto"/>
                      <w:kern w:val="0"/>
                    </w:rPr>
                  </w:pPr>
                  <w:r>
                    <w:rPr>
                      <w:rFonts w:hint="eastAsia"/>
                      <w:color w:val="auto"/>
                      <w:kern w:val="0"/>
                      <w:lang w:val="en-US" w:eastAsia="zh-CN"/>
                    </w:rPr>
                    <w:t>2000枚/箱</w:t>
                  </w:r>
                </w:p>
              </w:tc>
              <w:tc>
                <w:tcPr>
                  <w:tcW w:w="554" w:type="pct"/>
                  <w:tcBorders>
                    <w:tl2br w:val="nil"/>
                    <w:tr2bl w:val="nil"/>
                  </w:tcBorders>
                  <w:vAlign w:val="center"/>
                </w:tcPr>
                <w:p w14:paraId="3A84F765">
                  <w:pPr>
                    <w:adjustRightInd w:val="0"/>
                    <w:snapToGrid w:val="0"/>
                    <w:jc w:val="center"/>
                    <w:rPr>
                      <w:color w:val="auto"/>
                      <w:kern w:val="0"/>
                    </w:rPr>
                  </w:pPr>
                  <w:r>
                    <w:rPr>
                      <w:color w:val="auto"/>
                      <w:kern w:val="0"/>
                    </w:rPr>
                    <w:t>50</w:t>
                  </w:r>
                </w:p>
              </w:tc>
            </w:tr>
            <w:tr w14:paraId="3A84F7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94" w:type="pct"/>
                  <w:vMerge w:val="continue"/>
                  <w:tcBorders>
                    <w:tl2br w:val="nil"/>
                    <w:tr2bl w:val="nil"/>
                  </w:tcBorders>
                  <w:vAlign w:val="center"/>
                </w:tcPr>
                <w:p w14:paraId="3A84F767">
                  <w:pPr>
                    <w:adjustRightInd w:val="0"/>
                    <w:snapToGrid w:val="0"/>
                    <w:jc w:val="center"/>
                    <w:rPr>
                      <w:color w:val="auto"/>
                      <w:kern w:val="0"/>
                    </w:rPr>
                  </w:pPr>
                </w:p>
              </w:tc>
              <w:tc>
                <w:tcPr>
                  <w:tcW w:w="410" w:type="pct"/>
                  <w:tcBorders>
                    <w:tl2br w:val="nil"/>
                    <w:tr2bl w:val="nil"/>
                  </w:tcBorders>
                  <w:vAlign w:val="center"/>
                </w:tcPr>
                <w:p w14:paraId="3A84F768">
                  <w:pPr>
                    <w:adjustRightInd w:val="0"/>
                    <w:snapToGrid w:val="0"/>
                    <w:jc w:val="center"/>
                    <w:rPr>
                      <w:color w:val="auto"/>
                      <w:kern w:val="0"/>
                    </w:rPr>
                  </w:pPr>
                  <w:r>
                    <w:rPr>
                      <w:color w:val="auto"/>
                      <w:kern w:val="0"/>
                    </w:rPr>
                    <w:t>电火花</w:t>
                  </w:r>
                </w:p>
              </w:tc>
              <w:tc>
                <w:tcPr>
                  <w:tcW w:w="673" w:type="pct"/>
                  <w:tcBorders>
                    <w:tl2br w:val="nil"/>
                    <w:tr2bl w:val="nil"/>
                  </w:tcBorders>
                  <w:vAlign w:val="center"/>
                </w:tcPr>
                <w:p w14:paraId="3A84F769">
                  <w:pPr>
                    <w:adjustRightInd w:val="0"/>
                    <w:snapToGrid w:val="0"/>
                    <w:jc w:val="center"/>
                    <w:rPr>
                      <w:color w:val="auto"/>
                      <w:kern w:val="0"/>
                    </w:rPr>
                  </w:pPr>
                  <w:r>
                    <w:rPr>
                      <w:color w:val="auto"/>
                      <w:kern w:val="0"/>
                    </w:rPr>
                    <w:t>/</w:t>
                  </w:r>
                </w:p>
              </w:tc>
              <w:tc>
                <w:tcPr>
                  <w:tcW w:w="453" w:type="pct"/>
                  <w:tcBorders>
                    <w:tl2br w:val="nil"/>
                    <w:tr2bl w:val="nil"/>
                  </w:tcBorders>
                  <w:vAlign w:val="center"/>
                </w:tcPr>
                <w:p w14:paraId="37E27E2D">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6A">
                  <w:pPr>
                    <w:adjustRightInd w:val="0"/>
                    <w:snapToGrid w:val="0"/>
                    <w:jc w:val="center"/>
                    <w:rPr>
                      <w:color w:val="auto"/>
                      <w:kern w:val="0"/>
                    </w:rPr>
                  </w:pPr>
                  <w:r>
                    <w:rPr>
                      <w:color w:val="auto"/>
                      <w:kern w:val="0"/>
                    </w:rPr>
                    <w:t>110</w:t>
                  </w:r>
                </w:p>
              </w:tc>
              <w:tc>
                <w:tcPr>
                  <w:tcW w:w="952" w:type="dxa"/>
                  <w:tcBorders>
                    <w:tl2br w:val="nil"/>
                    <w:tr2bl w:val="nil"/>
                  </w:tcBorders>
                  <w:vAlign w:val="center"/>
                </w:tcPr>
                <w:p w14:paraId="3A84F76B">
                  <w:pPr>
                    <w:adjustRightInd w:val="0"/>
                    <w:snapToGrid w:val="0"/>
                    <w:jc w:val="center"/>
                    <w:rPr>
                      <w:color w:val="auto"/>
                      <w:kern w:val="0"/>
                    </w:rPr>
                  </w:pPr>
                  <w:r>
                    <w:rPr>
                      <w:rFonts w:hint="eastAsia"/>
                      <w:color w:val="auto"/>
                      <w:kern w:val="0"/>
                      <w:lang w:val="en-US" w:eastAsia="zh-CN"/>
                    </w:rPr>
                    <w:t>1610</w:t>
                  </w:r>
                </w:p>
              </w:tc>
              <w:tc>
                <w:tcPr>
                  <w:tcW w:w="962" w:type="dxa"/>
                  <w:tcBorders>
                    <w:tl2br w:val="nil"/>
                    <w:tr2bl w:val="nil"/>
                  </w:tcBorders>
                  <w:vAlign w:val="center"/>
                </w:tcPr>
                <w:p w14:paraId="3A84F76C">
                  <w:pPr>
                    <w:adjustRightInd w:val="0"/>
                    <w:snapToGrid w:val="0"/>
                    <w:jc w:val="center"/>
                    <w:rPr>
                      <w:color w:val="auto"/>
                      <w:kern w:val="0"/>
                    </w:rPr>
                  </w:pPr>
                  <w:r>
                    <w:rPr>
                      <w:rFonts w:hint="eastAsia"/>
                      <w:color w:val="auto"/>
                      <w:kern w:val="0"/>
                      <w:lang w:val="en-US" w:eastAsia="zh-CN"/>
                    </w:rPr>
                    <w:t>+1500</w:t>
                  </w:r>
                </w:p>
              </w:tc>
              <w:tc>
                <w:tcPr>
                  <w:tcW w:w="266" w:type="pct"/>
                  <w:tcBorders>
                    <w:tl2br w:val="nil"/>
                    <w:tr2bl w:val="nil"/>
                  </w:tcBorders>
                  <w:vAlign w:val="center"/>
                </w:tcPr>
                <w:p w14:paraId="3A84F76D">
                  <w:pPr>
                    <w:adjustRightInd w:val="0"/>
                    <w:snapToGrid w:val="0"/>
                    <w:jc w:val="center"/>
                    <w:rPr>
                      <w:color w:val="auto"/>
                      <w:kern w:val="0"/>
                    </w:rPr>
                  </w:pPr>
                  <w:r>
                    <w:rPr>
                      <w:color w:val="auto"/>
                      <w:kern w:val="0"/>
                    </w:rPr>
                    <w:t>固</w:t>
                  </w:r>
                </w:p>
              </w:tc>
              <w:tc>
                <w:tcPr>
                  <w:tcW w:w="1172" w:type="dxa"/>
                  <w:tcBorders>
                    <w:tl2br w:val="nil"/>
                    <w:tr2bl w:val="nil"/>
                  </w:tcBorders>
                  <w:vAlign w:val="center"/>
                </w:tcPr>
                <w:p w14:paraId="3A84F76E">
                  <w:pPr>
                    <w:adjustRightInd w:val="0"/>
                    <w:snapToGrid w:val="0"/>
                    <w:jc w:val="center"/>
                    <w:rPr>
                      <w:color w:val="auto"/>
                      <w:kern w:val="0"/>
                    </w:rPr>
                  </w:pPr>
                  <w:r>
                    <w:rPr>
                      <w:rFonts w:hint="eastAsia"/>
                      <w:color w:val="auto"/>
                      <w:kern w:val="0"/>
                      <w:lang w:val="en-US" w:eastAsia="zh-CN"/>
                    </w:rPr>
                    <w:t>2000枚/箱</w:t>
                  </w:r>
                </w:p>
              </w:tc>
              <w:tc>
                <w:tcPr>
                  <w:tcW w:w="554" w:type="pct"/>
                  <w:tcBorders>
                    <w:tl2br w:val="nil"/>
                    <w:tr2bl w:val="nil"/>
                  </w:tcBorders>
                  <w:vAlign w:val="center"/>
                </w:tcPr>
                <w:p w14:paraId="3A84F76F">
                  <w:pPr>
                    <w:adjustRightInd w:val="0"/>
                    <w:snapToGrid w:val="0"/>
                    <w:jc w:val="center"/>
                    <w:rPr>
                      <w:color w:val="auto"/>
                      <w:kern w:val="0"/>
                    </w:rPr>
                  </w:pPr>
                  <w:r>
                    <w:rPr>
                      <w:color w:val="auto"/>
                      <w:kern w:val="0"/>
                    </w:rPr>
                    <w:t>50</w:t>
                  </w:r>
                </w:p>
              </w:tc>
            </w:tr>
            <w:tr w14:paraId="3A84F77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771">
                  <w:pPr>
                    <w:adjustRightInd w:val="0"/>
                    <w:snapToGrid w:val="0"/>
                    <w:jc w:val="center"/>
                    <w:rPr>
                      <w:color w:val="auto"/>
                      <w:kern w:val="0"/>
                    </w:rPr>
                  </w:pPr>
                  <w:r>
                    <w:rPr>
                      <w:color w:val="auto"/>
                      <w:kern w:val="0"/>
                    </w:rPr>
                    <w:t>过滤网</w:t>
                  </w:r>
                </w:p>
              </w:tc>
              <w:tc>
                <w:tcPr>
                  <w:tcW w:w="673" w:type="pct"/>
                  <w:tcBorders>
                    <w:tl2br w:val="nil"/>
                    <w:tr2bl w:val="nil"/>
                  </w:tcBorders>
                  <w:vAlign w:val="center"/>
                </w:tcPr>
                <w:p w14:paraId="3A84F772">
                  <w:pPr>
                    <w:adjustRightInd w:val="0"/>
                    <w:snapToGrid w:val="0"/>
                    <w:jc w:val="center"/>
                    <w:rPr>
                      <w:color w:val="auto"/>
                      <w:kern w:val="0"/>
                    </w:rPr>
                  </w:pPr>
                  <w:r>
                    <w:rPr>
                      <w:color w:val="auto"/>
                      <w:kern w:val="0"/>
                    </w:rPr>
                    <w:t>/</w:t>
                  </w:r>
                </w:p>
              </w:tc>
              <w:tc>
                <w:tcPr>
                  <w:tcW w:w="453" w:type="pct"/>
                  <w:tcBorders>
                    <w:tl2br w:val="nil"/>
                    <w:tr2bl w:val="nil"/>
                  </w:tcBorders>
                  <w:vAlign w:val="center"/>
                </w:tcPr>
                <w:p w14:paraId="1F9D1334">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73">
                  <w:pPr>
                    <w:adjustRightInd w:val="0"/>
                    <w:snapToGrid w:val="0"/>
                    <w:jc w:val="center"/>
                    <w:rPr>
                      <w:color w:val="auto"/>
                      <w:kern w:val="0"/>
                    </w:rPr>
                  </w:pPr>
                  <w:r>
                    <w:rPr>
                      <w:color w:val="auto"/>
                      <w:kern w:val="0"/>
                    </w:rPr>
                    <w:t>110</w:t>
                  </w:r>
                </w:p>
              </w:tc>
              <w:tc>
                <w:tcPr>
                  <w:tcW w:w="952" w:type="dxa"/>
                  <w:tcBorders>
                    <w:tl2br w:val="nil"/>
                    <w:tr2bl w:val="nil"/>
                  </w:tcBorders>
                  <w:vAlign w:val="center"/>
                </w:tcPr>
                <w:p w14:paraId="3A84F774">
                  <w:pPr>
                    <w:adjustRightInd w:val="0"/>
                    <w:snapToGrid w:val="0"/>
                    <w:jc w:val="center"/>
                    <w:rPr>
                      <w:color w:val="auto"/>
                      <w:kern w:val="0"/>
                    </w:rPr>
                  </w:pPr>
                  <w:r>
                    <w:rPr>
                      <w:rFonts w:hint="eastAsia"/>
                      <w:color w:val="auto"/>
                      <w:kern w:val="0"/>
                      <w:lang w:val="en-US" w:eastAsia="zh-CN"/>
                    </w:rPr>
                    <w:t>1610</w:t>
                  </w:r>
                </w:p>
              </w:tc>
              <w:tc>
                <w:tcPr>
                  <w:tcW w:w="962" w:type="dxa"/>
                  <w:tcBorders>
                    <w:tl2br w:val="nil"/>
                    <w:tr2bl w:val="nil"/>
                  </w:tcBorders>
                  <w:vAlign w:val="center"/>
                </w:tcPr>
                <w:p w14:paraId="3A84F775">
                  <w:pPr>
                    <w:adjustRightInd w:val="0"/>
                    <w:snapToGrid w:val="0"/>
                    <w:jc w:val="center"/>
                    <w:rPr>
                      <w:color w:val="auto"/>
                      <w:kern w:val="0"/>
                    </w:rPr>
                  </w:pPr>
                  <w:r>
                    <w:rPr>
                      <w:rFonts w:hint="eastAsia"/>
                      <w:color w:val="auto"/>
                      <w:kern w:val="0"/>
                      <w:lang w:val="en-US" w:eastAsia="zh-CN"/>
                    </w:rPr>
                    <w:t>+1500</w:t>
                  </w:r>
                </w:p>
              </w:tc>
              <w:tc>
                <w:tcPr>
                  <w:tcW w:w="266" w:type="pct"/>
                  <w:tcBorders>
                    <w:tl2br w:val="nil"/>
                    <w:tr2bl w:val="nil"/>
                  </w:tcBorders>
                  <w:vAlign w:val="center"/>
                </w:tcPr>
                <w:p w14:paraId="3A84F776">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77">
                  <w:pPr>
                    <w:adjustRightInd w:val="0"/>
                    <w:snapToGrid w:val="0"/>
                    <w:jc w:val="center"/>
                    <w:rPr>
                      <w:color w:val="auto"/>
                      <w:kern w:val="0"/>
                    </w:rPr>
                  </w:pPr>
                  <w:r>
                    <w:rPr>
                      <w:color w:val="auto"/>
                      <w:kern w:val="0"/>
                    </w:rPr>
                    <w:t>200枚/箱</w:t>
                  </w:r>
                </w:p>
              </w:tc>
              <w:tc>
                <w:tcPr>
                  <w:tcW w:w="554" w:type="pct"/>
                  <w:tcBorders>
                    <w:tl2br w:val="nil"/>
                    <w:tr2bl w:val="nil"/>
                  </w:tcBorders>
                  <w:shd w:val="clear" w:color="auto" w:fill="auto"/>
                  <w:vAlign w:val="center"/>
                </w:tcPr>
                <w:p w14:paraId="3A84F778">
                  <w:pPr>
                    <w:adjustRightInd w:val="0"/>
                    <w:snapToGrid w:val="0"/>
                    <w:jc w:val="center"/>
                    <w:rPr>
                      <w:color w:val="auto"/>
                      <w:kern w:val="0"/>
                    </w:rPr>
                  </w:pPr>
                  <w:r>
                    <w:rPr>
                      <w:color w:val="auto"/>
                      <w:kern w:val="0"/>
                    </w:rPr>
                    <w:t>50</w:t>
                  </w:r>
                </w:p>
              </w:tc>
            </w:tr>
            <w:tr w14:paraId="3A84F7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77A">
                  <w:pPr>
                    <w:adjustRightInd w:val="0"/>
                    <w:snapToGrid w:val="0"/>
                    <w:jc w:val="center"/>
                    <w:rPr>
                      <w:color w:val="auto"/>
                      <w:kern w:val="0"/>
                    </w:rPr>
                  </w:pPr>
                  <w:r>
                    <w:rPr>
                      <w:color w:val="auto"/>
                      <w:kern w:val="0"/>
                    </w:rPr>
                    <w:t>缓冲棉</w:t>
                  </w:r>
                </w:p>
              </w:tc>
              <w:tc>
                <w:tcPr>
                  <w:tcW w:w="673" w:type="pct"/>
                  <w:tcBorders>
                    <w:tl2br w:val="nil"/>
                    <w:tr2bl w:val="nil"/>
                  </w:tcBorders>
                  <w:vAlign w:val="center"/>
                </w:tcPr>
                <w:p w14:paraId="3A84F77B">
                  <w:pPr>
                    <w:adjustRightInd w:val="0"/>
                    <w:snapToGrid w:val="0"/>
                    <w:jc w:val="center"/>
                    <w:rPr>
                      <w:color w:val="auto"/>
                      <w:kern w:val="0"/>
                    </w:rPr>
                  </w:pPr>
                  <w:r>
                    <w:rPr>
                      <w:color w:val="auto"/>
                      <w:kern w:val="0"/>
                    </w:rPr>
                    <w:t>/</w:t>
                  </w:r>
                </w:p>
              </w:tc>
              <w:tc>
                <w:tcPr>
                  <w:tcW w:w="453" w:type="pct"/>
                  <w:tcBorders>
                    <w:tl2br w:val="nil"/>
                    <w:tr2bl w:val="nil"/>
                  </w:tcBorders>
                  <w:vAlign w:val="center"/>
                </w:tcPr>
                <w:p w14:paraId="3DE77491">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7C">
                  <w:pPr>
                    <w:adjustRightInd w:val="0"/>
                    <w:snapToGrid w:val="0"/>
                    <w:jc w:val="center"/>
                    <w:rPr>
                      <w:color w:val="auto"/>
                      <w:kern w:val="0"/>
                    </w:rPr>
                  </w:pPr>
                  <w:r>
                    <w:rPr>
                      <w:color w:val="auto"/>
                      <w:kern w:val="0"/>
                    </w:rPr>
                    <w:t>110</w:t>
                  </w:r>
                </w:p>
              </w:tc>
              <w:tc>
                <w:tcPr>
                  <w:tcW w:w="952" w:type="dxa"/>
                  <w:tcBorders>
                    <w:tl2br w:val="nil"/>
                    <w:tr2bl w:val="nil"/>
                  </w:tcBorders>
                  <w:vAlign w:val="center"/>
                </w:tcPr>
                <w:p w14:paraId="3A84F77D">
                  <w:pPr>
                    <w:adjustRightInd w:val="0"/>
                    <w:snapToGrid w:val="0"/>
                    <w:jc w:val="center"/>
                    <w:rPr>
                      <w:color w:val="auto"/>
                      <w:kern w:val="0"/>
                    </w:rPr>
                  </w:pPr>
                  <w:r>
                    <w:rPr>
                      <w:rFonts w:hint="eastAsia"/>
                      <w:color w:val="auto"/>
                      <w:kern w:val="0"/>
                      <w:lang w:val="en-US" w:eastAsia="zh-CN"/>
                    </w:rPr>
                    <w:t>1610</w:t>
                  </w:r>
                </w:p>
              </w:tc>
              <w:tc>
                <w:tcPr>
                  <w:tcW w:w="962" w:type="dxa"/>
                  <w:tcBorders>
                    <w:tl2br w:val="nil"/>
                    <w:tr2bl w:val="nil"/>
                  </w:tcBorders>
                  <w:vAlign w:val="center"/>
                </w:tcPr>
                <w:p w14:paraId="3A84F77E">
                  <w:pPr>
                    <w:adjustRightInd w:val="0"/>
                    <w:snapToGrid w:val="0"/>
                    <w:jc w:val="center"/>
                    <w:rPr>
                      <w:color w:val="auto"/>
                      <w:kern w:val="0"/>
                    </w:rPr>
                  </w:pPr>
                  <w:r>
                    <w:rPr>
                      <w:rFonts w:hint="eastAsia"/>
                      <w:color w:val="auto"/>
                      <w:kern w:val="0"/>
                      <w:lang w:val="en-US" w:eastAsia="zh-CN"/>
                    </w:rPr>
                    <w:t>+1500</w:t>
                  </w:r>
                </w:p>
              </w:tc>
              <w:tc>
                <w:tcPr>
                  <w:tcW w:w="266" w:type="pct"/>
                  <w:tcBorders>
                    <w:tl2br w:val="nil"/>
                    <w:tr2bl w:val="nil"/>
                  </w:tcBorders>
                  <w:vAlign w:val="center"/>
                </w:tcPr>
                <w:p w14:paraId="3A84F77F">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80">
                  <w:pPr>
                    <w:adjustRightInd w:val="0"/>
                    <w:snapToGrid w:val="0"/>
                    <w:jc w:val="center"/>
                    <w:rPr>
                      <w:color w:val="auto"/>
                      <w:kern w:val="0"/>
                    </w:rPr>
                  </w:pPr>
                  <w:r>
                    <w:rPr>
                      <w:color w:val="auto"/>
                      <w:kern w:val="0"/>
                    </w:rPr>
                    <w:t>500枚/箱</w:t>
                  </w:r>
                </w:p>
              </w:tc>
              <w:tc>
                <w:tcPr>
                  <w:tcW w:w="554" w:type="pct"/>
                  <w:tcBorders>
                    <w:tl2br w:val="nil"/>
                    <w:tr2bl w:val="nil"/>
                  </w:tcBorders>
                  <w:shd w:val="clear" w:color="auto" w:fill="auto"/>
                  <w:vAlign w:val="center"/>
                </w:tcPr>
                <w:p w14:paraId="3A84F781">
                  <w:pPr>
                    <w:adjustRightInd w:val="0"/>
                    <w:snapToGrid w:val="0"/>
                    <w:jc w:val="center"/>
                    <w:rPr>
                      <w:color w:val="auto"/>
                      <w:kern w:val="0"/>
                    </w:rPr>
                  </w:pPr>
                  <w:r>
                    <w:rPr>
                      <w:color w:val="auto"/>
                      <w:kern w:val="0"/>
                    </w:rPr>
                    <w:t>50</w:t>
                  </w:r>
                </w:p>
              </w:tc>
            </w:tr>
            <w:tr w14:paraId="3A84F7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783">
                  <w:pPr>
                    <w:adjustRightInd w:val="0"/>
                    <w:snapToGrid w:val="0"/>
                    <w:jc w:val="center"/>
                    <w:rPr>
                      <w:color w:val="auto"/>
                      <w:kern w:val="0"/>
                    </w:rPr>
                  </w:pPr>
                  <w:r>
                    <w:rPr>
                      <w:color w:val="auto"/>
                      <w:kern w:val="0"/>
                    </w:rPr>
                    <w:t>产气药</w:t>
                  </w:r>
                </w:p>
              </w:tc>
              <w:tc>
                <w:tcPr>
                  <w:tcW w:w="673" w:type="pct"/>
                  <w:tcBorders>
                    <w:tl2br w:val="nil"/>
                    <w:tr2bl w:val="nil"/>
                  </w:tcBorders>
                  <w:vAlign w:val="center"/>
                </w:tcPr>
                <w:p w14:paraId="3A84F784">
                  <w:pPr>
                    <w:adjustRightInd w:val="0"/>
                    <w:snapToGrid w:val="0"/>
                    <w:jc w:val="center"/>
                    <w:rPr>
                      <w:color w:val="auto"/>
                      <w:kern w:val="0"/>
                    </w:rPr>
                  </w:pPr>
                  <w:r>
                    <w:rPr>
                      <w:color w:val="auto"/>
                      <w:kern w:val="0"/>
                    </w:rPr>
                    <w:t>硝酸胍、硝酸铜等</w:t>
                  </w:r>
                </w:p>
              </w:tc>
              <w:tc>
                <w:tcPr>
                  <w:tcW w:w="453" w:type="pct"/>
                  <w:tcBorders>
                    <w:tl2br w:val="nil"/>
                    <w:tr2bl w:val="nil"/>
                  </w:tcBorders>
                  <w:vAlign w:val="center"/>
                </w:tcPr>
                <w:p w14:paraId="39B137F6">
                  <w:pPr>
                    <w:adjustRightInd w:val="0"/>
                    <w:snapToGrid w:val="0"/>
                    <w:jc w:val="center"/>
                    <w:rPr>
                      <w:rFonts w:hint="eastAsia" w:eastAsia="宋体"/>
                      <w:color w:val="auto"/>
                      <w:kern w:val="0"/>
                      <w:lang w:val="en-US" w:eastAsia="zh-CN"/>
                    </w:rPr>
                  </w:pPr>
                  <w:r>
                    <w:rPr>
                      <w:rFonts w:hint="eastAsia"/>
                      <w:color w:val="auto"/>
                      <w:kern w:val="0"/>
                      <w:lang w:val="en-US" w:eastAsia="zh-CN"/>
                    </w:rPr>
                    <w:t>吨</w:t>
                  </w:r>
                </w:p>
              </w:tc>
              <w:tc>
                <w:tcPr>
                  <w:tcW w:w="553" w:type="pct"/>
                  <w:tcBorders>
                    <w:tl2br w:val="nil"/>
                    <w:tr2bl w:val="nil"/>
                  </w:tcBorders>
                  <w:vAlign w:val="center"/>
                </w:tcPr>
                <w:p w14:paraId="3A84F785">
                  <w:pPr>
                    <w:adjustRightInd w:val="0"/>
                    <w:snapToGrid w:val="0"/>
                    <w:jc w:val="center"/>
                    <w:rPr>
                      <w:rFonts w:hint="default" w:eastAsia="宋体"/>
                      <w:color w:val="auto"/>
                      <w:kern w:val="0"/>
                      <w:lang w:val="en-US" w:eastAsia="zh-CN"/>
                    </w:rPr>
                  </w:pPr>
                  <w:r>
                    <w:rPr>
                      <w:rFonts w:hint="eastAsia"/>
                      <w:color w:val="auto"/>
                      <w:kern w:val="0"/>
                      <w:lang w:val="en-US" w:eastAsia="zh-CN"/>
                    </w:rPr>
                    <w:t>200</w:t>
                  </w:r>
                </w:p>
              </w:tc>
              <w:tc>
                <w:tcPr>
                  <w:tcW w:w="553" w:type="pct"/>
                  <w:tcBorders>
                    <w:tl2br w:val="nil"/>
                    <w:tr2bl w:val="nil"/>
                  </w:tcBorders>
                  <w:vAlign w:val="center"/>
                </w:tcPr>
                <w:p w14:paraId="3A84F786">
                  <w:pPr>
                    <w:adjustRightInd w:val="0"/>
                    <w:snapToGrid w:val="0"/>
                    <w:jc w:val="center"/>
                    <w:rPr>
                      <w:rFonts w:hint="default" w:eastAsia="宋体"/>
                      <w:color w:val="auto"/>
                      <w:kern w:val="0"/>
                      <w:lang w:val="en-US" w:eastAsia="zh-CN"/>
                    </w:rPr>
                  </w:pPr>
                  <w:r>
                    <w:rPr>
                      <w:rFonts w:hint="eastAsia"/>
                      <w:color w:val="auto"/>
                      <w:kern w:val="0"/>
                      <w:lang w:val="en-US" w:eastAsia="zh-CN"/>
                    </w:rPr>
                    <w:t>1200</w:t>
                  </w:r>
                </w:p>
              </w:tc>
              <w:tc>
                <w:tcPr>
                  <w:tcW w:w="559" w:type="pct"/>
                  <w:tcBorders>
                    <w:tl2br w:val="nil"/>
                    <w:tr2bl w:val="nil"/>
                  </w:tcBorders>
                  <w:vAlign w:val="center"/>
                </w:tcPr>
                <w:p w14:paraId="3A84F787">
                  <w:pPr>
                    <w:adjustRightInd w:val="0"/>
                    <w:snapToGrid w:val="0"/>
                    <w:jc w:val="center"/>
                    <w:rPr>
                      <w:rFonts w:hint="default" w:eastAsia="宋体"/>
                      <w:color w:val="auto"/>
                      <w:kern w:val="0"/>
                      <w:lang w:val="en-US" w:eastAsia="zh-CN"/>
                    </w:rPr>
                  </w:pPr>
                  <w:r>
                    <w:rPr>
                      <w:rFonts w:hint="eastAsia"/>
                      <w:color w:val="auto"/>
                      <w:kern w:val="0"/>
                      <w:lang w:val="en-US" w:eastAsia="zh-CN"/>
                    </w:rPr>
                    <w:t>+1000</w:t>
                  </w:r>
                </w:p>
              </w:tc>
              <w:tc>
                <w:tcPr>
                  <w:tcW w:w="266" w:type="pct"/>
                  <w:tcBorders>
                    <w:tl2br w:val="nil"/>
                    <w:tr2bl w:val="nil"/>
                  </w:tcBorders>
                  <w:vAlign w:val="center"/>
                </w:tcPr>
                <w:p w14:paraId="3A84F788">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89">
                  <w:pPr>
                    <w:adjustRightInd w:val="0"/>
                    <w:snapToGrid w:val="0"/>
                    <w:jc w:val="center"/>
                    <w:rPr>
                      <w:color w:val="auto"/>
                      <w:kern w:val="0"/>
                    </w:rPr>
                  </w:pPr>
                  <w:r>
                    <w:rPr>
                      <w:color w:val="auto"/>
                      <w:kern w:val="0"/>
                    </w:rPr>
                    <w:t>12kg/桶</w:t>
                  </w:r>
                </w:p>
              </w:tc>
              <w:tc>
                <w:tcPr>
                  <w:tcW w:w="554" w:type="pct"/>
                  <w:tcBorders>
                    <w:tl2br w:val="nil"/>
                    <w:tr2bl w:val="nil"/>
                  </w:tcBorders>
                  <w:shd w:val="clear" w:color="auto" w:fill="auto"/>
                  <w:vAlign w:val="center"/>
                </w:tcPr>
                <w:p w14:paraId="3A84F78A">
                  <w:pPr>
                    <w:adjustRightInd w:val="0"/>
                    <w:snapToGrid w:val="0"/>
                    <w:jc w:val="center"/>
                    <w:rPr>
                      <w:rFonts w:hint="default" w:eastAsia="宋体"/>
                      <w:color w:val="auto"/>
                      <w:kern w:val="0"/>
                      <w:lang w:val="en-US" w:eastAsia="zh-CN"/>
                    </w:rPr>
                  </w:pPr>
                  <w:r>
                    <w:rPr>
                      <w:rFonts w:hint="eastAsia"/>
                      <w:color w:val="auto"/>
                      <w:kern w:val="0"/>
                      <w:lang w:val="en-US" w:eastAsia="zh-CN"/>
                    </w:rPr>
                    <w:t>15</w:t>
                  </w:r>
                </w:p>
              </w:tc>
            </w:tr>
            <w:tr w14:paraId="3A84F7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78C">
                  <w:pPr>
                    <w:adjustRightInd w:val="0"/>
                    <w:snapToGrid w:val="0"/>
                    <w:jc w:val="center"/>
                    <w:rPr>
                      <w:color w:val="auto"/>
                      <w:kern w:val="0"/>
                    </w:rPr>
                  </w:pPr>
                  <w:r>
                    <w:rPr>
                      <w:color w:val="auto"/>
                      <w:kern w:val="0"/>
                    </w:rPr>
                    <w:t>固定盖板</w:t>
                  </w:r>
                </w:p>
              </w:tc>
              <w:tc>
                <w:tcPr>
                  <w:tcW w:w="673" w:type="pct"/>
                  <w:tcBorders>
                    <w:tl2br w:val="nil"/>
                    <w:tr2bl w:val="nil"/>
                  </w:tcBorders>
                  <w:vAlign w:val="center"/>
                </w:tcPr>
                <w:p w14:paraId="3A84F78D">
                  <w:pPr>
                    <w:adjustRightInd w:val="0"/>
                    <w:snapToGrid w:val="0"/>
                    <w:jc w:val="center"/>
                    <w:rPr>
                      <w:color w:val="auto"/>
                      <w:kern w:val="0"/>
                    </w:rPr>
                  </w:pPr>
                  <w:r>
                    <w:rPr>
                      <w:color w:val="auto"/>
                      <w:kern w:val="0"/>
                    </w:rPr>
                    <w:t>/</w:t>
                  </w:r>
                </w:p>
              </w:tc>
              <w:tc>
                <w:tcPr>
                  <w:tcW w:w="453" w:type="pct"/>
                  <w:tcBorders>
                    <w:tl2br w:val="nil"/>
                    <w:tr2bl w:val="nil"/>
                  </w:tcBorders>
                  <w:vAlign w:val="center"/>
                </w:tcPr>
                <w:p w14:paraId="5E96AE7A">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8E">
                  <w:pPr>
                    <w:adjustRightInd w:val="0"/>
                    <w:snapToGrid w:val="0"/>
                    <w:jc w:val="center"/>
                    <w:rPr>
                      <w:color w:val="auto"/>
                      <w:kern w:val="0"/>
                    </w:rPr>
                  </w:pPr>
                  <w:r>
                    <w:rPr>
                      <w:color w:val="auto"/>
                      <w:kern w:val="0"/>
                    </w:rPr>
                    <w:t>110</w:t>
                  </w:r>
                </w:p>
              </w:tc>
              <w:tc>
                <w:tcPr>
                  <w:tcW w:w="952" w:type="dxa"/>
                  <w:tcBorders>
                    <w:tl2br w:val="nil"/>
                    <w:tr2bl w:val="nil"/>
                  </w:tcBorders>
                  <w:vAlign w:val="center"/>
                </w:tcPr>
                <w:p w14:paraId="3A84F78F">
                  <w:pPr>
                    <w:adjustRightInd w:val="0"/>
                    <w:snapToGrid w:val="0"/>
                    <w:jc w:val="center"/>
                    <w:rPr>
                      <w:color w:val="auto"/>
                      <w:kern w:val="0"/>
                    </w:rPr>
                  </w:pPr>
                  <w:r>
                    <w:rPr>
                      <w:rFonts w:hint="eastAsia"/>
                      <w:color w:val="auto"/>
                      <w:kern w:val="0"/>
                      <w:lang w:val="en-US" w:eastAsia="zh-CN"/>
                    </w:rPr>
                    <w:t>1610</w:t>
                  </w:r>
                </w:p>
              </w:tc>
              <w:tc>
                <w:tcPr>
                  <w:tcW w:w="962" w:type="dxa"/>
                  <w:tcBorders>
                    <w:tl2br w:val="nil"/>
                    <w:tr2bl w:val="nil"/>
                  </w:tcBorders>
                  <w:vAlign w:val="center"/>
                </w:tcPr>
                <w:p w14:paraId="3A84F790">
                  <w:pPr>
                    <w:adjustRightInd w:val="0"/>
                    <w:snapToGrid w:val="0"/>
                    <w:jc w:val="center"/>
                    <w:rPr>
                      <w:color w:val="auto"/>
                      <w:kern w:val="0"/>
                    </w:rPr>
                  </w:pPr>
                  <w:r>
                    <w:rPr>
                      <w:rFonts w:hint="eastAsia"/>
                      <w:color w:val="auto"/>
                      <w:kern w:val="0"/>
                      <w:lang w:val="en-US" w:eastAsia="zh-CN"/>
                    </w:rPr>
                    <w:t>+1500</w:t>
                  </w:r>
                </w:p>
              </w:tc>
              <w:tc>
                <w:tcPr>
                  <w:tcW w:w="266" w:type="pct"/>
                  <w:tcBorders>
                    <w:tl2br w:val="nil"/>
                    <w:tr2bl w:val="nil"/>
                  </w:tcBorders>
                  <w:vAlign w:val="center"/>
                </w:tcPr>
                <w:p w14:paraId="3A84F791">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92">
                  <w:pPr>
                    <w:adjustRightInd w:val="0"/>
                    <w:snapToGrid w:val="0"/>
                    <w:jc w:val="center"/>
                    <w:rPr>
                      <w:color w:val="auto"/>
                      <w:kern w:val="0"/>
                    </w:rPr>
                  </w:pPr>
                  <w:r>
                    <w:rPr>
                      <w:color w:val="auto"/>
                      <w:kern w:val="0"/>
                    </w:rPr>
                    <w:t>500枚/箱</w:t>
                  </w:r>
                </w:p>
              </w:tc>
              <w:tc>
                <w:tcPr>
                  <w:tcW w:w="554" w:type="pct"/>
                  <w:tcBorders>
                    <w:tl2br w:val="nil"/>
                    <w:tr2bl w:val="nil"/>
                  </w:tcBorders>
                  <w:shd w:val="clear" w:color="auto" w:fill="auto"/>
                  <w:vAlign w:val="center"/>
                </w:tcPr>
                <w:p w14:paraId="3A84F793">
                  <w:pPr>
                    <w:adjustRightInd w:val="0"/>
                    <w:snapToGrid w:val="0"/>
                    <w:jc w:val="center"/>
                    <w:rPr>
                      <w:color w:val="auto"/>
                      <w:kern w:val="0"/>
                    </w:rPr>
                  </w:pPr>
                  <w:r>
                    <w:rPr>
                      <w:color w:val="auto"/>
                      <w:kern w:val="0"/>
                    </w:rPr>
                    <w:t>50</w:t>
                  </w:r>
                </w:p>
              </w:tc>
            </w:tr>
            <w:tr w14:paraId="3A84F79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795">
                  <w:pPr>
                    <w:adjustRightInd w:val="0"/>
                    <w:snapToGrid w:val="0"/>
                    <w:jc w:val="center"/>
                    <w:rPr>
                      <w:color w:val="auto"/>
                      <w:kern w:val="0"/>
                    </w:rPr>
                  </w:pPr>
                  <w:r>
                    <w:rPr>
                      <w:color w:val="auto"/>
                      <w:kern w:val="0"/>
                    </w:rPr>
                    <w:t>扩散体</w:t>
                  </w:r>
                </w:p>
              </w:tc>
              <w:tc>
                <w:tcPr>
                  <w:tcW w:w="673" w:type="pct"/>
                  <w:tcBorders>
                    <w:tl2br w:val="nil"/>
                    <w:tr2bl w:val="nil"/>
                  </w:tcBorders>
                  <w:vAlign w:val="center"/>
                </w:tcPr>
                <w:p w14:paraId="3A84F796">
                  <w:pPr>
                    <w:adjustRightInd w:val="0"/>
                    <w:snapToGrid w:val="0"/>
                    <w:jc w:val="center"/>
                    <w:rPr>
                      <w:color w:val="auto"/>
                      <w:kern w:val="0"/>
                    </w:rPr>
                  </w:pPr>
                  <w:r>
                    <w:rPr>
                      <w:color w:val="auto"/>
                      <w:kern w:val="0"/>
                    </w:rPr>
                    <w:t>/</w:t>
                  </w:r>
                </w:p>
              </w:tc>
              <w:tc>
                <w:tcPr>
                  <w:tcW w:w="453" w:type="pct"/>
                  <w:tcBorders>
                    <w:tl2br w:val="nil"/>
                    <w:tr2bl w:val="nil"/>
                  </w:tcBorders>
                  <w:vAlign w:val="center"/>
                </w:tcPr>
                <w:p w14:paraId="049F5A62">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97">
                  <w:pPr>
                    <w:adjustRightInd w:val="0"/>
                    <w:snapToGrid w:val="0"/>
                    <w:jc w:val="center"/>
                    <w:rPr>
                      <w:color w:val="auto"/>
                      <w:kern w:val="0"/>
                    </w:rPr>
                  </w:pPr>
                  <w:r>
                    <w:rPr>
                      <w:color w:val="auto"/>
                      <w:kern w:val="0"/>
                    </w:rPr>
                    <w:t>110</w:t>
                  </w:r>
                </w:p>
              </w:tc>
              <w:tc>
                <w:tcPr>
                  <w:tcW w:w="952" w:type="dxa"/>
                  <w:tcBorders>
                    <w:tl2br w:val="nil"/>
                    <w:tr2bl w:val="nil"/>
                  </w:tcBorders>
                  <w:vAlign w:val="center"/>
                </w:tcPr>
                <w:p w14:paraId="3A84F798">
                  <w:pPr>
                    <w:adjustRightInd w:val="0"/>
                    <w:snapToGrid w:val="0"/>
                    <w:jc w:val="center"/>
                    <w:rPr>
                      <w:color w:val="auto"/>
                      <w:kern w:val="0"/>
                    </w:rPr>
                  </w:pPr>
                  <w:r>
                    <w:rPr>
                      <w:rFonts w:hint="eastAsia"/>
                      <w:color w:val="auto"/>
                      <w:kern w:val="0"/>
                      <w:lang w:val="en-US" w:eastAsia="zh-CN"/>
                    </w:rPr>
                    <w:t>1610</w:t>
                  </w:r>
                </w:p>
              </w:tc>
              <w:tc>
                <w:tcPr>
                  <w:tcW w:w="962" w:type="dxa"/>
                  <w:tcBorders>
                    <w:tl2br w:val="nil"/>
                    <w:tr2bl w:val="nil"/>
                  </w:tcBorders>
                  <w:vAlign w:val="center"/>
                </w:tcPr>
                <w:p w14:paraId="3A84F799">
                  <w:pPr>
                    <w:adjustRightInd w:val="0"/>
                    <w:snapToGrid w:val="0"/>
                    <w:jc w:val="center"/>
                    <w:rPr>
                      <w:color w:val="auto"/>
                      <w:kern w:val="0"/>
                    </w:rPr>
                  </w:pPr>
                  <w:r>
                    <w:rPr>
                      <w:rFonts w:hint="eastAsia"/>
                      <w:color w:val="auto"/>
                      <w:kern w:val="0"/>
                      <w:lang w:val="en-US" w:eastAsia="zh-CN"/>
                    </w:rPr>
                    <w:t>+1500</w:t>
                  </w:r>
                </w:p>
              </w:tc>
              <w:tc>
                <w:tcPr>
                  <w:tcW w:w="266" w:type="pct"/>
                  <w:tcBorders>
                    <w:tl2br w:val="nil"/>
                    <w:tr2bl w:val="nil"/>
                  </w:tcBorders>
                  <w:vAlign w:val="center"/>
                </w:tcPr>
                <w:p w14:paraId="3A84F79A">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9B">
                  <w:pPr>
                    <w:adjustRightInd w:val="0"/>
                    <w:snapToGrid w:val="0"/>
                    <w:jc w:val="center"/>
                    <w:rPr>
                      <w:color w:val="auto"/>
                      <w:kern w:val="0"/>
                    </w:rPr>
                  </w:pPr>
                  <w:r>
                    <w:rPr>
                      <w:color w:val="auto"/>
                      <w:kern w:val="0"/>
                    </w:rPr>
                    <w:t>200枚/箱</w:t>
                  </w:r>
                </w:p>
              </w:tc>
              <w:tc>
                <w:tcPr>
                  <w:tcW w:w="554" w:type="pct"/>
                  <w:tcBorders>
                    <w:tl2br w:val="nil"/>
                    <w:tr2bl w:val="nil"/>
                  </w:tcBorders>
                  <w:shd w:val="clear" w:color="auto" w:fill="auto"/>
                  <w:vAlign w:val="center"/>
                </w:tcPr>
                <w:p w14:paraId="3A84F79C">
                  <w:pPr>
                    <w:adjustRightInd w:val="0"/>
                    <w:snapToGrid w:val="0"/>
                    <w:jc w:val="center"/>
                    <w:rPr>
                      <w:color w:val="auto"/>
                      <w:kern w:val="0"/>
                    </w:rPr>
                  </w:pPr>
                  <w:r>
                    <w:rPr>
                      <w:color w:val="auto"/>
                      <w:kern w:val="0"/>
                    </w:rPr>
                    <w:t>50</w:t>
                  </w:r>
                </w:p>
              </w:tc>
            </w:tr>
            <w:tr w14:paraId="3A84F7A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79E">
                  <w:pPr>
                    <w:adjustRightInd w:val="0"/>
                    <w:snapToGrid w:val="0"/>
                    <w:jc w:val="center"/>
                    <w:rPr>
                      <w:color w:val="auto"/>
                      <w:kern w:val="0"/>
                    </w:rPr>
                  </w:pPr>
                  <w:r>
                    <w:rPr>
                      <w:color w:val="auto"/>
                      <w:kern w:val="0"/>
                    </w:rPr>
                    <w:t>短路片</w:t>
                  </w:r>
                </w:p>
              </w:tc>
              <w:tc>
                <w:tcPr>
                  <w:tcW w:w="673" w:type="pct"/>
                  <w:tcBorders>
                    <w:tl2br w:val="nil"/>
                    <w:tr2bl w:val="nil"/>
                  </w:tcBorders>
                  <w:vAlign w:val="center"/>
                </w:tcPr>
                <w:p w14:paraId="3A84F79F">
                  <w:pPr>
                    <w:adjustRightInd w:val="0"/>
                    <w:snapToGrid w:val="0"/>
                    <w:jc w:val="center"/>
                    <w:rPr>
                      <w:color w:val="auto"/>
                      <w:kern w:val="0"/>
                    </w:rPr>
                  </w:pPr>
                  <w:r>
                    <w:rPr>
                      <w:color w:val="auto"/>
                      <w:kern w:val="0"/>
                    </w:rPr>
                    <w:t>/</w:t>
                  </w:r>
                </w:p>
              </w:tc>
              <w:tc>
                <w:tcPr>
                  <w:tcW w:w="453" w:type="pct"/>
                  <w:tcBorders>
                    <w:tl2br w:val="nil"/>
                    <w:tr2bl w:val="nil"/>
                  </w:tcBorders>
                  <w:vAlign w:val="center"/>
                </w:tcPr>
                <w:p w14:paraId="139E3195">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A0">
                  <w:pPr>
                    <w:adjustRightInd w:val="0"/>
                    <w:snapToGrid w:val="0"/>
                    <w:jc w:val="center"/>
                    <w:rPr>
                      <w:color w:val="auto"/>
                      <w:kern w:val="0"/>
                    </w:rPr>
                  </w:pPr>
                  <w:r>
                    <w:rPr>
                      <w:color w:val="auto"/>
                      <w:kern w:val="0"/>
                    </w:rPr>
                    <w:t>110</w:t>
                  </w:r>
                </w:p>
              </w:tc>
              <w:tc>
                <w:tcPr>
                  <w:tcW w:w="952" w:type="dxa"/>
                  <w:tcBorders>
                    <w:tl2br w:val="nil"/>
                    <w:tr2bl w:val="nil"/>
                  </w:tcBorders>
                  <w:vAlign w:val="center"/>
                </w:tcPr>
                <w:p w14:paraId="3A84F7A1">
                  <w:pPr>
                    <w:adjustRightInd w:val="0"/>
                    <w:snapToGrid w:val="0"/>
                    <w:jc w:val="center"/>
                    <w:rPr>
                      <w:color w:val="auto"/>
                      <w:kern w:val="0"/>
                    </w:rPr>
                  </w:pPr>
                  <w:r>
                    <w:rPr>
                      <w:rFonts w:hint="eastAsia"/>
                      <w:color w:val="auto"/>
                      <w:kern w:val="0"/>
                      <w:lang w:val="en-US" w:eastAsia="zh-CN"/>
                    </w:rPr>
                    <w:t>1610</w:t>
                  </w:r>
                </w:p>
              </w:tc>
              <w:tc>
                <w:tcPr>
                  <w:tcW w:w="962" w:type="dxa"/>
                  <w:tcBorders>
                    <w:tl2br w:val="nil"/>
                    <w:tr2bl w:val="nil"/>
                  </w:tcBorders>
                  <w:vAlign w:val="center"/>
                </w:tcPr>
                <w:p w14:paraId="3A84F7A2">
                  <w:pPr>
                    <w:adjustRightInd w:val="0"/>
                    <w:snapToGrid w:val="0"/>
                    <w:jc w:val="center"/>
                    <w:rPr>
                      <w:color w:val="auto"/>
                      <w:kern w:val="0"/>
                    </w:rPr>
                  </w:pPr>
                  <w:r>
                    <w:rPr>
                      <w:rFonts w:hint="eastAsia"/>
                      <w:color w:val="auto"/>
                      <w:kern w:val="0"/>
                      <w:lang w:val="en-US" w:eastAsia="zh-CN"/>
                    </w:rPr>
                    <w:t>+1500</w:t>
                  </w:r>
                </w:p>
              </w:tc>
              <w:tc>
                <w:tcPr>
                  <w:tcW w:w="266" w:type="pct"/>
                  <w:tcBorders>
                    <w:tl2br w:val="nil"/>
                    <w:tr2bl w:val="nil"/>
                  </w:tcBorders>
                  <w:vAlign w:val="center"/>
                </w:tcPr>
                <w:p w14:paraId="3A84F7A3">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A4">
                  <w:pPr>
                    <w:adjustRightInd w:val="0"/>
                    <w:snapToGrid w:val="0"/>
                    <w:jc w:val="center"/>
                    <w:rPr>
                      <w:color w:val="auto"/>
                      <w:kern w:val="0"/>
                    </w:rPr>
                  </w:pPr>
                  <w:r>
                    <w:rPr>
                      <w:color w:val="auto"/>
                      <w:kern w:val="0"/>
                    </w:rPr>
                    <w:t>12000枚/箱</w:t>
                  </w:r>
                </w:p>
              </w:tc>
              <w:tc>
                <w:tcPr>
                  <w:tcW w:w="554" w:type="pct"/>
                  <w:tcBorders>
                    <w:tl2br w:val="nil"/>
                    <w:tr2bl w:val="nil"/>
                  </w:tcBorders>
                  <w:shd w:val="clear" w:color="auto" w:fill="auto"/>
                  <w:vAlign w:val="center"/>
                </w:tcPr>
                <w:p w14:paraId="3A84F7A5">
                  <w:pPr>
                    <w:adjustRightInd w:val="0"/>
                    <w:snapToGrid w:val="0"/>
                    <w:jc w:val="center"/>
                    <w:rPr>
                      <w:color w:val="auto"/>
                      <w:kern w:val="0"/>
                    </w:rPr>
                  </w:pPr>
                  <w:r>
                    <w:rPr>
                      <w:color w:val="auto"/>
                      <w:kern w:val="0"/>
                    </w:rPr>
                    <w:t>50</w:t>
                  </w:r>
                </w:p>
              </w:tc>
            </w:tr>
            <w:tr w14:paraId="3A84F7A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7A7">
                  <w:pPr>
                    <w:adjustRightInd w:val="0"/>
                    <w:snapToGrid w:val="0"/>
                    <w:jc w:val="center"/>
                    <w:rPr>
                      <w:color w:val="auto"/>
                      <w:kern w:val="0"/>
                    </w:rPr>
                  </w:pPr>
                  <w:r>
                    <w:rPr>
                      <w:color w:val="auto"/>
                      <w:kern w:val="0"/>
                    </w:rPr>
                    <w:t>螺钉</w:t>
                  </w:r>
                </w:p>
              </w:tc>
              <w:tc>
                <w:tcPr>
                  <w:tcW w:w="673" w:type="pct"/>
                  <w:tcBorders>
                    <w:tl2br w:val="nil"/>
                    <w:tr2bl w:val="nil"/>
                  </w:tcBorders>
                  <w:vAlign w:val="center"/>
                </w:tcPr>
                <w:p w14:paraId="3A84F7A8">
                  <w:pPr>
                    <w:adjustRightInd w:val="0"/>
                    <w:snapToGrid w:val="0"/>
                    <w:jc w:val="center"/>
                    <w:rPr>
                      <w:color w:val="auto"/>
                      <w:kern w:val="0"/>
                    </w:rPr>
                  </w:pPr>
                  <w:r>
                    <w:rPr>
                      <w:color w:val="auto"/>
                      <w:kern w:val="0"/>
                    </w:rPr>
                    <w:t>/</w:t>
                  </w:r>
                </w:p>
              </w:tc>
              <w:tc>
                <w:tcPr>
                  <w:tcW w:w="453" w:type="pct"/>
                  <w:tcBorders>
                    <w:tl2br w:val="nil"/>
                    <w:tr2bl w:val="nil"/>
                  </w:tcBorders>
                  <w:vAlign w:val="center"/>
                </w:tcPr>
                <w:p w14:paraId="2DB67531">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A9">
                  <w:pPr>
                    <w:adjustRightInd w:val="0"/>
                    <w:snapToGrid w:val="0"/>
                    <w:jc w:val="center"/>
                    <w:rPr>
                      <w:color w:val="auto"/>
                      <w:kern w:val="0"/>
                    </w:rPr>
                  </w:pPr>
                  <w:r>
                    <w:rPr>
                      <w:color w:val="auto"/>
                      <w:kern w:val="0"/>
                    </w:rPr>
                    <w:t>110</w:t>
                  </w:r>
                </w:p>
              </w:tc>
              <w:tc>
                <w:tcPr>
                  <w:tcW w:w="952" w:type="dxa"/>
                  <w:tcBorders>
                    <w:tl2br w:val="nil"/>
                    <w:tr2bl w:val="nil"/>
                  </w:tcBorders>
                  <w:vAlign w:val="center"/>
                </w:tcPr>
                <w:p w14:paraId="3A84F7AA">
                  <w:pPr>
                    <w:adjustRightInd w:val="0"/>
                    <w:snapToGrid w:val="0"/>
                    <w:jc w:val="center"/>
                    <w:rPr>
                      <w:color w:val="auto"/>
                      <w:kern w:val="0"/>
                    </w:rPr>
                  </w:pPr>
                  <w:r>
                    <w:rPr>
                      <w:rFonts w:hint="eastAsia"/>
                      <w:color w:val="auto"/>
                      <w:kern w:val="0"/>
                      <w:lang w:val="en-US" w:eastAsia="zh-CN"/>
                    </w:rPr>
                    <w:t>1610</w:t>
                  </w:r>
                </w:p>
              </w:tc>
              <w:tc>
                <w:tcPr>
                  <w:tcW w:w="962" w:type="dxa"/>
                  <w:tcBorders>
                    <w:tl2br w:val="nil"/>
                    <w:tr2bl w:val="nil"/>
                  </w:tcBorders>
                  <w:vAlign w:val="center"/>
                </w:tcPr>
                <w:p w14:paraId="3A84F7AB">
                  <w:pPr>
                    <w:adjustRightInd w:val="0"/>
                    <w:snapToGrid w:val="0"/>
                    <w:jc w:val="center"/>
                    <w:rPr>
                      <w:color w:val="auto"/>
                      <w:kern w:val="0"/>
                    </w:rPr>
                  </w:pPr>
                  <w:r>
                    <w:rPr>
                      <w:rFonts w:hint="eastAsia"/>
                      <w:color w:val="auto"/>
                      <w:kern w:val="0"/>
                      <w:lang w:val="en-US" w:eastAsia="zh-CN"/>
                    </w:rPr>
                    <w:t>+1500</w:t>
                  </w:r>
                </w:p>
              </w:tc>
              <w:tc>
                <w:tcPr>
                  <w:tcW w:w="266" w:type="pct"/>
                  <w:tcBorders>
                    <w:tl2br w:val="nil"/>
                    <w:tr2bl w:val="nil"/>
                  </w:tcBorders>
                  <w:vAlign w:val="center"/>
                </w:tcPr>
                <w:p w14:paraId="3A84F7AC">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AD">
                  <w:pPr>
                    <w:adjustRightInd w:val="0"/>
                    <w:snapToGrid w:val="0"/>
                    <w:jc w:val="center"/>
                    <w:rPr>
                      <w:color w:val="auto"/>
                      <w:kern w:val="0"/>
                    </w:rPr>
                  </w:pPr>
                  <w:r>
                    <w:rPr>
                      <w:color w:val="auto"/>
                      <w:kern w:val="0"/>
                    </w:rPr>
                    <w:t>5000枚/箱</w:t>
                  </w:r>
                </w:p>
              </w:tc>
              <w:tc>
                <w:tcPr>
                  <w:tcW w:w="554" w:type="pct"/>
                  <w:tcBorders>
                    <w:tl2br w:val="nil"/>
                    <w:tr2bl w:val="nil"/>
                  </w:tcBorders>
                  <w:shd w:val="clear" w:color="auto" w:fill="auto"/>
                  <w:vAlign w:val="center"/>
                </w:tcPr>
                <w:p w14:paraId="3A84F7AE">
                  <w:pPr>
                    <w:adjustRightInd w:val="0"/>
                    <w:snapToGrid w:val="0"/>
                    <w:jc w:val="center"/>
                    <w:rPr>
                      <w:color w:val="auto"/>
                      <w:kern w:val="0"/>
                    </w:rPr>
                  </w:pPr>
                  <w:r>
                    <w:rPr>
                      <w:color w:val="auto"/>
                      <w:kern w:val="0"/>
                    </w:rPr>
                    <w:t>50</w:t>
                  </w:r>
                </w:p>
              </w:tc>
            </w:tr>
            <w:tr w14:paraId="7C3B481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10"/>
                  <w:tcBorders>
                    <w:tl2br w:val="nil"/>
                    <w:tr2bl w:val="nil"/>
                  </w:tcBorders>
                  <w:vAlign w:val="center"/>
                </w:tcPr>
                <w:p w14:paraId="6F352A1D">
                  <w:pPr>
                    <w:adjustRightInd w:val="0"/>
                    <w:snapToGrid w:val="0"/>
                    <w:jc w:val="center"/>
                    <w:rPr>
                      <w:rFonts w:hint="eastAsia"/>
                      <w:b/>
                      <w:bCs/>
                      <w:color w:val="auto"/>
                      <w:kern w:val="0"/>
                    </w:rPr>
                  </w:pPr>
                  <w:r>
                    <w:rPr>
                      <w:rFonts w:hint="eastAsia"/>
                      <w:b/>
                      <w:bCs/>
                      <w:color w:val="auto"/>
                      <w:kern w:val="0"/>
                    </w:rPr>
                    <w:t>④</w:t>
                  </w:r>
                  <w:r>
                    <w:rPr>
                      <w:b/>
                      <w:bCs/>
                      <w:color w:val="auto"/>
                      <w:kern w:val="0"/>
                    </w:rPr>
                    <w:t>PS手动</w:t>
                  </w:r>
                </w:p>
              </w:tc>
            </w:tr>
            <w:tr w14:paraId="3A84F7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7B2">
                  <w:pPr>
                    <w:adjustRightInd w:val="0"/>
                    <w:snapToGrid w:val="0"/>
                    <w:jc w:val="center"/>
                    <w:rPr>
                      <w:color w:val="auto"/>
                      <w:kern w:val="0"/>
                    </w:rPr>
                  </w:pPr>
                  <w:r>
                    <w:rPr>
                      <w:color w:val="auto"/>
                      <w:kern w:val="0"/>
                    </w:rPr>
                    <w:t>腔体</w:t>
                  </w:r>
                </w:p>
              </w:tc>
              <w:tc>
                <w:tcPr>
                  <w:tcW w:w="673" w:type="pct"/>
                  <w:tcBorders>
                    <w:tl2br w:val="nil"/>
                    <w:tr2bl w:val="nil"/>
                  </w:tcBorders>
                  <w:vAlign w:val="center"/>
                </w:tcPr>
                <w:p w14:paraId="3A84F7B3">
                  <w:pPr>
                    <w:adjustRightInd w:val="0"/>
                    <w:snapToGrid w:val="0"/>
                    <w:jc w:val="center"/>
                    <w:rPr>
                      <w:color w:val="auto"/>
                      <w:kern w:val="0"/>
                    </w:rPr>
                  </w:pPr>
                  <w:r>
                    <w:rPr>
                      <w:color w:val="auto"/>
                      <w:kern w:val="0"/>
                    </w:rPr>
                    <w:t>/</w:t>
                  </w:r>
                </w:p>
              </w:tc>
              <w:tc>
                <w:tcPr>
                  <w:tcW w:w="453" w:type="pct"/>
                  <w:tcBorders>
                    <w:tl2br w:val="nil"/>
                    <w:tr2bl w:val="nil"/>
                  </w:tcBorders>
                  <w:vAlign w:val="center"/>
                </w:tcPr>
                <w:p w14:paraId="7A42599D">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B4">
                  <w:pPr>
                    <w:adjustRightInd w:val="0"/>
                    <w:snapToGrid w:val="0"/>
                    <w:jc w:val="center"/>
                    <w:rPr>
                      <w:color w:val="auto"/>
                      <w:kern w:val="0"/>
                    </w:rPr>
                  </w:pPr>
                  <w:r>
                    <w:rPr>
                      <w:color w:val="auto"/>
                      <w:kern w:val="0"/>
                    </w:rPr>
                    <w:t>110</w:t>
                  </w:r>
                </w:p>
              </w:tc>
              <w:tc>
                <w:tcPr>
                  <w:tcW w:w="553" w:type="pct"/>
                  <w:tcBorders>
                    <w:tl2br w:val="nil"/>
                    <w:tr2bl w:val="nil"/>
                  </w:tcBorders>
                  <w:shd w:val="clear" w:color="auto" w:fill="auto"/>
                  <w:vAlign w:val="center"/>
                </w:tcPr>
                <w:p w14:paraId="3A84F7B5">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110</w:t>
                  </w:r>
                </w:p>
              </w:tc>
              <w:tc>
                <w:tcPr>
                  <w:tcW w:w="559" w:type="pct"/>
                  <w:tcBorders>
                    <w:tl2br w:val="nil"/>
                    <w:tr2bl w:val="nil"/>
                  </w:tcBorders>
                  <w:vAlign w:val="center"/>
                </w:tcPr>
                <w:p w14:paraId="3A84F7B6">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7B7">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B8">
                  <w:pPr>
                    <w:adjustRightInd w:val="0"/>
                    <w:snapToGrid w:val="0"/>
                    <w:jc w:val="center"/>
                    <w:rPr>
                      <w:color w:val="auto"/>
                      <w:kern w:val="0"/>
                    </w:rPr>
                  </w:pPr>
                  <w:r>
                    <w:rPr>
                      <w:color w:val="auto"/>
                      <w:kern w:val="0"/>
                    </w:rPr>
                    <w:t>40根/箱</w:t>
                  </w:r>
                </w:p>
              </w:tc>
              <w:tc>
                <w:tcPr>
                  <w:tcW w:w="554" w:type="pct"/>
                  <w:tcBorders>
                    <w:tl2br w:val="nil"/>
                    <w:tr2bl w:val="nil"/>
                  </w:tcBorders>
                  <w:vAlign w:val="center"/>
                </w:tcPr>
                <w:p w14:paraId="3A84F7B9">
                  <w:pPr>
                    <w:adjustRightInd w:val="0"/>
                    <w:snapToGrid w:val="0"/>
                    <w:jc w:val="center"/>
                    <w:rPr>
                      <w:color w:val="auto"/>
                      <w:kern w:val="0"/>
                    </w:rPr>
                  </w:pPr>
                  <w:r>
                    <w:rPr>
                      <w:color w:val="auto"/>
                      <w:kern w:val="0"/>
                    </w:rPr>
                    <w:t>50</w:t>
                  </w:r>
                </w:p>
              </w:tc>
            </w:tr>
            <w:tr w14:paraId="3A84F7C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7BB">
                  <w:pPr>
                    <w:adjustRightInd w:val="0"/>
                    <w:snapToGrid w:val="0"/>
                    <w:jc w:val="center"/>
                    <w:rPr>
                      <w:color w:val="auto"/>
                      <w:kern w:val="0"/>
                    </w:rPr>
                  </w:pPr>
                  <w:r>
                    <w:rPr>
                      <w:color w:val="auto"/>
                      <w:kern w:val="0"/>
                    </w:rPr>
                    <w:t>标签</w:t>
                  </w:r>
                </w:p>
              </w:tc>
              <w:tc>
                <w:tcPr>
                  <w:tcW w:w="673" w:type="pct"/>
                  <w:tcBorders>
                    <w:tl2br w:val="nil"/>
                    <w:tr2bl w:val="nil"/>
                  </w:tcBorders>
                  <w:vAlign w:val="center"/>
                </w:tcPr>
                <w:p w14:paraId="3A84F7BC">
                  <w:pPr>
                    <w:adjustRightInd w:val="0"/>
                    <w:snapToGrid w:val="0"/>
                    <w:jc w:val="center"/>
                    <w:rPr>
                      <w:color w:val="auto"/>
                      <w:kern w:val="0"/>
                    </w:rPr>
                  </w:pPr>
                  <w:r>
                    <w:rPr>
                      <w:color w:val="auto"/>
                      <w:kern w:val="0"/>
                    </w:rPr>
                    <w:t>/</w:t>
                  </w:r>
                </w:p>
              </w:tc>
              <w:tc>
                <w:tcPr>
                  <w:tcW w:w="453" w:type="pct"/>
                  <w:tcBorders>
                    <w:tl2br w:val="nil"/>
                    <w:tr2bl w:val="nil"/>
                  </w:tcBorders>
                  <w:vAlign w:val="center"/>
                </w:tcPr>
                <w:p w14:paraId="5A39B6FB">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BD">
                  <w:pPr>
                    <w:adjustRightInd w:val="0"/>
                    <w:snapToGrid w:val="0"/>
                    <w:jc w:val="center"/>
                    <w:rPr>
                      <w:color w:val="auto"/>
                      <w:kern w:val="0"/>
                    </w:rPr>
                  </w:pPr>
                  <w:r>
                    <w:rPr>
                      <w:color w:val="auto"/>
                      <w:kern w:val="0"/>
                    </w:rPr>
                    <w:t>110</w:t>
                  </w:r>
                </w:p>
              </w:tc>
              <w:tc>
                <w:tcPr>
                  <w:tcW w:w="553" w:type="pct"/>
                  <w:tcBorders>
                    <w:tl2br w:val="nil"/>
                    <w:tr2bl w:val="nil"/>
                  </w:tcBorders>
                  <w:shd w:val="clear" w:color="auto" w:fill="auto"/>
                  <w:vAlign w:val="center"/>
                </w:tcPr>
                <w:p w14:paraId="3A84F7BE">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110</w:t>
                  </w:r>
                </w:p>
              </w:tc>
              <w:tc>
                <w:tcPr>
                  <w:tcW w:w="559" w:type="pct"/>
                  <w:tcBorders>
                    <w:tl2br w:val="nil"/>
                    <w:tr2bl w:val="nil"/>
                  </w:tcBorders>
                  <w:vAlign w:val="center"/>
                </w:tcPr>
                <w:p w14:paraId="3A84F7BF">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7C0">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C1">
                  <w:pPr>
                    <w:adjustRightInd w:val="0"/>
                    <w:snapToGrid w:val="0"/>
                    <w:jc w:val="center"/>
                    <w:rPr>
                      <w:color w:val="auto"/>
                      <w:kern w:val="0"/>
                    </w:rPr>
                  </w:pPr>
                  <w:r>
                    <w:rPr>
                      <w:color w:val="auto"/>
                      <w:kern w:val="0"/>
                    </w:rPr>
                    <w:t>5000枚/箱</w:t>
                  </w:r>
                </w:p>
              </w:tc>
              <w:tc>
                <w:tcPr>
                  <w:tcW w:w="554" w:type="pct"/>
                  <w:tcBorders>
                    <w:tl2br w:val="nil"/>
                    <w:tr2bl w:val="nil"/>
                  </w:tcBorders>
                  <w:vAlign w:val="center"/>
                </w:tcPr>
                <w:p w14:paraId="3A84F7C2">
                  <w:pPr>
                    <w:adjustRightInd w:val="0"/>
                    <w:snapToGrid w:val="0"/>
                    <w:jc w:val="center"/>
                    <w:rPr>
                      <w:color w:val="auto"/>
                      <w:kern w:val="0"/>
                    </w:rPr>
                  </w:pPr>
                  <w:r>
                    <w:rPr>
                      <w:color w:val="auto"/>
                      <w:kern w:val="0"/>
                    </w:rPr>
                    <w:t>50</w:t>
                  </w:r>
                </w:p>
              </w:tc>
            </w:tr>
            <w:tr w14:paraId="3A84F7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7C4">
                  <w:pPr>
                    <w:adjustRightInd w:val="0"/>
                    <w:snapToGrid w:val="0"/>
                    <w:jc w:val="center"/>
                    <w:rPr>
                      <w:color w:val="auto"/>
                      <w:kern w:val="0"/>
                    </w:rPr>
                  </w:pPr>
                  <w:r>
                    <w:rPr>
                      <w:color w:val="auto"/>
                      <w:kern w:val="0"/>
                    </w:rPr>
                    <w:t>垫片</w:t>
                  </w:r>
                </w:p>
              </w:tc>
              <w:tc>
                <w:tcPr>
                  <w:tcW w:w="673" w:type="pct"/>
                  <w:tcBorders>
                    <w:tl2br w:val="nil"/>
                    <w:tr2bl w:val="nil"/>
                  </w:tcBorders>
                  <w:vAlign w:val="center"/>
                </w:tcPr>
                <w:p w14:paraId="3A84F7C5">
                  <w:pPr>
                    <w:adjustRightInd w:val="0"/>
                    <w:snapToGrid w:val="0"/>
                    <w:jc w:val="center"/>
                    <w:rPr>
                      <w:color w:val="auto"/>
                      <w:kern w:val="0"/>
                    </w:rPr>
                  </w:pPr>
                  <w:r>
                    <w:rPr>
                      <w:color w:val="auto"/>
                      <w:kern w:val="0"/>
                    </w:rPr>
                    <w:t>/</w:t>
                  </w:r>
                </w:p>
              </w:tc>
              <w:tc>
                <w:tcPr>
                  <w:tcW w:w="453" w:type="pct"/>
                  <w:tcBorders>
                    <w:tl2br w:val="nil"/>
                    <w:tr2bl w:val="nil"/>
                  </w:tcBorders>
                  <w:vAlign w:val="center"/>
                </w:tcPr>
                <w:p w14:paraId="531160E9">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C6">
                  <w:pPr>
                    <w:adjustRightInd w:val="0"/>
                    <w:snapToGrid w:val="0"/>
                    <w:jc w:val="center"/>
                    <w:rPr>
                      <w:color w:val="auto"/>
                      <w:kern w:val="0"/>
                    </w:rPr>
                  </w:pPr>
                  <w:r>
                    <w:rPr>
                      <w:color w:val="auto"/>
                      <w:kern w:val="0"/>
                    </w:rPr>
                    <w:t>110</w:t>
                  </w:r>
                </w:p>
              </w:tc>
              <w:tc>
                <w:tcPr>
                  <w:tcW w:w="553" w:type="pct"/>
                  <w:tcBorders>
                    <w:tl2br w:val="nil"/>
                    <w:tr2bl w:val="nil"/>
                  </w:tcBorders>
                  <w:shd w:val="clear" w:color="auto" w:fill="auto"/>
                  <w:vAlign w:val="center"/>
                </w:tcPr>
                <w:p w14:paraId="3A84F7C7">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110</w:t>
                  </w:r>
                </w:p>
              </w:tc>
              <w:tc>
                <w:tcPr>
                  <w:tcW w:w="559" w:type="pct"/>
                  <w:tcBorders>
                    <w:tl2br w:val="nil"/>
                    <w:tr2bl w:val="nil"/>
                  </w:tcBorders>
                  <w:vAlign w:val="center"/>
                </w:tcPr>
                <w:p w14:paraId="3A84F7C8">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7C9">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CA">
                  <w:pPr>
                    <w:adjustRightInd w:val="0"/>
                    <w:snapToGrid w:val="0"/>
                    <w:jc w:val="center"/>
                    <w:rPr>
                      <w:color w:val="auto"/>
                      <w:kern w:val="0"/>
                    </w:rPr>
                  </w:pPr>
                  <w:r>
                    <w:rPr>
                      <w:color w:val="auto"/>
                      <w:kern w:val="0"/>
                    </w:rPr>
                    <w:t>10000枚/箱</w:t>
                  </w:r>
                </w:p>
              </w:tc>
              <w:tc>
                <w:tcPr>
                  <w:tcW w:w="554" w:type="pct"/>
                  <w:tcBorders>
                    <w:tl2br w:val="nil"/>
                    <w:tr2bl w:val="nil"/>
                  </w:tcBorders>
                  <w:vAlign w:val="center"/>
                </w:tcPr>
                <w:p w14:paraId="3A84F7CB">
                  <w:pPr>
                    <w:adjustRightInd w:val="0"/>
                    <w:snapToGrid w:val="0"/>
                    <w:jc w:val="center"/>
                    <w:rPr>
                      <w:color w:val="auto"/>
                      <w:kern w:val="0"/>
                    </w:rPr>
                  </w:pPr>
                  <w:r>
                    <w:rPr>
                      <w:color w:val="auto"/>
                      <w:kern w:val="0"/>
                    </w:rPr>
                    <w:t>50</w:t>
                  </w:r>
                </w:p>
              </w:tc>
            </w:tr>
            <w:tr w14:paraId="3A84F7D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7CD">
                  <w:pPr>
                    <w:adjustRightInd w:val="0"/>
                    <w:snapToGrid w:val="0"/>
                    <w:jc w:val="center"/>
                    <w:rPr>
                      <w:color w:val="auto"/>
                      <w:kern w:val="0"/>
                    </w:rPr>
                  </w:pPr>
                  <w:r>
                    <w:rPr>
                      <w:color w:val="auto"/>
                      <w:kern w:val="0"/>
                    </w:rPr>
                    <w:t>滤网</w:t>
                  </w:r>
                </w:p>
              </w:tc>
              <w:tc>
                <w:tcPr>
                  <w:tcW w:w="673" w:type="pct"/>
                  <w:tcBorders>
                    <w:tl2br w:val="nil"/>
                    <w:tr2bl w:val="nil"/>
                  </w:tcBorders>
                  <w:vAlign w:val="center"/>
                </w:tcPr>
                <w:p w14:paraId="3A84F7CE">
                  <w:pPr>
                    <w:adjustRightInd w:val="0"/>
                    <w:snapToGrid w:val="0"/>
                    <w:jc w:val="center"/>
                    <w:rPr>
                      <w:color w:val="auto"/>
                      <w:kern w:val="0"/>
                    </w:rPr>
                  </w:pPr>
                </w:p>
              </w:tc>
              <w:tc>
                <w:tcPr>
                  <w:tcW w:w="453" w:type="pct"/>
                  <w:tcBorders>
                    <w:tl2br w:val="nil"/>
                    <w:tr2bl w:val="nil"/>
                  </w:tcBorders>
                  <w:vAlign w:val="center"/>
                </w:tcPr>
                <w:p w14:paraId="6ECA0425">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CF">
                  <w:pPr>
                    <w:adjustRightInd w:val="0"/>
                    <w:snapToGrid w:val="0"/>
                    <w:jc w:val="center"/>
                    <w:rPr>
                      <w:color w:val="auto"/>
                      <w:kern w:val="0"/>
                    </w:rPr>
                  </w:pPr>
                  <w:r>
                    <w:rPr>
                      <w:color w:val="auto"/>
                      <w:kern w:val="0"/>
                    </w:rPr>
                    <w:t>110</w:t>
                  </w:r>
                </w:p>
              </w:tc>
              <w:tc>
                <w:tcPr>
                  <w:tcW w:w="553" w:type="pct"/>
                  <w:tcBorders>
                    <w:tl2br w:val="nil"/>
                    <w:tr2bl w:val="nil"/>
                  </w:tcBorders>
                  <w:shd w:val="clear" w:color="auto" w:fill="auto"/>
                  <w:vAlign w:val="center"/>
                </w:tcPr>
                <w:p w14:paraId="3A84F7D0">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110</w:t>
                  </w:r>
                </w:p>
              </w:tc>
              <w:tc>
                <w:tcPr>
                  <w:tcW w:w="559" w:type="pct"/>
                  <w:tcBorders>
                    <w:tl2br w:val="nil"/>
                    <w:tr2bl w:val="nil"/>
                  </w:tcBorders>
                  <w:vAlign w:val="center"/>
                </w:tcPr>
                <w:p w14:paraId="3A84F7D1">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7D2">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D3">
                  <w:pPr>
                    <w:adjustRightInd w:val="0"/>
                    <w:snapToGrid w:val="0"/>
                    <w:jc w:val="center"/>
                    <w:rPr>
                      <w:color w:val="auto"/>
                      <w:kern w:val="0"/>
                    </w:rPr>
                  </w:pPr>
                  <w:r>
                    <w:rPr>
                      <w:color w:val="auto"/>
                      <w:kern w:val="0"/>
                    </w:rPr>
                    <w:t>200枚/箱</w:t>
                  </w:r>
                </w:p>
              </w:tc>
              <w:tc>
                <w:tcPr>
                  <w:tcW w:w="554" w:type="pct"/>
                  <w:tcBorders>
                    <w:tl2br w:val="nil"/>
                    <w:tr2bl w:val="nil"/>
                  </w:tcBorders>
                  <w:vAlign w:val="center"/>
                </w:tcPr>
                <w:p w14:paraId="3A84F7D4">
                  <w:pPr>
                    <w:adjustRightInd w:val="0"/>
                    <w:snapToGrid w:val="0"/>
                    <w:jc w:val="center"/>
                    <w:rPr>
                      <w:color w:val="auto"/>
                      <w:kern w:val="0"/>
                    </w:rPr>
                  </w:pPr>
                  <w:r>
                    <w:rPr>
                      <w:color w:val="auto"/>
                      <w:kern w:val="0"/>
                    </w:rPr>
                    <w:t>50</w:t>
                  </w:r>
                </w:p>
              </w:tc>
            </w:tr>
            <w:tr w14:paraId="3A84F7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7D6">
                  <w:pPr>
                    <w:adjustRightInd w:val="0"/>
                    <w:snapToGrid w:val="0"/>
                    <w:jc w:val="center"/>
                    <w:rPr>
                      <w:color w:val="auto"/>
                      <w:kern w:val="0"/>
                    </w:rPr>
                  </w:pPr>
                  <w:r>
                    <w:rPr>
                      <w:color w:val="auto"/>
                      <w:kern w:val="0"/>
                    </w:rPr>
                    <w:t>螺钉</w:t>
                  </w:r>
                </w:p>
              </w:tc>
              <w:tc>
                <w:tcPr>
                  <w:tcW w:w="673" w:type="pct"/>
                  <w:tcBorders>
                    <w:tl2br w:val="nil"/>
                    <w:tr2bl w:val="nil"/>
                  </w:tcBorders>
                  <w:vAlign w:val="center"/>
                </w:tcPr>
                <w:p w14:paraId="3A84F7D7">
                  <w:pPr>
                    <w:adjustRightInd w:val="0"/>
                    <w:snapToGrid w:val="0"/>
                    <w:jc w:val="center"/>
                    <w:rPr>
                      <w:color w:val="auto"/>
                      <w:kern w:val="0"/>
                    </w:rPr>
                  </w:pPr>
                  <w:r>
                    <w:rPr>
                      <w:color w:val="auto"/>
                      <w:kern w:val="0"/>
                    </w:rPr>
                    <w:t>/</w:t>
                  </w:r>
                </w:p>
              </w:tc>
              <w:tc>
                <w:tcPr>
                  <w:tcW w:w="453" w:type="pct"/>
                  <w:tcBorders>
                    <w:tl2br w:val="nil"/>
                    <w:tr2bl w:val="nil"/>
                  </w:tcBorders>
                  <w:vAlign w:val="center"/>
                </w:tcPr>
                <w:p w14:paraId="54E480B8">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D8">
                  <w:pPr>
                    <w:adjustRightInd w:val="0"/>
                    <w:snapToGrid w:val="0"/>
                    <w:jc w:val="center"/>
                    <w:rPr>
                      <w:color w:val="auto"/>
                      <w:kern w:val="0"/>
                    </w:rPr>
                  </w:pPr>
                  <w:r>
                    <w:rPr>
                      <w:color w:val="auto"/>
                      <w:kern w:val="0"/>
                    </w:rPr>
                    <w:t>110</w:t>
                  </w:r>
                </w:p>
              </w:tc>
              <w:tc>
                <w:tcPr>
                  <w:tcW w:w="553" w:type="pct"/>
                  <w:tcBorders>
                    <w:tl2br w:val="nil"/>
                    <w:tr2bl w:val="nil"/>
                  </w:tcBorders>
                  <w:shd w:val="clear" w:color="auto" w:fill="auto"/>
                  <w:vAlign w:val="center"/>
                </w:tcPr>
                <w:p w14:paraId="3A84F7D9">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110</w:t>
                  </w:r>
                </w:p>
              </w:tc>
              <w:tc>
                <w:tcPr>
                  <w:tcW w:w="559" w:type="pct"/>
                  <w:tcBorders>
                    <w:tl2br w:val="nil"/>
                    <w:tr2bl w:val="nil"/>
                  </w:tcBorders>
                  <w:vAlign w:val="center"/>
                </w:tcPr>
                <w:p w14:paraId="3A84F7DA">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7DB">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DC">
                  <w:pPr>
                    <w:adjustRightInd w:val="0"/>
                    <w:snapToGrid w:val="0"/>
                    <w:jc w:val="center"/>
                    <w:rPr>
                      <w:color w:val="auto"/>
                      <w:kern w:val="0"/>
                    </w:rPr>
                  </w:pPr>
                  <w:r>
                    <w:rPr>
                      <w:color w:val="auto"/>
                      <w:kern w:val="0"/>
                    </w:rPr>
                    <w:t>5000枚/箱</w:t>
                  </w:r>
                </w:p>
              </w:tc>
              <w:tc>
                <w:tcPr>
                  <w:tcW w:w="554" w:type="pct"/>
                  <w:tcBorders>
                    <w:tl2br w:val="nil"/>
                    <w:tr2bl w:val="nil"/>
                  </w:tcBorders>
                  <w:vAlign w:val="center"/>
                </w:tcPr>
                <w:p w14:paraId="3A84F7DD">
                  <w:pPr>
                    <w:adjustRightInd w:val="0"/>
                    <w:snapToGrid w:val="0"/>
                    <w:jc w:val="center"/>
                    <w:rPr>
                      <w:color w:val="auto"/>
                      <w:kern w:val="0"/>
                    </w:rPr>
                  </w:pPr>
                  <w:r>
                    <w:rPr>
                      <w:color w:val="auto"/>
                      <w:kern w:val="0"/>
                    </w:rPr>
                    <w:t>50</w:t>
                  </w:r>
                </w:p>
              </w:tc>
            </w:tr>
            <w:tr w14:paraId="3A84F7E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7DF">
                  <w:pPr>
                    <w:adjustRightInd w:val="0"/>
                    <w:snapToGrid w:val="0"/>
                    <w:jc w:val="center"/>
                    <w:rPr>
                      <w:color w:val="auto"/>
                      <w:kern w:val="0"/>
                    </w:rPr>
                  </w:pPr>
                  <w:r>
                    <w:rPr>
                      <w:color w:val="auto"/>
                      <w:kern w:val="0"/>
                    </w:rPr>
                    <w:t>密封圈</w:t>
                  </w:r>
                </w:p>
              </w:tc>
              <w:tc>
                <w:tcPr>
                  <w:tcW w:w="673" w:type="pct"/>
                  <w:tcBorders>
                    <w:tl2br w:val="nil"/>
                    <w:tr2bl w:val="nil"/>
                  </w:tcBorders>
                  <w:vAlign w:val="center"/>
                </w:tcPr>
                <w:p w14:paraId="3A84F7E0">
                  <w:pPr>
                    <w:adjustRightInd w:val="0"/>
                    <w:snapToGrid w:val="0"/>
                    <w:jc w:val="center"/>
                    <w:rPr>
                      <w:color w:val="auto"/>
                      <w:kern w:val="0"/>
                    </w:rPr>
                  </w:pPr>
                  <w:r>
                    <w:rPr>
                      <w:color w:val="auto"/>
                      <w:kern w:val="0"/>
                    </w:rPr>
                    <w:t>/</w:t>
                  </w:r>
                </w:p>
              </w:tc>
              <w:tc>
                <w:tcPr>
                  <w:tcW w:w="453" w:type="pct"/>
                  <w:tcBorders>
                    <w:tl2br w:val="nil"/>
                    <w:tr2bl w:val="nil"/>
                  </w:tcBorders>
                  <w:vAlign w:val="center"/>
                </w:tcPr>
                <w:p w14:paraId="28A08A59">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E1">
                  <w:pPr>
                    <w:adjustRightInd w:val="0"/>
                    <w:snapToGrid w:val="0"/>
                    <w:jc w:val="center"/>
                    <w:rPr>
                      <w:color w:val="auto"/>
                      <w:kern w:val="0"/>
                    </w:rPr>
                  </w:pPr>
                  <w:r>
                    <w:rPr>
                      <w:color w:val="auto"/>
                      <w:kern w:val="0"/>
                    </w:rPr>
                    <w:t>110</w:t>
                  </w:r>
                </w:p>
              </w:tc>
              <w:tc>
                <w:tcPr>
                  <w:tcW w:w="553" w:type="pct"/>
                  <w:tcBorders>
                    <w:tl2br w:val="nil"/>
                    <w:tr2bl w:val="nil"/>
                  </w:tcBorders>
                  <w:shd w:val="clear" w:color="auto" w:fill="auto"/>
                  <w:vAlign w:val="center"/>
                </w:tcPr>
                <w:p w14:paraId="3A84F7E2">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110</w:t>
                  </w:r>
                </w:p>
              </w:tc>
              <w:tc>
                <w:tcPr>
                  <w:tcW w:w="559" w:type="pct"/>
                  <w:tcBorders>
                    <w:tl2br w:val="nil"/>
                    <w:tr2bl w:val="nil"/>
                  </w:tcBorders>
                  <w:vAlign w:val="center"/>
                </w:tcPr>
                <w:p w14:paraId="3A84F7E3">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7E4">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E5">
                  <w:pPr>
                    <w:adjustRightInd w:val="0"/>
                    <w:snapToGrid w:val="0"/>
                    <w:jc w:val="center"/>
                    <w:rPr>
                      <w:color w:val="auto"/>
                      <w:kern w:val="0"/>
                    </w:rPr>
                  </w:pPr>
                  <w:r>
                    <w:rPr>
                      <w:color w:val="auto"/>
                      <w:kern w:val="0"/>
                    </w:rPr>
                    <w:t>10000枚/箱</w:t>
                  </w:r>
                </w:p>
              </w:tc>
              <w:tc>
                <w:tcPr>
                  <w:tcW w:w="554" w:type="pct"/>
                  <w:tcBorders>
                    <w:tl2br w:val="nil"/>
                    <w:tr2bl w:val="nil"/>
                  </w:tcBorders>
                  <w:vAlign w:val="center"/>
                </w:tcPr>
                <w:p w14:paraId="3A84F7E6">
                  <w:pPr>
                    <w:adjustRightInd w:val="0"/>
                    <w:snapToGrid w:val="0"/>
                    <w:jc w:val="center"/>
                    <w:rPr>
                      <w:color w:val="auto"/>
                      <w:kern w:val="0"/>
                    </w:rPr>
                  </w:pPr>
                  <w:r>
                    <w:rPr>
                      <w:color w:val="auto"/>
                      <w:kern w:val="0"/>
                    </w:rPr>
                    <w:t>50</w:t>
                  </w:r>
                </w:p>
              </w:tc>
            </w:tr>
            <w:tr w14:paraId="3A84F7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7E8">
                  <w:pPr>
                    <w:adjustRightInd w:val="0"/>
                    <w:snapToGrid w:val="0"/>
                    <w:jc w:val="center"/>
                    <w:rPr>
                      <w:color w:val="auto"/>
                      <w:kern w:val="0"/>
                    </w:rPr>
                  </w:pPr>
                  <w:r>
                    <w:rPr>
                      <w:color w:val="auto"/>
                      <w:kern w:val="0"/>
                    </w:rPr>
                    <w:t>电火花</w:t>
                  </w:r>
                </w:p>
              </w:tc>
              <w:tc>
                <w:tcPr>
                  <w:tcW w:w="673" w:type="pct"/>
                  <w:tcBorders>
                    <w:tl2br w:val="nil"/>
                    <w:tr2bl w:val="nil"/>
                  </w:tcBorders>
                  <w:vAlign w:val="center"/>
                </w:tcPr>
                <w:p w14:paraId="3A84F7E9">
                  <w:pPr>
                    <w:adjustRightInd w:val="0"/>
                    <w:snapToGrid w:val="0"/>
                    <w:jc w:val="center"/>
                    <w:rPr>
                      <w:color w:val="auto"/>
                      <w:kern w:val="0"/>
                    </w:rPr>
                  </w:pPr>
                  <w:r>
                    <w:rPr>
                      <w:color w:val="auto"/>
                      <w:kern w:val="0"/>
                    </w:rPr>
                    <w:t>/</w:t>
                  </w:r>
                </w:p>
              </w:tc>
              <w:tc>
                <w:tcPr>
                  <w:tcW w:w="453" w:type="pct"/>
                  <w:tcBorders>
                    <w:tl2br w:val="nil"/>
                    <w:tr2bl w:val="nil"/>
                  </w:tcBorders>
                  <w:vAlign w:val="center"/>
                </w:tcPr>
                <w:p w14:paraId="4CC4C3BB">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EA">
                  <w:pPr>
                    <w:adjustRightInd w:val="0"/>
                    <w:snapToGrid w:val="0"/>
                    <w:jc w:val="center"/>
                    <w:rPr>
                      <w:color w:val="auto"/>
                      <w:kern w:val="0"/>
                    </w:rPr>
                  </w:pPr>
                  <w:r>
                    <w:rPr>
                      <w:color w:val="auto"/>
                      <w:kern w:val="0"/>
                    </w:rPr>
                    <w:t>110</w:t>
                  </w:r>
                </w:p>
              </w:tc>
              <w:tc>
                <w:tcPr>
                  <w:tcW w:w="553" w:type="pct"/>
                  <w:tcBorders>
                    <w:tl2br w:val="nil"/>
                    <w:tr2bl w:val="nil"/>
                  </w:tcBorders>
                  <w:shd w:val="clear" w:color="auto" w:fill="auto"/>
                  <w:vAlign w:val="center"/>
                </w:tcPr>
                <w:p w14:paraId="3A84F7EB">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110</w:t>
                  </w:r>
                </w:p>
              </w:tc>
              <w:tc>
                <w:tcPr>
                  <w:tcW w:w="559" w:type="pct"/>
                  <w:tcBorders>
                    <w:tl2br w:val="nil"/>
                    <w:tr2bl w:val="nil"/>
                  </w:tcBorders>
                  <w:vAlign w:val="center"/>
                </w:tcPr>
                <w:p w14:paraId="3A84F7EC">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7ED">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EE">
                  <w:pPr>
                    <w:adjustRightInd w:val="0"/>
                    <w:snapToGrid w:val="0"/>
                    <w:jc w:val="center"/>
                    <w:rPr>
                      <w:color w:val="auto"/>
                      <w:kern w:val="0"/>
                    </w:rPr>
                  </w:pPr>
                  <w:r>
                    <w:rPr>
                      <w:color w:val="auto"/>
                      <w:kern w:val="0"/>
                    </w:rPr>
                    <w:t>2000枚/箱</w:t>
                  </w:r>
                </w:p>
              </w:tc>
              <w:tc>
                <w:tcPr>
                  <w:tcW w:w="554" w:type="pct"/>
                  <w:tcBorders>
                    <w:tl2br w:val="nil"/>
                    <w:tr2bl w:val="nil"/>
                  </w:tcBorders>
                  <w:vAlign w:val="center"/>
                </w:tcPr>
                <w:p w14:paraId="3A84F7EF">
                  <w:pPr>
                    <w:adjustRightInd w:val="0"/>
                    <w:snapToGrid w:val="0"/>
                    <w:jc w:val="center"/>
                    <w:rPr>
                      <w:color w:val="auto"/>
                      <w:kern w:val="0"/>
                    </w:rPr>
                  </w:pPr>
                  <w:r>
                    <w:rPr>
                      <w:color w:val="auto"/>
                      <w:kern w:val="0"/>
                    </w:rPr>
                    <w:t>50</w:t>
                  </w:r>
                </w:p>
              </w:tc>
            </w:tr>
            <w:tr w14:paraId="3A84F7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7F1">
                  <w:pPr>
                    <w:adjustRightInd w:val="0"/>
                    <w:snapToGrid w:val="0"/>
                    <w:jc w:val="center"/>
                    <w:rPr>
                      <w:color w:val="auto"/>
                      <w:kern w:val="0"/>
                    </w:rPr>
                  </w:pPr>
                  <w:r>
                    <w:rPr>
                      <w:color w:val="auto"/>
                      <w:kern w:val="0"/>
                    </w:rPr>
                    <w:t>盖子</w:t>
                  </w:r>
                </w:p>
              </w:tc>
              <w:tc>
                <w:tcPr>
                  <w:tcW w:w="673" w:type="pct"/>
                  <w:tcBorders>
                    <w:tl2br w:val="nil"/>
                    <w:tr2bl w:val="nil"/>
                  </w:tcBorders>
                  <w:vAlign w:val="center"/>
                </w:tcPr>
                <w:p w14:paraId="3A84F7F2">
                  <w:pPr>
                    <w:adjustRightInd w:val="0"/>
                    <w:snapToGrid w:val="0"/>
                    <w:jc w:val="center"/>
                    <w:rPr>
                      <w:color w:val="auto"/>
                      <w:kern w:val="0"/>
                    </w:rPr>
                  </w:pPr>
                  <w:r>
                    <w:rPr>
                      <w:color w:val="auto"/>
                      <w:kern w:val="0"/>
                    </w:rPr>
                    <w:t>/</w:t>
                  </w:r>
                </w:p>
              </w:tc>
              <w:tc>
                <w:tcPr>
                  <w:tcW w:w="453" w:type="pct"/>
                  <w:tcBorders>
                    <w:tl2br w:val="nil"/>
                    <w:tr2bl w:val="nil"/>
                  </w:tcBorders>
                  <w:vAlign w:val="center"/>
                </w:tcPr>
                <w:p w14:paraId="3382F3AC">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F3">
                  <w:pPr>
                    <w:adjustRightInd w:val="0"/>
                    <w:snapToGrid w:val="0"/>
                    <w:jc w:val="center"/>
                    <w:rPr>
                      <w:color w:val="auto"/>
                      <w:kern w:val="0"/>
                    </w:rPr>
                  </w:pPr>
                  <w:r>
                    <w:rPr>
                      <w:color w:val="auto"/>
                      <w:kern w:val="0"/>
                    </w:rPr>
                    <w:t>110</w:t>
                  </w:r>
                </w:p>
              </w:tc>
              <w:tc>
                <w:tcPr>
                  <w:tcW w:w="553" w:type="pct"/>
                  <w:tcBorders>
                    <w:tl2br w:val="nil"/>
                    <w:tr2bl w:val="nil"/>
                  </w:tcBorders>
                  <w:shd w:val="clear" w:color="auto" w:fill="auto"/>
                  <w:vAlign w:val="center"/>
                </w:tcPr>
                <w:p w14:paraId="3A84F7F4">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110</w:t>
                  </w:r>
                </w:p>
              </w:tc>
              <w:tc>
                <w:tcPr>
                  <w:tcW w:w="559" w:type="pct"/>
                  <w:tcBorders>
                    <w:tl2br w:val="nil"/>
                    <w:tr2bl w:val="nil"/>
                  </w:tcBorders>
                  <w:vAlign w:val="center"/>
                </w:tcPr>
                <w:p w14:paraId="3A84F7F5">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7F6">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7F7">
                  <w:pPr>
                    <w:adjustRightInd w:val="0"/>
                    <w:snapToGrid w:val="0"/>
                    <w:jc w:val="center"/>
                    <w:rPr>
                      <w:color w:val="auto"/>
                      <w:kern w:val="0"/>
                    </w:rPr>
                  </w:pPr>
                  <w:r>
                    <w:rPr>
                      <w:color w:val="auto"/>
                      <w:kern w:val="0"/>
                    </w:rPr>
                    <w:t>10000枚/箱</w:t>
                  </w:r>
                </w:p>
              </w:tc>
              <w:tc>
                <w:tcPr>
                  <w:tcW w:w="554" w:type="pct"/>
                  <w:tcBorders>
                    <w:tl2br w:val="nil"/>
                    <w:tr2bl w:val="nil"/>
                  </w:tcBorders>
                  <w:vAlign w:val="center"/>
                </w:tcPr>
                <w:p w14:paraId="3A84F7F8">
                  <w:pPr>
                    <w:adjustRightInd w:val="0"/>
                    <w:snapToGrid w:val="0"/>
                    <w:jc w:val="center"/>
                    <w:rPr>
                      <w:color w:val="auto"/>
                      <w:kern w:val="0"/>
                    </w:rPr>
                  </w:pPr>
                  <w:r>
                    <w:rPr>
                      <w:color w:val="auto"/>
                      <w:kern w:val="0"/>
                    </w:rPr>
                    <w:t>50</w:t>
                  </w:r>
                </w:p>
              </w:tc>
            </w:tr>
            <w:tr w14:paraId="3A84F8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7FA">
                  <w:pPr>
                    <w:adjustRightInd w:val="0"/>
                    <w:snapToGrid w:val="0"/>
                    <w:jc w:val="center"/>
                    <w:rPr>
                      <w:color w:val="auto"/>
                      <w:kern w:val="0"/>
                    </w:rPr>
                  </w:pPr>
                  <w:r>
                    <w:rPr>
                      <w:color w:val="auto"/>
                      <w:kern w:val="0"/>
                    </w:rPr>
                    <w:t>海绵体</w:t>
                  </w:r>
                </w:p>
              </w:tc>
              <w:tc>
                <w:tcPr>
                  <w:tcW w:w="673" w:type="pct"/>
                  <w:tcBorders>
                    <w:tl2br w:val="nil"/>
                    <w:tr2bl w:val="nil"/>
                  </w:tcBorders>
                  <w:vAlign w:val="center"/>
                </w:tcPr>
                <w:p w14:paraId="3A84F7FB">
                  <w:pPr>
                    <w:adjustRightInd w:val="0"/>
                    <w:snapToGrid w:val="0"/>
                    <w:jc w:val="center"/>
                    <w:rPr>
                      <w:color w:val="auto"/>
                      <w:kern w:val="0"/>
                    </w:rPr>
                  </w:pPr>
                  <w:r>
                    <w:rPr>
                      <w:color w:val="auto"/>
                      <w:kern w:val="0"/>
                    </w:rPr>
                    <w:t>/</w:t>
                  </w:r>
                </w:p>
              </w:tc>
              <w:tc>
                <w:tcPr>
                  <w:tcW w:w="453" w:type="pct"/>
                  <w:tcBorders>
                    <w:tl2br w:val="nil"/>
                    <w:tr2bl w:val="nil"/>
                  </w:tcBorders>
                  <w:vAlign w:val="center"/>
                </w:tcPr>
                <w:p w14:paraId="690E678A">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7FC">
                  <w:pPr>
                    <w:adjustRightInd w:val="0"/>
                    <w:snapToGrid w:val="0"/>
                    <w:jc w:val="center"/>
                    <w:rPr>
                      <w:color w:val="auto"/>
                      <w:kern w:val="0"/>
                    </w:rPr>
                  </w:pPr>
                  <w:r>
                    <w:rPr>
                      <w:color w:val="auto"/>
                      <w:kern w:val="0"/>
                    </w:rPr>
                    <w:t>110</w:t>
                  </w:r>
                </w:p>
              </w:tc>
              <w:tc>
                <w:tcPr>
                  <w:tcW w:w="553" w:type="pct"/>
                  <w:tcBorders>
                    <w:tl2br w:val="nil"/>
                    <w:tr2bl w:val="nil"/>
                  </w:tcBorders>
                  <w:shd w:val="clear" w:color="auto" w:fill="auto"/>
                  <w:vAlign w:val="center"/>
                </w:tcPr>
                <w:p w14:paraId="3A84F7FD">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110</w:t>
                  </w:r>
                </w:p>
              </w:tc>
              <w:tc>
                <w:tcPr>
                  <w:tcW w:w="559" w:type="pct"/>
                  <w:tcBorders>
                    <w:tl2br w:val="nil"/>
                    <w:tr2bl w:val="nil"/>
                  </w:tcBorders>
                  <w:vAlign w:val="center"/>
                </w:tcPr>
                <w:p w14:paraId="3A84F7FE">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7FF">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00">
                  <w:pPr>
                    <w:adjustRightInd w:val="0"/>
                    <w:snapToGrid w:val="0"/>
                    <w:jc w:val="center"/>
                    <w:rPr>
                      <w:color w:val="auto"/>
                      <w:kern w:val="0"/>
                    </w:rPr>
                  </w:pPr>
                  <w:r>
                    <w:rPr>
                      <w:color w:val="auto"/>
                      <w:kern w:val="0"/>
                    </w:rPr>
                    <w:t>10000枚/箱</w:t>
                  </w:r>
                </w:p>
              </w:tc>
              <w:tc>
                <w:tcPr>
                  <w:tcW w:w="554" w:type="pct"/>
                  <w:tcBorders>
                    <w:tl2br w:val="nil"/>
                    <w:tr2bl w:val="nil"/>
                  </w:tcBorders>
                  <w:vAlign w:val="center"/>
                </w:tcPr>
                <w:p w14:paraId="3A84F801">
                  <w:pPr>
                    <w:adjustRightInd w:val="0"/>
                    <w:snapToGrid w:val="0"/>
                    <w:jc w:val="center"/>
                    <w:rPr>
                      <w:color w:val="auto"/>
                      <w:kern w:val="0"/>
                    </w:rPr>
                  </w:pPr>
                  <w:r>
                    <w:rPr>
                      <w:color w:val="auto"/>
                      <w:kern w:val="0"/>
                    </w:rPr>
                    <w:t>50</w:t>
                  </w:r>
                </w:p>
              </w:tc>
            </w:tr>
            <w:tr w14:paraId="3A84F80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03">
                  <w:pPr>
                    <w:adjustRightInd w:val="0"/>
                    <w:snapToGrid w:val="0"/>
                    <w:jc w:val="center"/>
                    <w:rPr>
                      <w:color w:val="auto"/>
                      <w:kern w:val="0"/>
                    </w:rPr>
                  </w:pPr>
                  <w:r>
                    <w:rPr>
                      <w:color w:val="auto"/>
                      <w:kern w:val="0"/>
                    </w:rPr>
                    <w:t>阻隔器</w:t>
                  </w:r>
                </w:p>
              </w:tc>
              <w:tc>
                <w:tcPr>
                  <w:tcW w:w="673" w:type="pct"/>
                  <w:tcBorders>
                    <w:tl2br w:val="nil"/>
                    <w:tr2bl w:val="nil"/>
                  </w:tcBorders>
                  <w:vAlign w:val="center"/>
                </w:tcPr>
                <w:p w14:paraId="3A84F804">
                  <w:pPr>
                    <w:adjustRightInd w:val="0"/>
                    <w:snapToGrid w:val="0"/>
                    <w:jc w:val="center"/>
                    <w:rPr>
                      <w:color w:val="auto"/>
                      <w:kern w:val="0"/>
                    </w:rPr>
                  </w:pPr>
                  <w:r>
                    <w:rPr>
                      <w:color w:val="auto"/>
                      <w:kern w:val="0"/>
                    </w:rPr>
                    <w:t>/</w:t>
                  </w:r>
                </w:p>
              </w:tc>
              <w:tc>
                <w:tcPr>
                  <w:tcW w:w="453" w:type="pct"/>
                  <w:tcBorders>
                    <w:tl2br w:val="nil"/>
                    <w:tr2bl w:val="nil"/>
                  </w:tcBorders>
                  <w:vAlign w:val="center"/>
                </w:tcPr>
                <w:p w14:paraId="3E647B43">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805">
                  <w:pPr>
                    <w:adjustRightInd w:val="0"/>
                    <w:snapToGrid w:val="0"/>
                    <w:jc w:val="center"/>
                    <w:rPr>
                      <w:color w:val="auto"/>
                      <w:kern w:val="0"/>
                    </w:rPr>
                  </w:pPr>
                  <w:r>
                    <w:rPr>
                      <w:color w:val="auto"/>
                      <w:kern w:val="0"/>
                    </w:rPr>
                    <w:t>110</w:t>
                  </w:r>
                </w:p>
              </w:tc>
              <w:tc>
                <w:tcPr>
                  <w:tcW w:w="553" w:type="pct"/>
                  <w:tcBorders>
                    <w:tl2br w:val="nil"/>
                    <w:tr2bl w:val="nil"/>
                  </w:tcBorders>
                  <w:shd w:val="clear" w:color="auto" w:fill="auto"/>
                  <w:vAlign w:val="center"/>
                </w:tcPr>
                <w:p w14:paraId="3A84F806">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110</w:t>
                  </w:r>
                </w:p>
              </w:tc>
              <w:tc>
                <w:tcPr>
                  <w:tcW w:w="559" w:type="pct"/>
                  <w:tcBorders>
                    <w:tl2br w:val="nil"/>
                    <w:tr2bl w:val="nil"/>
                  </w:tcBorders>
                  <w:vAlign w:val="center"/>
                </w:tcPr>
                <w:p w14:paraId="3A84F807">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08">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09">
                  <w:pPr>
                    <w:adjustRightInd w:val="0"/>
                    <w:snapToGrid w:val="0"/>
                    <w:jc w:val="center"/>
                    <w:rPr>
                      <w:color w:val="auto"/>
                      <w:kern w:val="0"/>
                    </w:rPr>
                  </w:pPr>
                  <w:r>
                    <w:rPr>
                      <w:color w:val="auto"/>
                      <w:kern w:val="0"/>
                    </w:rPr>
                    <w:t>300枚/箱</w:t>
                  </w:r>
                </w:p>
              </w:tc>
              <w:tc>
                <w:tcPr>
                  <w:tcW w:w="554" w:type="pct"/>
                  <w:tcBorders>
                    <w:tl2br w:val="nil"/>
                    <w:tr2bl w:val="nil"/>
                  </w:tcBorders>
                  <w:vAlign w:val="center"/>
                </w:tcPr>
                <w:p w14:paraId="3A84F80A">
                  <w:pPr>
                    <w:adjustRightInd w:val="0"/>
                    <w:snapToGrid w:val="0"/>
                    <w:jc w:val="center"/>
                    <w:rPr>
                      <w:color w:val="auto"/>
                      <w:kern w:val="0"/>
                    </w:rPr>
                  </w:pPr>
                  <w:r>
                    <w:rPr>
                      <w:color w:val="auto"/>
                      <w:kern w:val="0"/>
                    </w:rPr>
                    <w:t>50</w:t>
                  </w:r>
                </w:p>
              </w:tc>
            </w:tr>
            <w:tr w14:paraId="3A84F81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0C">
                  <w:pPr>
                    <w:adjustRightInd w:val="0"/>
                    <w:snapToGrid w:val="0"/>
                    <w:jc w:val="center"/>
                    <w:rPr>
                      <w:color w:val="auto"/>
                      <w:kern w:val="0"/>
                    </w:rPr>
                  </w:pPr>
                  <w:r>
                    <w:rPr>
                      <w:color w:val="auto"/>
                      <w:kern w:val="0"/>
                    </w:rPr>
                    <w:t>铜管</w:t>
                  </w:r>
                </w:p>
              </w:tc>
              <w:tc>
                <w:tcPr>
                  <w:tcW w:w="673" w:type="pct"/>
                  <w:tcBorders>
                    <w:tl2br w:val="nil"/>
                    <w:tr2bl w:val="nil"/>
                  </w:tcBorders>
                  <w:vAlign w:val="center"/>
                </w:tcPr>
                <w:p w14:paraId="3A84F80D">
                  <w:pPr>
                    <w:adjustRightInd w:val="0"/>
                    <w:snapToGrid w:val="0"/>
                    <w:jc w:val="center"/>
                    <w:rPr>
                      <w:color w:val="auto"/>
                      <w:kern w:val="0"/>
                    </w:rPr>
                  </w:pPr>
                  <w:r>
                    <w:rPr>
                      <w:color w:val="auto"/>
                      <w:kern w:val="0"/>
                    </w:rPr>
                    <w:t>/</w:t>
                  </w:r>
                </w:p>
              </w:tc>
              <w:tc>
                <w:tcPr>
                  <w:tcW w:w="453" w:type="pct"/>
                  <w:tcBorders>
                    <w:tl2br w:val="nil"/>
                    <w:tr2bl w:val="nil"/>
                  </w:tcBorders>
                  <w:vAlign w:val="center"/>
                </w:tcPr>
                <w:p w14:paraId="6F0CC407">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80E">
                  <w:pPr>
                    <w:adjustRightInd w:val="0"/>
                    <w:snapToGrid w:val="0"/>
                    <w:jc w:val="center"/>
                    <w:rPr>
                      <w:color w:val="auto"/>
                      <w:kern w:val="0"/>
                    </w:rPr>
                  </w:pPr>
                  <w:r>
                    <w:rPr>
                      <w:color w:val="auto"/>
                      <w:kern w:val="0"/>
                    </w:rPr>
                    <w:t>110</w:t>
                  </w:r>
                </w:p>
              </w:tc>
              <w:tc>
                <w:tcPr>
                  <w:tcW w:w="553" w:type="pct"/>
                  <w:tcBorders>
                    <w:tl2br w:val="nil"/>
                    <w:tr2bl w:val="nil"/>
                  </w:tcBorders>
                  <w:shd w:val="clear" w:color="auto" w:fill="auto"/>
                  <w:vAlign w:val="center"/>
                </w:tcPr>
                <w:p w14:paraId="3A84F80F">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110</w:t>
                  </w:r>
                </w:p>
              </w:tc>
              <w:tc>
                <w:tcPr>
                  <w:tcW w:w="559" w:type="pct"/>
                  <w:tcBorders>
                    <w:tl2br w:val="nil"/>
                    <w:tr2bl w:val="nil"/>
                  </w:tcBorders>
                  <w:vAlign w:val="center"/>
                </w:tcPr>
                <w:p w14:paraId="3A84F810">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11">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12">
                  <w:pPr>
                    <w:adjustRightInd w:val="0"/>
                    <w:snapToGrid w:val="0"/>
                    <w:jc w:val="center"/>
                    <w:rPr>
                      <w:color w:val="auto"/>
                      <w:kern w:val="0"/>
                    </w:rPr>
                  </w:pPr>
                  <w:r>
                    <w:rPr>
                      <w:color w:val="auto"/>
                      <w:kern w:val="0"/>
                    </w:rPr>
                    <w:t>300枚/箱</w:t>
                  </w:r>
                </w:p>
              </w:tc>
              <w:tc>
                <w:tcPr>
                  <w:tcW w:w="554" w:type="pct"/>
                  <w:tcBorders>
                    <w:tl2br w:val="nil"/>
                    <w:tr2bl w:val="nil"/>
                  </w:tcBorders>
                  <w:vAlign w:val="center"/>
                </w:tcPr>
                <w:p w14:paraId="3A84F813">
                  <w:pPr>
                    <w:adjustRightInd w:val="0"/>
                    <w:snapToGrid w:val="0"/>
                    <w:jc w:val="center"/>
                    <w:rPr>
                      <w:color w:val="auto"/>
                      <w:kern w:val="0"/>
                    </w:rPr>
                  </w:pPr>
                  <w:r>
                    <w:rPr>
                      <w:color w:val="auto"/>
                      <w:kern w:val="0"/>
                    </w:rPr>
                    <w:t>50</w:t>
                  </w:r>
                </w:p>
              </w:tc>
            </w:tr>
            <w:tr w14:paraId="3A84F81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15">
                  <w:pPr>
                    <w:adjustRightInd w:val="0"/>
                    <w:snapToGrid w:val="0"/>
                    <w:jc w:val="center"/>
                    <w:rPr>
                      <w:color w:val="auto"/>
                      <w:kern w:val="0"/>
                    </w:rPr>
                  </w:pPr>
                  <w:r>
                    <w:rPr>
                      <w:color w:val="auto"/>
                      <w:kern w:val="0"/>
                    </w:rPr>
                    <w:t>产气药</w:t>
                  </w:r>
                </w:p>
              </w:tc>
              <w:tc>
                <w:tcPr>
                  <w:tcW w:w="673" w:type="pct"/>
                  <w:tcBorders>
                    <w:tl2br w:val="nil"/>
                    <w:tr2bl w:val="nil"/>
                  </w:tcBorders>
                  <w:vAlign w:val="center"/>
                </w:tcPr>
                <w:p w14:paraId="3A84F816">
                  <w:pPr>
                    <w:adjustRightInd w:val="0"/>
                    <w:snapToGrid w:val="0"/>
                    <w:jc w:val="center"/>
                    <w:rPr>
                      <w:color w:val="auto"/>
                      <w:kern w:val="0"/>
                    </w:rPr>
                  </w:pPr>
                  <w:r>
                    <w:rPr>
                      <w:color w:val="auto"/>
                      <w:kern w:val="0"/>
                    </w:rPr>
                    <w:t>硝酸胍、硝酸铜等</w:t>
                  </w:r>
                </w:p>
              </w:tc>
              <w:tc>
                <w:tcPr>
                  <w:tcW w:w="453" w:type="pct"/>
                  <w:tcBorders>
                    <w:tl2br w:val="nil"/>
                    <w:tr2bl w:val="nil"/>
                  </w:tcBorders>
                  <w:vAlign w:val="center"/>
                </w:tcPr>
                <w:p w14:paraId="7811A157">
                  <w:pPr>
                    <w:adjustRightInd w:val="0"/>
                    <w:snapToGrid w:val="0"/>
                    <w:jc w:val="center"/>
                    <w:rPr>
                      <w:rFonts w:hint="eastAsia" w:eastAsia="宋体"/>
                      <w:color w:val="auto"/>
                      <w:kern w:val="0"/>
                      <w:lang w:val="en-US" w:eastAsia="zh-CN"/>
                    </w:rPr>
                  </w:pPr>
                  <w:r>
                    <w:rPr>
                      <w:rFonts w:hint="eastAsia"/>
                      <w:color w:val="auto"/>
                      <w:kern w:val="0"/>
                      <w:lang w:val="en-US" w:eastAsia="zh-CN"/>
                    </w:rPr>
                    <w:t>吨</w:t>
                  </w:r>
                </w:p>
              </w:tc>
              <w:tc>
                <w:tcPr>
                  <w:tcW w:w="553" w:type="pct"/>
                  <w:tcBorders>
                    <w:tl2br w:val="nil"/>
                    <w:tr2bl w:val="nil"/>
                  </w:tcBorders>
                  <w:vAlign w:val="center"/>
                </w:tcPr>
                <w:p w14:paraId="3A84F817">
                  <w:pPr>
                    <w:adjustRightInd w:val="0"/>
                    <w:snapToGrid w:val="0"/>
                    <w:jc w:val="center"/>
                    <w:rPr>
                      <w:rFonts w:hint="default" w:eastAsia="宋体"/>
                      <w:color w:val="auto"/>
                      <w:kern w:val="0"/>
                      <w:lang w:val="en-US" w:eastAsia="zh-CN"/>
                    </w:rPr>
                  </w:pPr>
                  <w:r>
                    <w:rPr>
                      <w:rFonts w:hint="eastAsia"/>
                      <w:color w:val="auto"/>
                      <w:kern w:val="0"/>
                      <w:lang w:val="en-US" w:eastAsia="zh-CN"/>
                    </w:rPr>
                    <w:t>50</w:t>
                  </w:r>
                </w:p>
              </w:tc>
              <w:tc>
                <w:tcPr>
                  <w:tcW w:w="553" w:type="pct"/>
                  <w:tcBorders>
                    <w:tl2br w:val="nil"/>
                    <w:tr2bl w:val="nil"/>
                  </w:tcBorders>
                  <w:shd w:val="clear" w:color="auto" w:fill="auto"/>
                  <w:vAlign w:val="center"/>
                </w:tcPr>
                <w:p w14:paraId="3A84F818">
                  <w:pPr>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50</w:t>
                  </w:r>
                </w:p>
              </w:tc>
              <w:tc>
                <w:tcPr>
                  <w:tcW w:w="559" w:type="pct"/>
                  <w:tcBorders>
                    <w:tl2br w:val="nil"/>
                    <w:tr2bl w:val="nil"/>
                  </w:tcBorders>
                  <w:vAlign w:val="center"/>
                </w:tcPr>
                <w:p w14:paraId="3A84F819">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1A">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1B">
                  <w:pPr>
                    <w:adjustRightInd w:val="0"/>
                    <w:snapToGrid w:val="0"/>
                    <w:jc w:val="center"/>
                    <w:rPr>
                      <w:color w:val="auto"/>
                      <w:kern w:val="0"/>
                    </w:rPr>
                  </w:pPr>
                  <w:r>
                    <w:rPr>
                      <w:color w:val="auto"/>
                      <w:kern w:val="0"/>
                    </w:rPr>
                    <w:t>12kg/桶</w:t>
                  </w:r>
                </w:p>
              </w:tc>
              <w:tc>
                <w:tcPr>
                  <w:tcW w:w="554" w:type="pct"/>
                  <w:tcBorders>
                    <w:tl2br w:val="nil"/>
                    <w:tr2bl w:val="nil"/>
                  </w:tcBorders>
                  <w:vAlign w:val="center"/>
                </w:tcPr>
                <w:p w14:paraId="3A84F81C">
                  <w:pPr>
                    <w:adjustRightInd w:val="0"/>
                    <w:snapToGrid w:val="0"/>
                    <w:jc w:val="center"/>
                    <w:rPr>
                      <w:color w:val="auto"/>
                      <w:kern w:val="0"/>
                    </w:rPr>
                  </w:pPr>
                  <w:r>
                    <w:rPr>
                      <w:rFonts w:hint="eastAsia"/>
                      <w:color w:val="auto"/>
                      <w:kern w:val="0"/>
                      <w:lang w:val="en-US" w:eastAsia="zh-CN"/>
                    </w:rPr>
                    <w:t>20</w:t>
                  </w:r>
                </w:p>
              </w:tc>
            </w:tr>
            <w:tr w14:paraId="3A84F82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27">
                  <w:pPr>
                    <w:adjustRightInd w:val="0"/>
                    <w:snapToGrid w:val="0"/>
                    <w:jc w:val="center"/>
                    <w:rPr>
                      <w:color w:val="auto"/>
                      <w:kern w:val="0"/>
                    </w:rPr>
                  </w:pPr>
                  <w:r>
                    <w:rPr>
                      <w:color w:val="auto"/>
                      <w:kern w:val="0"/>
                    </w:rPr>
                    <w:t>短路片</w:t>
                  </w:r>
                </w:p>
              </w:tc>
              <w:tc>
                <w:tcPr>
                  <w:tcW w:w="673" w:type="pct"/>
                  <w:tcBorders>
                    <w:tl2br w:val="nil"/>
                    <w:tr2bl w:val="nil"/>
                  </w:tcBorders>
                  <w:vAlign w:val="center"/>
                </w:tcPr>
                <w:p w14:paraId="3A84F828">
                  <w:pPr>
                    <w:adjustRightInd w:val="0"/>
                    <w:snapToGrid w:val="0"/>
                    <w:jc w:val="center"/>
                    <w:rPr>
                      <w:color w:val="auto"/>
                      <w:kern w:val="0"/>
                    </w:rPr>
                  </w:pPr>
                  <w:r>
                    <w:rPr>
                      <w:color w:val="auto"/>
                      <w:kern w:val="0"/>
                    </w:rPr>
                    <w:t>/</w:t>
                  </w:r>
                </w:p>
              </w:tc>
              <w:tc>
                <w:tcPr>
                  <w:tcW w:w="453" w:type="pct"/>
                  <w:tcBorders>
                    <w:tl2br w:val="nil"/>
                    <w:tr2bl w:val="nil"/>
                  </w:tcBorders>
                  <w:vAlign w:val="center"/>
                </w:tcPr>
                <w:p w14:paraId="0C9942AA">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829">
                  <w:pPr>
                    <w:adjustRightInd w:val="0"/>
                    <w:snapToGrid w:val="0"/>
                    <w:jc w:val="center"/>
                    <w:rPr>
                      <w:color w:val="auto"/>
                      <w:kern w:val="0"/>
                    </w:rPr>
                  </w:pPr>
                  <w:r>
                    <w:rPr>
                      <w:color w:val="auto"/>
                      <w:kern w:val="0"/>
                    </w:rPr>
                    <w:t>110</w:t>
                  </w:r>
                </w:p>
              </w:tc>
              <w:tc>
                <w:tcPr>
                  <w:tcW w:w="553" w:type="pct"/>
                  <w:tcBorders>
                    <w:tl2br w:val="nil"/>
                    <w:tr2bl w:val="nil"/>
                  </w:tcBorders>
                  <w:shd w:val="clear" w:color="auto" w:fill="auto"/>
                  <w:vAlign w:val="center"/>
                </w:tcPr>
                <w:p w14:paraId="3A84F82A">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110</w:t>
                  </w:r>
                </w:p>
              </w:tc>
              <w:tc>
                <w:tcPr>
                  <w:tcW w:w="559" w:type="pct"/>
                  <w:tcBorders>
                    <w:tl2br w:val="nil"/>
                    <w:tr2bl w:val="nil"/>
                  </w:tcBorders>
                  <w:vAlign w:val="center"/>
                </w:tcPr>
                <w:p w14:paraId="3A84F82B">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2C">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2D">
                  <w:pPr>
                    <w:adjustRightInd w:val="0"/>
                    <w:snapToGrid w:val="0"/>
                    <w:jc w:val="center"/>
                    <w:rPr>
                      <w:color w:val="auto"/>
                      <w:kern w:val="0"/>
                    </w:rPr>
                  </w:pPr>
                  <w:r>
                    <w:rPr>
                      <w:color w:val="auto"/>
                      <w:kern w:val="0"/>
                    </w:rPr>
                    <w:t>12000枚/箱</w:t>
                  </w:r>
                </w:p>
              </w:tc>
              <w:tc>
                <w:tcPr>
                  <w:tcW w:w="554" w:type="pct"/>
                  <w:tcBorders>
                    <w:tl2br w:val="nil"/>
                    <w:tr2bl w:val="nil"/>
                  </w:tcBorders>
                  <w:vAlign w:val="center"/>
                </w:tcPr>
                <w:p w14:paraId="3A84F82E">
                  <w:pPr>
                    <w:adjustRightInd w:val="0"/>
                    <w:snapToGrid w:val="0"/>
                    <w:jc w:val="center"/>
                    <w:rPr>
                      <w:color w:val="auto"/>
                      <w:kern w:val="0"/>
                    </w:rPr>
                  </w:pPr>
                  <w:r>
                    <w:rPr>
                      <w:color w:val="auto"/>
                      <w:kern w:val="0"/>
                    </w:rPr>
                    <w:t>50</w:t>
                  </w:r>
                </w:p>
              </w:tc>
            </w:tr>
            <w:tr w14:paraId="341AE08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10"/>
                  <w:tcBorders>
                    <w:tl2br w:val="nil"/>
                    <w:tr2bl w:val="nil"/>
                  </w:tcBorders>
                  <w:vAlign w:val="center"/>
                </w:tcPr>
                <w:p w14:paraId="31205ACC">
                  <w:pPr>
                    <w:adjustRightInd w:val="0"/>
                    <w:snapToGrid w:val="0"/>
                    <w:jc w:val="center"/>
                    <w:rPr>
                      <w:rFonts w:hint="eastAsia"/>
                      <w:b/>
                      <w:bCs/>
                      <w:color w:val="auto"/>
                      <w:kern w:val="0"/>
                    </w:rPr>
                  </w:pPr>
                  <w:r>
                    <w:rPr>
                      <w:rFonts w:hint="eastAsia"/>
                      <w:b/>
                      <w:bCs/>
                      <w:color w:val="auto"/>
                      <w:kern w:val="0"/>
                    </w:rPr>
                    <w:t>⑤</w:t>
                  </w:r>
                  <w:r>
                    <w:rPr>
                      <w:b/>
                      <w:bCs/>
                      <w:color w:val="auto"/>
                      <w:kern w:val="0"/>
                    </w:rPr>
                    <w:t>PS自动</w:t>
                  </w:r>
                </w:p>
              </w:tc>
            </w:tr>
            <w:tr w14:paraId="3A84F83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32">
                  <w:pPr>
                    <w:adjustRightInd w:val="0"/>
                    <w:snapToGrid w:val="0"/>
                    <w:jc w:val="center"/>
                    <w:rPr>
                      <w:color w:val="auto"/>
                      <w:kern w:val="0"/>
                    </w:rPr>
                  </w:pPr>
                  <w:r>
                    <w:rPr>
                      <w:color w:val="auto"/>
                      <w:kern w:val="0"/>
                    </w:rPr>
                    <w:t>铜管</w:t>
                  </w:r>
                </w:p>
              </w:tc>
              <w:tc>
                <w:tcPr>
                  <w:tcW w:w="673" w:type="pct"/>
                  <w:tcBorders>
                    <w:tl2br w:val="nil"/>
                    <w:tr2bl w:val="nil"/>
                  </w:tcBorders>
                  <w:vAlign w:val="center"/>
                </w:tcPr>
                <w:p w14:paraId="3A84F833">
                  <w:pPr>
                    <w:adjustRightInd w:val="0"/>
                    <w:snapToGrid w:val="0"/>
                    <w:jc w:val="center"/>
                    <w:rPr>
                      <w:color w:val="auto"/>
                      <w:kern w:val="0"/>
                    </w:rPr>
                  </w:pPr>
                  <w:r>
                    <w:rPr>
                      <w:color w:val="auto"/>
                      <w:kern w:val="0"/>
                    </w:rPr>
                    <w:t>/</w:t>
                  </w:r>
                </w:p>
              </w:tc>
              <w:tc>
                <w:tcPr>
                  <w:tcW w:w="453" w:type="pct"/>
                  <w:tcBorders>
                    <w:tl2br w:val="nil"/>
                    <w:tr2bl w:val="nil"/>
                  </w:tcBorders>
                  <w:vAlign w:val="center"/>
                </w:tcPr>
                <w:p w14:paraId="0AD53B5D">
                  <w:pPr>
                    <w:adjustRightInd w:val="0"/>
                    <w:snapToGrid w:val="0"/>
                    <w:jc w:val="center"/>
                    <w:rPr>
                      <w:rFonts w:hint="eastAsia" w:eastAsia="宋体"/>
                      <w:color w:val="auto"/>
                      <w:kern w:val="0"/>
                      <w:lang w:val="en-US" w:eastAsia="zh-CN"/>
                    </w:rPr>
                  </w:pPr>
                  <w:r>
                    <w:rPr>
                      <w:rFonts w:hint="eastAsia"/>
                      <w:color w:val="auto"/>
                      <w:kern w:val="0"/>
                      <w:lang w:val="en-US" w:eastAsia="zh-CN"/>
                    </w:rPr>
                    <w:t>万枚</w:t>
                  </w:r>
                </w:p>
              </w:tc>
              <w:tc>
                <w:tcPr>
                  <w:tcW w:w="553" w:type="pct"/>
                  <w:tcBorders>
                    <w:tl2br w:val="nil"/>
                    <w:tr2bl w:val="nil"/>
                  </w:tcBorders>
                  <w:vAlign w:val="center"/>
                </w:tcPr>
                <w:p w14:paraId="3A84F834">
                  <w:pPr>
                    <w:adjustRightInd w:val="0"/>
                    <w:snapToGrid w:val="0"/>
                    <w:jc w:val="center"/>
                    <w:rPr>
                      <w:color w:val="auto"/>
                      <w:kern w:val="0"/>
                    </w:rPr>
                  </w:pPr>
                  <w:r>
                    <w:rPr>
                      <w:color w:val="auto"/>
                      <w:kern w:val="0"/>
                    </w:rPr>
                    <w:t>110</w:t>
                  </w:r>
                </w:p>
              </w:tc>
              <w:tc>
                <w:tcPr>
                  <w:tcW w:w="553" w:type="pct"/>
                  <w:tcBorders>
                    <w:tl2br w:val="nil"/>
                    <w:tr2bl w:val="nil"/>
                  </w:tcBorders>
                  <w:shd w:val="clear" w:color="auto" w:fill="auto"/>
                  <w:vAlign w:val="center"/>
                </w:tcPr>
                <w:p w14:paraId="3A84F835">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110</w:t>
                  </w:r>
                </w:p>
              </w:tc>
              <w:tc>
                <w:tcPr>
                  <w:tcW w:w="559" w:type="pct"/>
                  <w:tcBorders>
                    <w:tl2br w:val="nil"/>
                    <w:tr2bl w:val="nil"/>
                  </w:tcBorders>
                  <w:vAlign w:val="center"/>
                </w:tcPr>
                <w:p w14:paraId="3A84F836">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37">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38">
                  <w:pPr>
                    <w:adjustRightInd w:val="0"/>
                    <w:snapToGrid w:val="0"/>
                    <w:jc w:val="center"/>
                    <w:rPr>
                      <w:color w:val="auto"/>
                      <w:kern w:val="0"/>
                    </w:rPr>
                  </w:pPr>
                  <w:r>
                    <w:rPr>
                      <w:color w:val="auto"/>
                      <w:kern w:val="0"/>
                    </w:rPr>
                    <w:t>40根/箱</w:t>
                  </w:r>
                </w:p>
              </w:tc>
              <w:tc>
                <w:tcPr>
                  <w:tcW w:w="554" w:type="pct"/>
                  <w:tcBorders>
                    <w:tl2br w:val="nil"/>
                    <w:tr2bl w:val="nil"/>
                  </w:tcBorders>
                  <w:vAlign w:val="center"/>
                </w:tcPr>
                <w:p w14:paraId="3A84F839">
                  <w:pPr>
                    <w:adjustRightInd w:val="0"/>
                    <w:snapToGrid w:val="0"/>
                    <w:jc w:val="center"/>
                    <w:rPr>
                      <w:rFonts w:hint="default" w:eastAsia="宋体"/>
                      <w:color w:val="auto"/>
                      <w:kern w:val="0"/>
                      <w:lang w:val="en-US" w:eastAsia="zh-CN"/>
                    </w:rPr>
                  </w:pPr>
                  <w:r>
                    <w:rPr>
                      <w:rFonts w:hint="eastAsia"/>
                      <w:color w:val="auto"/>
                      <w:kern w:val="0"/>
                      <w:lang w:val="en-US" w:eastAsia="zh-CN"/>
                    </w:rPr>
                    <w:t>50</w:t>
                  </w:r>
                </w:p>
              </w:tc>
            </w:tr>
            <w:tr w14:paraId="3A84F84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44">
                  <w:pPr>
                    <w:adjustRightInd w:val="0"/>
                    <w:snapToGrid w:val="0"/>
                    <w:jc w:val="center"/>
                    <w:rPr>
                      <w:color w:val="auto"/>
                      <w:kern w:val="0"/>
                    </w:rPr>
                  </w:pPr>
                  <w:r>
                    <w:rPr>
                      <w:color w:val="auto"/>
                      <w:kern w:val="0"/>
                    </w:rPr>
                    <w:t>产气药</w:t>
                  </w:r>
                </w:p>
              </w:tc>
              <w:tc>
                <w:tcPr>
                  <w:tcW w:w="673" w:type="pct"/>
                  <w:tcBorders>
                    <w:tl2br w:val="nil"/>
                    <w:tr2bl w:val="nil"/>
                  </w:tcBorders>
                  <w:vAlign w:val="center"/>
                </w:tcPr>
                <w:p w14:paraId="3A84F845">
                  <w:pPr>
                    <w:adjustRightInd w:val="0"/>
                    <w:snapToGrid w:val="0"/>
                    <w:jc w:val="center"/>
                    <w:rPr>
                      <w:color w:val="auto"/>
                      <w:kern w:val="0"/>
                    </w:rPr>
                  </w:pPr>
                  <w:r>
                    <w:rPr>
                      <w:color w:val="auto"/>
                      <w:kern w:val="0"/>
                    </w:rPr>
                    <w:t>硝酸胍、硝酸铜等</w:t>
                  </w:r>
                </w:p>
              </w:tc>
              <w:tc>
                <w:tcPr>
                  <w:tcW w:w="453" w:type="pct"/>
                  <w:tcBorders>
                    <w:tl2br w:val="nil"/>
                    <w:tr2bl w:val="nil"/>
                  </w:tcBorders>
                  <w:vAlign w:val="center"/>
                </w:tcPr>
                <w:p w14:paraId="5C065F34">
                  <w:pPr>
                    <w:adjustRightInd w:val="0"/>
                    <w:snapToGrid w:val="0"/>
                    <w:jc w:val="center"/>
                    <w:rPr>
                      <w:color w:val="auto"/>
                      <w:kern w:val="0"/>
                    </w:rPr>
                  </w:pPr>
                  <w:r>
                    <w:rPr>
                      <w:rFonts w:hint="eastAsia"/>
                      <w:color w:val="auto"/>
                      <w:kern w:val="0"/>
                      <w:lang w:val="en-US" w:eastAsia="zh-CN"/>
                    </w:rPr>
                    <w:t>吨</w:t>
                  </w:r>
                </w:p>
              </w:tc>
              <w:tc>
                <w:tcPr>
                  <w:tcW w:w="553" w:type="pct"/>
                  <w:tcBorders>
                    <w:tl2br w:val="nil"/>
                    <w:tr2bl w:val="nil"/>
                  </w:tcBorders>
                  <w:vAlign w:val="center"/>
                </w:tcPr>
                <w:p w14:paraId="3A84F846">
                  <w:pPr>
                    <w:adjustRightInd w:val="0"/>
                    <w:snapToGrid w:val="0"/>
                    <w:jc w:val="center"/>
                    <w:rPr>
                      <w:color w:val="auto"/>
                      <w:kern w:val="0"/>
                    </w:rPr>
                  </w:pPr>
                  <w:r>
                    <w:rPr>
                      <w:color w:val="auto"/>
                      <w:kern w:val="0"/>
                    </w:rPr>
                    <w:t>50</w:t>
                  </w:r>
                </w:p>
              </w:tc>
              <w:tc>
                <w:tcPr>
                  <w:tcW w:w="553" w:type="pct"/>
                  <w:tcBorders>
                    <w:tl2br w:val="nil"/>
                    <w:tr2bl w:val="nil"/>
                  </w:tcBorders>
                  <w:shd w:val="clear" w:color="auto" w:fill="auto"/>
                  <w:vAlign w:val="center"/>
                </w:tcPr>
                <w:p w14:paraId="3A84F847">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50</w:t>
                  </w:r>
                </w:p>
              </w:tc>
              <w:tc>
                <w:tcPr>
                  <w:tcW w:w="559" w:type="pct"/>
                  <w:tcBorders>
                    <w:tl2br w:val="nil"/>
                    <w:tr2bl w:val="nil"/>
                  </w:tcBorders>
                  <w:vAlign w:val="center"/>
                </w:tcPr>
                <w:p w14:paraId="3A84F848">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49">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4A">
                  <w:pPr>
                    <w:adjustRightInd w:val="0"/>
                    <w:snapToGrid w:val="0"/>
                    <w:jc w:val="center"/>
                    <w:rPr>
                      <w:color w:val="auto"/>
                      <w:kern w:val="0"/>
                    </w:rPr>
                  </w:pPr>
                  <w:r>
                    <w:rPr>
                      <w:color w:val="auto"/>
                      <w:kern w:val="0"/>
                    </w:rPr>
                    <w:t>12kg/桶</w:t>
                  </w:r>
                </w:p>
              </w:tc>
              <w:tc>
                <w:tcPr>
                  <w:tcW w:w="554" w:type="pct"/>
                  <w:tcBorders>
                    <w:tl2br w:val="nil"/>
                    <w:tr2bl w:val="nil"/>
                  </w:tcBorders>
                  <w:vAlign w:val="center"/>
                </w:tcPr>
                <w:p w14:paraId="3A84F84B">
                  <w:pPr>
                    <w:adjustRightInd w:val="0"/>
                    <w:snapToGrid w:val="0"/>
                    <w:jc w:val="center"/>
                    <w:rPr>
                      <w:color w:val="auto"/>
                      <w:kern w:val="0"/>
                    </w:rPr>
                  </w:pPr>
                  <w:r>
                    <w:rPr>
                      <w:rFonts w:hint="eastAsia"/>
                      <w:color w:val="auto"/>
                      <w:kern w:val="0"/>
                      <w:lang w:val="en-US" w:eastAsia="zh-CN"/>
                    </w:rPr>
                    <w:t>20</w:t>
                  </w:r>
                </w:p>
              </w:tc>
            </w:tr>
            <w:tr w14:paraId="3A84F85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4D">
                  <w:pPr>
                    <w:adjustRightInd w:val="0"/>
                    <w:snapToGrid w:val="0"/>
                    <w:jc w:val="center"/>
                    <w:rPr>
                      <w:color w:val="auto"/>
                      <w:kern w:val="0"/>
                    </w:rPr>
                  </w:pPr>
                  <w:r>
                    <w:rPr>
                      <w:color w:val="auto"/>
                      <w:kern w:val="0"/>
                    </w:rPr>
                    <w:t>VCS（弹簧、盖子）</w:t>
                  </w:r>
                </w:p>
              </w:tc>
              <w:tc>
                <w:tcPr>
                  <w:tcW w:w="673" w:type="pct"/>
                  <w:tcBorders>
                    <w:tl2br w:val="nil"/>
                    <w:tr2bl w:val="nil"/>
                  </w:tcBorders>
                  <w:vAlign w:val="center"/>
                </w:tcPr>
                <w:p w14:paraId="3A84F84E">
                  <w:pPr>
                    <w:adjustRightInd w:val="0"/>
                    <w:snapToGrid w:val="0"/>
                    <w:jc w:val="center"/>
                    <w:rPr>
                      <w:color w:val="auto"/>
                      <w:kern w:val="0"/>
                    </w:rPr>
                  </w:pPr>
                  <w:r>
                    <w:rPr>
                      <w:color w:val="auto"/>
                      <w:kern w:val="0"/>
                    </w:rPr>
                    <w:t>/</w:t>
                  </w:r>
                </w:p>
              </w:tc>
              <w:tc>
                <w:tcPr>
                  <w:tcW w:w="453" w:type="pct"/>
                  <w:tcBorders>
                    <w:tl2br w:val="nil"/>
                    <w:tr2bl w:val="nil"/>
                  </w:tcBorders>
                  <w:vAlign w:val="center"/>
                </w:tcPr>
                <w:p w14:paraId="0A934EE3">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84F">
                  <w:pPr>
                    <w:adjustRightInd w:val="0"/>
                    <w:snapToGrid w:val="0"/>
                    <w:jc w:val="center"/>
                    <w:rPr>
                      <w:color w:val="auto"/>
                      <w:kern w:val="0"/>
                    </w:rPr>
                  </w:pPr>
                  <w:r>
                    <w:rPr>
                      <w:color w:val="auto"/>
                      <w:kern w:val="0"/>
                    </w:rPr>
                    <w:t>110</w:t>
                  </w:r>
                </w:p>
              </w:tc>
              <w:tc>
                <w:tcPr>
                  <w:tcW w:w="553" w:type="pct"/>
                  <w:tcBorders>
                    <w:tl2br w:val="nil"/>
                    <w:tr2bl w:val="nil"/>
                  </w:tcBorders>
                  <w:shd w:val="clear" w:color="auto" w:fill="auto"/>
                  <w:vAlign w:val="center"/>
                </w:tcPr>
                <w:p w14:paraId="3A84F850">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110</w:t>
                  </w:r>
                </w:p>
              </w:tc>
              <w:tc>
                <w:tcPr>
                  <w:tcW w:w="559" w:type="pct"/>
                  <w:tcBorders>
                    <w:tl2br w:val="nil"/>
                    <w:tr2bl w:val="nil"/>
                  </w:tcBorders>
                  <w:vAlign w:val="center"/>
                </w:tcPr>
                <w:p w14:paraId="3A84F851">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52">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53">
                  <w:pPr>
                    <w:adjustRightInd w:val="0"/>
                    <w:snapToGrid w:val="0"/>
                    <w:jc w:val="center"/>
                    <w:rPr>
                      <w:color w:val="auto"/>
                      <w:kern w:val="0"/>
                    </w:rPr>
                  </w:pPr>
                  <w:r>
                    <w:rPr>
                      <w:color w:val="auto"/>
                      <w:kern w:val="0"/>
                    </w:rPr>
                    <w:t>10000枚/箱</w:t>
                  </w:r>
                </w:p>
              </w:tc>
              <w:tc>
                <w:tcPr>
                  <w:tcW w:w="554" w:type="pct"/>
                  <w:tcBorders>
                    <w:tl2br w:val="nil"/>
                    <w:tr2bl w:val="nil"/>
                  </w:tcBorders>
                  <w:vAlign w:val="center"/>
                </w:tcPr>
                <w:p w14:paraId="3A84F854">
                  <w:pPr>
                    <w:adjustRightInd w:val="0"/>
                    <w:snapToGrid w:val="0"/>
                    <w:jc w:val="center"/>
                    <w:rPr>
                      <w:color w:val="auto"/>
                      <w:kern w:val="0"/>
                    </w:rPr>
                  </w:pPr>
                  <w:r>
                    <w:rPr>
                      <w:color w:val="auto"/>
                      <w:kern w:val="0"/>
                    </w:rPr>
                    <w:t>50</w:t>
                  </w:r>
                </w:p>
              </w:tc>
            </w:tr>
            <w:tr w14:paraId="3A84F8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56">
                  <w:pPr>
                    <w:adjustRightInd w:val="0"/>
                    <w:snapToGrid w:val="0"/>
                    <w:jc w:val="center"/>
                    <w:rPr>
                      <w:color w:val="auto"/>
                      <w:kern w:val="0"/>
                    </w:rPr>
                  </w:pPr>
                  <w:r>
                    <w:rPr>
                      <w:color w:val="auto"/>
                      <w:kern w:val="0"/>
                    </w:rPr>
                    <w:t>引爆器</w:t>
                  </w:r>
                </w:p>
              </w:tc>
              <w:tc>
                <w:tcPr>
                  <w:tcW w:w="673" w:type="pct"/>
                  <w:tcBorders>
                    <w:tl2br w:val="nil"/>
                    <w:tr2bl w:val="nil"/>
                  </w:tcBorders>
                  <w:vAlign w:val="center"/>
                </w:tcPr>
                <w:p w14:paraId="3A84F857">
                  <w:pPr>
                    <w:adjustRightInd w:val="0"/>
                    <w:snapToGrid w:val="0"/>
                    <w:jc w:val="center"/>
                    <w:rPr>
                      <w:color w:val="auto"/>
                      <w:kern w:val="0"/>
                    </w:rPr>
                  </w:pPr>
                  <w:r>
                    <w:rPr>
                      <w:color w:val="auto"/>
                      <w:kern w:val="0"/>
                    </w:rPr>
                    <w:t>/</w:t>
                  </w:r>
                </w:p>
              </w:tc>
              <w:tc>
                <w:tcPr>
                  <w:tcW w:w="453" w:type="pct"/>
                  <w:tcBorders>
                    <w:tl2br w:val="nil"/>
                    <w:tr2bl w:val="nil"/>
                  </w:tcBorders>
                  <w:vAlign w:val="center"/>
                </w:tcPr>
                <w:p w14:paraId="2B93787E">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858">
                  <w:pPr>
                    <w:adjustRightInd w:val="0"/>
                    <w:snapToGrid w:val="0"/>
                    <w:jc w:val="center"/>
                    <w:rPr>
                      <w:color w:val="auto"/>
                      <w:kern w:val="0"/>
                    </w:rPr>
                  </w:pPr>
                  <w:r>
                    <w:rPr>
                      <w:color w:val="auto"/>
                      <w:kern w:val="0"/>
                    </w:rPr>
                    <w:t>110</w:t>
                  </w:r>
                </w:p>
              </w:tc>
              <w:tc>
                <w:tcPr>
                  <w:tcW w:w="553" w:type="pct"/>
                  <w:tcBorders>
                    <w:tl2br w:val="nil"/>
                    <w:tr2bl w:val="nil"/>
                  </w:tcBorders>
                  <w:shd w:val="clear" w:color="auto" w:fill="auto"/>
                  <w:vAlign w:val="center"/>
                </w:tcPr>
                <w:p w14:paraId="3A84F859">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110</w:t>
                  </w:r>
                </w:p>
              </w:tc>
              <w:tc>
                <w:tcPr>
                  <w:tcW w:w="559" w:type="pct"/>
                  <w:tcBorders>
                    <w:tl2br w:val="nil"/>
                    <w:tr2bl w:val="nil"/>
                  </w:tcBorders>
                  <w:vAlign w:val="center"/>
                </w:tcPr>
                <w:p w14:paraId="3A84F85A">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5B">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5C">
                  <w:pPr>
                    <w:adjustRightInd w:val="0"/>
                    <w:snapToGrid w:val="0"/>
                    <w:jc w:val="center"/>
                    <w:rPr>
                      <w:color w:val="auto"/>
                      <w:kern w:val="0"/>
                    </w:rPr>
                  </w:pPr>
                  <w:r>
                    <w:rPr>
                      <w:color w:val="auto"/>
                      <w:kern w:val="0"/>
                    </w:rPr>
                    <w:t>752枚/箱</w:t>
                  </w:r>
                </w:p>
              </w:tc>
              <w:tc>
                <w:tcPr>
                  <w:tcW w:w="554" w:type="pct"/>
                  <w:tcBorders>
                    <w:tl2br w:val="nil"/>
                    <w:tr2bl w:val="nil"/>
                  </w:tcBorders>
                  <w:vAlign w:val="center"/>
                </w:tcPr>
                <w:p w14:paraId="3A84F85D">
                  <w:pPr>
                    <w:adjustRightInd w:val="0"/>
                    <w:snapToGrid w:val="0"/>
                    <w:jc w:val="center"/>
                    <w:rPr>
                      <w:color w:val="auto"/>
                      <w:kern w:val="0"/>
                    </w:rPr>
                  </w:pPr>
                  <w:r>
                    <w:rPr>
                      <w:color w:val="auto"/>
                      <w:kern w:val="0"/>
                    </w:rPr>
                    <w:t>50</w:t>
                  </w:r>
                </w:p>
              </w:tc>
            </w:tr>
            <w:tr w14:paraId="3A84F86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5F">
                  <w:pPr>
                    <w:adjustRightInd w:val="0"/>
                    <w:snapToGrid w:val="0"/>
                    <w:jc w:val="center"/>
                    <w:rPr>
                      <w:color w:val="auto"/>
                      <w:kern w:val="0"/>
                    </w:rPr>
                  </w:pPr>
                  <w:r>
                    <w:rPr>
                      <w:color w:val="auto"/>
                      <w:kern w:val="0"/>
                    </w:rPr>
                    <w:t>密封圈</w:t>
                  </w:r>
                </w:p>
              </w:tc>
              <w:tc>
                <w:tcPr>
                  <w:tcW w:w="673" w:type="pct"/>
                  <w:tcBorders>
                    <w:tl2br w:val="nil"/>
                    <w:tr2bl w:val="nil"/>
                  </w:tcBorders>
                  <w:vAlign w:val="center"/>
                </w:tcPr>
                <w:p w14:paraId="3A84F860">
                  <w:pPr>
                    <w:adjustRightInd w:val="0"/>
                    <w:snapToGrid w:val="0"/>
                    <w:jc w:val="center"/>
                    <w:rPr>
                      <w:color w:val="auto"/>
                      <w:kern w:val="0"/>
                    </w:rPr>
                  </w:pPr>
                  <w:r>
                    <w:rPr>
                      <w:color w:val="auto"/>
                      <w:kern w:val="0"/>
                    </w:rPr>
                    <w:t>/</w:t>
                  </w:r>
                </w:p>
              </w:tc>
              <w:tc>
                <w:tcPr>
                  <w:tcW w:w="453" w:type="pct"/>
                  <w:tcBorders>
                    <w:tl2br w:val="nil"/>
                    <w:tr2bl w:val="nil"/>
                  </w:tcBorders>
                  <w:vAlign w:val="center"/>
                </w:tcPr>
                <w:p w14:paraId="26D17815">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861">
                  <w:pPr>
                    <w:adjustRightInd w:val="0"/>
                    <w:snapToGrid w:val="0"/>
                    <w:jc w:val="center"/>
                    <w:rPr>
                      <w:color w:val="auto"/>
                      <w:kern w:val="0"/>
                    </w:rPr>
                  </w:pPr>
                  <w:r>
                    <w:rPr>
                      <w:color w:val="auto"/>
                      <w:kern w:val="0"/>
                    </w:rPr>
                    <w:t>110</w:t>
                  </w:r>
                </w:p>
              </w:tc>
              <w:tc>
                <w:tcPr>
                  <w:tcW w:w="553" w:type="pct"/>
                  <w:tcBorders>
                    <w:tl2br w:val="nil"/>
                    <w:tr2bl w:val="nil"/>
                  </w:tcBorders>
                  <w:shd w:val="clear" w:color="auto" w:fill="auto"/>
                  <w:vAlign w:val="center"/>
                </w:tcPr>
                <w:p w14:paraId="3A84F862">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110</w:t>
                  </w:r>
                </w:p>
              </w:tc>
              <w:tc>
                <w:tcPr>
                  <w:tcW w:w="559" w:type="pct"/>
                  <w:tcBorders>
                    <w:tl2br w:val="nil"/>
                    <w:tr2bl w:val="nil"/>
                  </w:tcBorders>
                  <w:vAlign w:val="center"/>
                </w:tcPr>
                <w:p w14:paraId="3A84F863">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64">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65">
                  <w:pPr>
                    <w:adjustRightInd w:val="0"/>
                    <w:snapToGrid w:val="0"/>
                    <w:jc w:val="center"/>
                    <w:rPr>
                      <w:color w:val="auto"/>
                      <w:kern w:val="0"/>
                    </w:rPr>
                  </w:pPr>
                  <w:r>
                    <w:rPr>
                      <w:color w:val="auto"/>
                      <w:kern w:val="0"/>
                    </w:rPr>
                    <w:t>10000枚/箱</w:t>
                  </w:r>
                </w:p>
              </w:tc>
              <w:tc>
                <w:tcPr>
                  <w:tcW w:w="554" w:type="pct"/>
                  <w:tcBorders>
                    <w:tl2br w:val="nil"/>
                    <w:tr2bl w:val="nil"/>
                  </w:tcBorders>
                  <w:vAlign w:val="center"/>
                </w:tcPr>
                <w:p w14:paraId="3A84F866">
                  <w:pPr>
                    <w:adjustRightInd w:val="0"/>
                    <w:snapToGrid w:val="0"/>
                    <w:jc w:val="center"/>
                    <w:rPr>
                      <w:color w:val="auto"/>
                      <w:kern w:val="0"/>
                    </w:rPr>
                  </w:pPr>
                  <w:r>
                    <w:rPr>
                      <w:color w:val="auto"/>
                      <w:kern w:val="0"/>
                    </w:rPr>
                    <w:t>50</w:t>
                  </w:r>
                </w:p>
              </w:tc>
            </w:tr>
            <w:tr w14:paraId="3A84F8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68">
                  <w:pPr>
                    <w:adjustRightInd w:val="0"/>
                    <w:snapToGrid w:val="0"/>
                    <w:jc w:val="center"/>
                    <w:rPr>
                      <w:color w:val="auto"/>
                      <w:kern w:val="0"/>
                    </w:rPr>
                  </w:pPr>
                  <w:r>
                    <w:rPr>
                      <w:color w:val="auto"/>
                      <w:kern w:val="0"/>
                    </w:rPr>
                    <w:t>腔体</w:t>
                  </w:r>
                </w:p>
              </w:tc>
              <w:tc>
                <w:tcPr>
                  <w:tcW w:w="673" w:type="pct"/>
                  <w:tcBorders>
                    <w:tl2br w:val="nil"/>
                    <w:tr2bl w:val="nil"/>
                  </w:tcBorders>
                  <w:vAlign w:val="center"/>
                </w:tcPr>
                <w:p w14:paraId="3A84F869">
                  <w:pPr>
                    <w:adjustRightInd w:val="0"/>
                    <w:snapToGrid w:val="0"/>
                    <w:jc w:val="center"/>
                    <w:rPr>
                      <w:color w:val="auto"/>
                      <w:kern w:val="0"/>
                    </w:rPr>
                  </w:pPr>
                  <w:r>
                    <w:rPr>
                      <w:color w:val="auto"/>
                      <w:kern w:val="0"/>
                    </w:rPr>
                    <w:t>/</w:t>
                  </w:r>
                </w:p>
              </w:tc>
              <w:tc>
                <w:tcPr>
                  <w:tcW w:w="453" w:type="pct"/>
                  <w:tcBorders>
                    <w:tl2br w:val="nil"/>
                    <w:tr2bl w:val="nil"/>
                  </w:tcBorders>
                  <w:vAlign w:val="center"/>
                </w:tcPr>
                <w:p w14:paraId="22FC7278">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86A">
                  <w:pPr>
                    <w:adjustRightInd w:val="0"/>
                    <w:snapToGrid w:val="0"/>
                    <w:jc w:val="center"/>
                    <w:rPr>
                      <w:color w:val="auto"/>
                      <w:kern w:val="0"/>
                    </w:rPr>
                  </w:pPr>
                  <w:r>
                    <w:rPr>
                      <w:color w:val="auto"/>
                      <w:kern w:val="0"/>
                    </w:rPr>
                    <w:t>110</w:t>
                  </w:r>
                </w:p>
              </w:tc>
              <w:tc>
                <w:tcPr>
                  <w:tcW w:w="553" w:type="pct"/>
                  <w:tcBorders>
                    <w:tl2br w:val="nil"/>
                    <w:tr2bl w:val="nil"/>
                  </w:tcBorders>
                  <w:shd w:val="clear" w:color="auto" w:fill="auto"/>
                  <w:vAlign w:val="center"/>
                </w:tcPr>
                <w:p w14:paraId="3A84F86B">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110</w:t>
                  </w:r>
                </w:p>
              </w:tc>
              <w:tc>
                <w:tcPr>
                  <w:tcW w:w="559" w:type="pct"/>
                  <w:tcBorders>
                    <w:tl2br w:val="nil"/>
                    <w:tr2bl w:val="nil"/>
                  </w:tcBorders>
                  <w:vAlign w:val="center"/>
                </w:tcPr>
                <w:p w14:paraId="3A84F86C">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6D">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6E">
                  <w:pPr>
                    <w:adjustRightInd w:val="0"/>
                    <w:snapToGrid w:val="0"/>
                    <w:jc w:val="center"/>
                    <w:rPr>
                      <w:color w:val="auto"/>
                      <w:kern w:val="0"/>
                    </w:rPr>
                  </w:pPr>
                  <w:r>
                    <w:rPr>
                      <w:color w:val="auto"/>
                      <w:kern w:val="0"/>
                    </w:rPr>
                    <w:t>40根/箱</w:t>
                  </w:r>
                </w:p>
              </w:tc>
              <w:tc>
                <w:tcPr>
                  <w:tcW w:w="554" w:type="pct"/>
                  <w:tcBorders>
                    <w:tl2br w:val="nil"/>
                    <w:tr2bl w:val="nil"/>
                  </w:tcBorders>
                  <w:vAlign w:val="center"/>
                </w:tcPr>
                <w:p w14:paraId="3A84F86F">
                  <w:pPr>
                    <w:adjustRightInd w:val="0"/>
                    <w:snapToGrid w:val="0"/>
                    <w:jc w:val="center"/>
                    <w:rPr>
                      <w:color w:val="auto"/>
                      <w:kern w:val="0"/>
                    </w:rPr>
                  </w:pPr>
                  <w:r>
                    <w:rPr>
                      <w:color w:val="auto"/>
                      <w:kern w:val="0"/>
                    </w:rPr>
                    <w:t>50</w:t>
                  </w:r>
                </w:p>
              </w:tc>
            </w:tr>
            <w:tr w14:paraId="3A84F87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71">
                  <w:pPr>
                    <w:adjustRightInd w:val="0"/>
                    <w:snapToGrid w:val="0"/>
                    <w:jc w:val="center"/>
                    <w:rPr>
                      <w:color w:val="auto"/>
                      <w:kern w:val="0"/>
                    </w:rPr>
                  </w:pPr>
                  <w:r>
                    <w:rPr>
                      <w:color w:val="auto"/>
                      <w:kern w:val="0"/>
                    </w:rPr>
                    <w:t>螺钉</w:t>
                  </w:r>
                </w:p>
              </w:tc>
              <w:tc>
                <w:tcPr>
                  <w:tcW w:w="673" w:type="pct"/>
                  <w:tcBorders>
                    <w:tl2br w:val="nil"/>
                    <w:tr2bl w:val="nil"/>
                  </w:tcBorders>
                  <w:vAlign w:val="center"/>
                </w:tcPr>
                <w:p w14:paraId="3A84F872">
                  <w:pPr>
                    <w:adjustRightInd w:val="0"/>
                    <w:snapToGrid w:val="0"/>
                    <w:jc w:val="center"/>
                    <w:rPr>
                      <w:color w:val="auto"/>
                      <w:kern w:val="0"/>
                    </w:rPr>
                  </w:pPr>
                  <w:r>
                    <w:rPr>
                      <w:color w:val="auto"/>
                      <w:kern w:val="0"/>
                    </w:rPr>
                    <w:t>/</w:t>
                  </w:r>
                </w:p>
              </w:tc>
              <w:tc>
                <w:tcPr>
                  <w:tcW w:w="453" w:type="pct"/>
                  <w:tcBorders>
                    <w:tl2br w:val="nil"/>
                    <w:tr2bl w:val="nil"/>
                  </w:tcBorders>
                  <w:vAlign w:val="center"/>
                </w:tcPr>
                <w:p w14:paraId="08734F8D">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873">
                  <w:pPr>
                    <w:adjustRightInd w:val="0"/>
                    <w:snapToGrid w:val="0"/>
                    <w:jc w:val="center"/>
                    <w:rPr>
                      <w:color w:val="auto"/>
                      <w:kern w:val="0"/>
                    </w:rPr>
                  </w:pPr>
                  <w:r>
                    <w:rPr>
                      <w:color w:val="auto"/>
                      <w:kern w:val="0"/>
                    </w:rPr>
                    <w:t>110</w:t>
                  </w:r>
                </w:p>
              </w:tc>
              <w:tc>
                <w:tcPr>
                  <w:tcW w:w="553" w:type="pct"/>
                  <w:tcBorders>
                    <w:tl2br w:val="nil"/>
                    <w:tr2bl w:val="nil"/>
                  </w:tcBorders>
                  <w:shd w:val="clear" w:color="auto" w:fill="auto"/>
                  <w:vAlign w:val="center"/>
                </w:tcPr>
                <w:p w14:paraId="3A84F874">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110</w:t>
                  </w:r>
                </w:p>
              </w:tc>
              <w:tc>
                <w:tcPr>
                  <w:tcW w:w="559" w:type="pct"/>
                  <w:tcBorders>
                    <w:tl2br w:val="nil"/>
                    <w:tr2bl w:val="nil"/>
                  </w:tcBorders>
                  <w:vAlign w:val="center"/>
                </w:tcPr>
                <w:p w14:paraId="3A84F875">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76">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77">
                  <w:pPr>
                    <w:adjustRightInd w:val="0"/>
                    <w:snapToGrid w:val="0"/>
                    <w:jc w:val="center"/>
                    <w:rPr>
                      <w:color w:val="auto"/>
                      <w:kern w:val="0"/>
                    </w:rPr>
                  </w:pPr>
                  <w:r>
                    <w:rPr>
                      <w:color w:val="auto"/>
                      <w:kern w:val="0"/>
                    </w:rPr>
                    <w:t>5000枚/箱</w:t>
                  </w:r>
                </w:p>
              </w:tc>
              <w:tc>
                <w:tcPr>
                  <w:tcW w:w="554" w:type="pct"/>
                  <w:tcBorders>
                    <w:tl2br w:val="nil"/>
                    <w:tr2bl w:val="nil"/>
                  </w:tcBorders>
                  <w:vAlign w:val="center"/>
                </w:tcPr>
                <w:p w14:paraId="3A84F878">
                  <w:pPr>
                    <w:adjustRightInd w:val="0"/>
                    <w:snapToGrid w:val="0"/>
                    <w:jc w:val="center"/>
                    <w:rPr>
                      <w:color w:val="auto"/>
                      <w:kern w:val="0"/>
                    </w:rPr>
                  </w:pPr>
                  <w:r>
                    <w:rPr>
                      <w:color w:val="auto"/>
                      <w:kern w:val="0"/>
                    </w:rPr>
                    <w:t>50</w:t>
                  </w:r>
                </w:p>
              </w:tc>
            </w:tr>
            <w:tr w14:paraId="3A84F8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7A">
                  <w:pPr>
                    <w:adjustRightInd w:val="0"/>
                    <w:snapToGrid w:val="0"/>
                    <w:jc w:val="center"/>
                    <w:rPr>
                      <w:color w:val="auto"/>
                      <w:kern w:val="0"/>
                    </w:rPr>
                  </w:pPr>
                  <w:r>
                    <w:rPr>
                      <w:color w:val="auto"/>
                      <w:kern w:val="0"/>
                    </w:rPr>
                    <w:t>滤网</w:t>
                  </w:r>
                </w:p>
              </w:tc>
              <w:tc>
                <w:tcPr>
                  <w:tcW w:w="673" w:type="pct"/>
                  <w:tcBorders>
                    <w:tl2br w:val="nil"/>
                    <w:tr2bl w:val="nil"/>
                  </w:tcBorders>
                  <w:vAlign w:val="center"/>
                </w:tcPr>
                <w:p w14:paraId="3A84F87B">
                  <w:pPr>
                    <w:adjustRightInd w:val="0"/>
                    <w:snapToGrid w:val="0"/>
                    <w:jc w:val="center"/>
                    <w:rPr>
                      <w:color w:val="auto"/>
                      <w:kern w:val="0"/>
                    </w:rPr>
                  </w:pPr>
                  <w:r>
                    <w:rPr>
                      <w:color w:val="auto"/>
                      <w:kern w:val="0"/>
                    </w:rPr>
                    <w:t>/</w:t>
                  </w:r>
                </w:p>
              </w:tc>
              <w:tc>
                <w:tcPr>
                  <w:tcW w:w="453" w:type="pct"/>
                  <w:tcBorders>
                    <w:tl2br w:val="nil"/>
                    <w:tr2bl w:val="nil"/>
                  </w:tcBorders>
                  <w:vAlign w:val="center"/>
                </w:tcPr>
                <w:p w14:paraId="19ED78EB">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87C">
                  <w:pPr>
                    <w:adjustRightInd w:val="0"/>
                    <w:snapToGrid w:val="0"/>
                    <w:jc w:val="center"/>
                    <w:rPr>
                      <w:color w:val="auto"/>
                      <w:kern w:val="0"/>
                    </w:rPr>
                  </w:pPr>
                  <w:r>
                    <w:rPr>
                      <w:color w:val="auto"/>
                      <w:kern w:val="0"/>
                    </w:rPr>
                    <w:t>110</w:t>
                  </w:r>
                </w:p>
              </w:tc>
              <w:tc>
                <w:tcPr>
                  <w:tcW w:w="553" w:type="pct"/>
                  <w:tcBorders>
                    <w:tl2br w:val="nil"/>
                    <w:tr2bl w:val="nil"/>
                  </w:tcBorders>
                  <w:shd w:val="clear" w:color="auto" w:fill="auto"/>
                  <w:vAlign w:val="center"/>
                </w:tcPr>
                <w:p w14:paraId="3A84F87D">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110</w:t>
                  </w:r>
                </w:p>
              </w:tc>
              <w:tc>
                <w:tcPr>
                  <w:tcW w:w="559" w:type="pct"/>
                  <w:tcBorders>
                    <w:tl2br w:val="nil"/>
                    <w:tr2bl w:val="nil"/>
                  </w:tcBorders>
                  <w:vAlign w:val="center"/>
                </w:tcPr>
                <w:p w14:paraId="3A84F87E">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7F">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80">
                  <w:pPr>
                    <w:adjustRightInd w:val="0"/>
                    <w:snapToGrid w:val="0"/>
                    <w:jc w:val="center"/>
                    <w:rPr>
                      <w:color w:val="auto"/>
                      <w:kern w:val="0"/>
                    </w:rPr>
                  </w:pPr>
                  <w:r>
                    <w:rPr>
                      <w:color w:val="auto"/>
                      <w:kern w:val="0"/>
                    </w:rPr>
                    <w:t>200枚/箱</w:t>
                  </w:r>
                </w:p>
              </w:tc>
              <w:tc>
                <w:tcPr>
                  <w:tcW w:w="554" w:type="pct"/>
                  <w:tcBorders>
                    <w:tl2br w:val="nil"/>
                    <w:tr2bl w:val="nil"/>
                  </w:tcBorders>
                  <w:vAlign w:val="center"/>
                </w:tcPr>
                <w:p w14:paraId="3A84F881">
                  <w:pPr>
                    <w:adjustRightInd w:val="0"/>
                    <w:snapToGrid w:val="0"/>
                    <w:jc w:val="center"/>
                    <w:rPr>
                      <w:color w:val="auto"/>
                      <w:kern w:val="0"/>
                    </w:rPr>
                  </w:pPr>
                  <w:r>
                    <w:rPr>
                      <w:color w:val="auto"/>
                      <w:kern w:val="0"/>
                    </w:rPr>
                    <w:t>50</w:t>
                  </w:r>
                </w:p>
              </w:tc>
            </w:tr>
            <w:tr w14:paraId="3A84F8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83">
                  <w:pPr>
                    <w:adjustRightInd w:val="0"/>
                    <w:snapToGrid w:val="0"/>
                    <w:jc w:val="center"/>
                    <w:rPr>
                      <w:color w:val="auto"/>
                      <w:kern w:val="0"/>
                    </w:rPr>
                  </w:pPr>
                  <w:r>
                    <w:rPr>
                      <w:color w:val="auto"/>
                      <w:kern w:val="0"/>
                    </w:rPr>
                    <w:t>短路片</w:t>
                  </w:r>
                </w:p>
              </w:tc>
              <w:tc>
                <w:tcPr>
                  <w:tcW w:w="673" w:type="pct"/>
                  <w:tcBorders>
                    <w:tl2br w:val="nil"/>
                    <w:tr2bl w:val="nil"/>
                  </w:tcBorders>
                  <w:vAlign w:val="center"/>
                </w:tcPr>
                <w:p w14:paraId="3A84F884">
                  <w:pPr>
                    <w:adjustRightInd w:val="0"/>
                    <w:snapToGrid w:val="0"/>
                    <w:jc w:val="center"/>
                    <w:rPr>
                      <w:color w:val="auto"/>
                      <w:kern w:val="0"/>
                    </w:rPr>
                  </w:pPr>
                  <w:r>
                    <w:rPr>
                      <w:color w:val="auto"/>
                      <w:kern w:val="0"/>
                    </w:rPr>
                    <w:t>/</w:t>
                  </w:r>
                </w:p>
              </w:tc>
              <w:tc>
                <w:tcPr>
                  <w:tcW w:w="453" w:type="pct"/>
                  <w:tcBorders>
                    <w:tl2br w:val="nil"/>
                    <w:tr2bl w:val="nil"/>
                  </w:tcBorders>
                  <w:vAlign w:val="center"/>
                </w:tcPr>
                <w:p w14:paraId="661C4BC2">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885">
                  <w:pPr>
                    <w:adjustRightInd w:val="0"/>
                    <w:snapToGrid w:val="0"/>
                    <w:jc w:val="center"/>
                    <w:rPr>
                      <w:color w:val="auto"/>
                      <w:kern w:val="0"/>
                    </w:rPr>
                  </w:pPr>
                  <w:r>
                    <w:rPr>
                      <w:color w:val="auto"/>
                      <w:kern w:val="0"/>
                    </w:rPr>
                    <w:t>110</w:t>
                  </w:r>
                </w:p>
              </w:tc>
              <w:tc>
                <w:tcPr>
                  <w:tcW w:w="553" w:type="pct"/>
                  <w:tcBorders>
                    <w:tl2br w:val="nil"/>
                    <w:tr2bl w:val="nil"/>
                  </w:tcBorders>
                  <w:shd w:val="clear" w:color="auto" w:fill="auto"/>
                  <w:vAlign w:val="center"/>
                </w:tcPr>
                <w:p w14:paraId="3A84F886">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110</w:t>
                  </w:r>
                </w:p>
              </w:tc>
              <w:tc>
                <w:tcPr>
                  <w:tcW w:w="559" w:type="pct"/>
                  <w:tcBorders>
                    <w:tl2br w:val="nil"/>
                    <w:tr2bl w:val="nil"/>
                  </w:tcBorders>
                  <w:vAlign w:val="center"/>
                </w:tcPr>
                <w:p w14:paraId="3A84F887">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88">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89">
                  <w:pPr>
                    <w:adjustRightInd w:val="0"/>
                    <w:snapToGrid w:val="0"/>
                    <w:jc w:val="center"/>
                    <w:rPr>
                      <w:color w:val="auto"/>
                      <w:kern w:val="0"/>
                    </w:rPr>
                  </w:pPr>
                  <w:r>
                    <w:rPr>
                      <w:color w:val="auto"/>
                      <w:kern w:val="0"/>
                    </w:rPr>
                    <w:t>12000枚/箱</w:t>
                  </w:r>
                </w:p>
              </w:tc>
              <w:tc>
                <w:tcPr>
                  <w:tcW w:w="554" w:type="pct"/>
                  <w:tcBorders>
                    <w:tl2br w:val="nil"/>
                    <w:tr2bl w:val="nil"/>
                  </w:tcBorders>
                  <w:vAlign w:val="center"/>
                </w:tcPr>
                <w:p w14:paraId="3A84F88A">
                  <w:pPr>
                    <w:adjustRightInd w:val="0"/>
                    <w:snapToGrid w:val="0"/>
                    <w:jc w:val="center"/>
                    <w:rPr>
                      <w:color w:val="auto"/>
                      <w:kern w:val="0"/>
                    </w:rPr>
                  </w:pPr>
                  <w:r>
                    <w:rPr>
                      <w:color w:val="auto"/>
                      <w:kern w:val="0"/>
                    </w:rPr>
                    <w:t>50</w:t>
                  </w:r>
                </w:p>
              </w:tc>
            </w:tr>
            <w:tr w14:paraId="3A84F8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8C">
                  <w:pPr>
                    <w:adjustRightInd w:val="0"/>
                    <w:snapToGrid w:val="0"/>
                    <w:jc w:val="center"/>
                    <w:rPr>
                      <w:color w:val="auto"/>
                      <w:kern w:val="0"/>
                    </w:rPr>
                  </w:pPr>
                  <w:r>
                    <w:rPr>
                      <w:color w:val="auto"/>
                      <w:kern w:val="0"/>
                    </w:rPr>
                    <w:t>标签</w:t>
                  </w:r>
                </w:p>
              </w:tc>
              <w:tc>
                <w:tcPr>
                  <w:tcW w:w="673" w:type="pct"/>
                  <w:tcBorders>
                    <w:tl2br w:val="nil"/>
                    <w:tr2bl w:val="nil"/>
                  </w:tcBorders>
                  <w:vAlign w:val="center"/>
                </w:tcPr>
                <w:p w14:paraId="3A84F88D">
                  <w:pPr>
                    <w:adjustRightInd w:val="0"/>
                    <w:snapToGrid w:val="0"/>
                    <w:jc w:val="center"/>
                    <w:rPr>
                      <w:color w:val="auto"/>
                      <w:kern w:val="0"/>
                    </w:rPr>
                  </w:pPr>
                  <w:r>
                    <w:rPr>
                      <w:color w:val="auto"/>
                      <w:kern w:val="0"/>
                    </w:rPr>
                    <w:t>/</w:t>
                  </w:r>
                </w:p>
              </w:tc>
              <w:tc>
                <w:tcPr>
                  <w:tcW w:w="453" w:type="pct"/>
                  <w:tcBorders>
                    <w:tl2br w:val="nil"/>
                    <w:tr2bl w:val="nil"/>
                  </w:tcBorders>
                  <w:vAlign w:val="center"/>
                </w:tcPr>
                <w:p w14:paraId="7B3B694F">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88E">
                  <w:pPr>
                    <w:adjustRightInd w:val="0"/>
                    <w:snapToGrid w:val="0"/>
                    <w:jc w:val="center"/>
                    <w:rPr>
                      <w:color w:val="auto"/>
                      <w:kern w:val="0"/>
                    </w:rPr>
                  </w:pPr>
                  <w:r>
                    <w:rPr>
                      <w:color w:val="auto"/>
                      <w:kern w:val="0"/>
                    </w:rPr>
                    <w:t>110</w:t>
                  </w:r>
                </w:p>
              </w:tc>
              <w:tc>
                <w:tcPr>
                  <w:tcW w:w="553" w:type="pct"/>
                  <w:tcBorders>
                    <w:tl2br w:val="nil"/>
                    <w:tr2bl w:val="nil"/>
                  </w:tcBorders>
                  <w:shd w:val="clear" w:color="auto" w:fill="auto"/>
                  <w:vAlign w:val="center"/>
                </w:tcPr>
                <w:p w14:paraId="3A84F88F">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110</w:t>
                  </w:r>
                </w:p>
              </w:tc>
              <w:tc>
                <w:tcPr>
                  <w:tcW w:w="559" w:type="pct"/>
                  <w:tcBorders>
                    <w:tl2br w:val="nil"/>
                    <w:tr2bl w:val="nil"/>
                  </w:tcBorders>
                  <w:vAlign w:val="center"/>
                </w:tcPr>
                <w:p w14:paraId="3A84F890">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91">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92">
                  <w:pPr>
                    <w:adjustRightInd w:val="0"/>
                    <w:snapToGrid w:val="0"/>
                    <w:jc w:val="center"/>
                    <w:rPr>
                      <w:color w:val="auto"/>
                      <w:kern w:val="0"/>
                    </w:rPr>
                  </w:pPr>
                  <w:r>
                    <w:rPr>
                      <w:color w:val="auto"/>
                      <w:kern w:val="0"/>
                    </w:rPr>
                    <w:t>5000枚/箱</w:t>
                  </w:r>
                </w:p>
              </w:tc>
              <w:tc>
                <w:tcPr>
                  <w:tcW w:w="554" w:type="pct"/>
                  <w:tcBorders>
                    <w:tl2br w:val="nil"/>
                    <w:tr2bl w:val="nil"/>
                  </w:tcBorders>
                  <w:vAlign w:val="center"/>
                </w:tcPr>
                <w:p w14:paraId="3A84F893">
                  <w:pPr>
                    <w:adjustRightInd w:val="0"/>
                    <w:snapToGrid w:val="0"/>
                    <w:jc w:val="center"/>
                    <w:rPr>
                      <w:color w:val="auto"/>
                      <w:kern w:val="0"/>
                    </w:rPr>
                  </w:pPr>
                  <w:r>
                    <w:rPr>
                      <w:color w:val="auto"/>
                      <w:kern w:val="0"/>
                    </w:rPr>
                    <w:t>50</w:t>
                  </w:r>
                </w:p>
              </w:tc>
            </w:tr>
            <w:tr w14:paraId="4E04328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10"/>
                  <w:tcBorders>
                    <w:tl2br w:val="nil"/>
                    <w:tr2bl w:val="nil"/>
                  </w:tcBorders>
                  <w:vAlign w:val="center"/>
                </w:tcPr>
                <w:p w14:paraId="4BA94CE0">
                  <w:pPr>
                    <w:adjustRightInd w:val="0"/>
                    <w:snapToGrid w:val="0"/>
                    <w:jc w:val="center"/>
                    <w:rPr>
                      <w:rFonts w:hint="eastAsia"/>
                      <w:b/>
                      <w:bCs/>
                      <w:color w:val="auto"/>
                      <w:kern w:val="0"/>
                    </w:rPr>
                  </w:pPr>
                  <w:r>
                    <w:rPr>
                      <w:rFonts w:hint="eastAsia"/>
                      <w:b/>
                      <w:bCs/>
                      <w:color w:val="auto"/>
                      <w:kern w:val="0"/>
                    </w:rPr>
                    <w:t>⑥</w:t>
                  </w:r>
                  <w:r>
                    <w:rPr>
                      <w:b/>
                      <w:bCs/>
                      <w:color w:val="auto"/>
                      <w:kern w:val="0"/>
                    </w:rPr>
                    <w:t>小型气体发生器MGC</w:t>
                  </w:r>
                </w:p>
              </w:tc>
            </w:tr>
            <w:tr w14:paraId="3A84F89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97">
                  <w:pPr>
                    <w:adjustRightInd w:val="0"/>
                    <w:snapToGrid w:val="0"/>
                    <w:jc w:val="center"/>
                    <w:rPr>
                      <w:color w:val="auto"/>
                      <w:kern w:val="0"/>
                    </w:rPr>
                  </w:pPr>
                  <w:r>
                    <w:rPr>
                      <w:color w:val="auto"/>
                      <w:kern w:val="0"/>
                    </w:rPr>
                    <w:t>固定器</w:t>
                  </w:r>
                </w:p>
              </w:tc>
              <w:tc>
                <w:tcPr>
                  <w:tcW w:w="673" w:type="pct"/>
                  <w:tcBorders>
                    <w:tl2br w:val="nil"/>
                    <w:tr2bl w:val="nil"/>
                  </w:tcBorders>
                  <w:vAlign w:val="center"/>
                </w:tcPr>
                <w:p w14:paraId="3A84F898">
                  <w:pPr>
                    <w:adjustRightInd w:val="0"/>
                    <w:snapToGrid w:val="0"/>
                    <w:jc w:val="center"/>
                    <w:rPr>
                      <w:color w:val="auto"/>
                      <w:kern w:val="0"/>
                    </w:rPr>
                  </w:pPr>
                  <w:r>
                    <w:rPr>
                      <w:color w:val="auto"/>
                      <w:kern w:val="0"/>
                    </w:rPr>
                    <w:t>/</w:t>
                  </w:r>
                </w:p>
              </w:tc>
              <w:tc>
                <w:tcPr>
                  <w:tcW w:w="453" w:type="pct"/>
                  <w:tcBorders>
                    <w:tl2br w:val="nil"/>
                    <w:tr2bl w:val="nil"/>
                  </w:tcBorders>
                  <w:vAlign w:val="center"/>
                </w:tcPr>
                <w:p w14:paraId="0F70AA8C">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899">
                  <w:pPr>
                    <w:adjustRightInd w:val="0"/>
                    <w:snapToGrid w:val="0"/>
                    <w:jc w:val="center"/>
                    <w:rPr>
                      <w:rFonts w:hint="default" w:eastAsia="宋体"/>
                      <w:color w:val="auto"/>
                      <w:kern w:val="0"/>
                      <w:lang w:val="en-US" w:eastAsia="zh-CN"/>
                    </w:rPr>
                  </w:pPr>
                  <w:r>
                    <w:rPr>
                      <w:rFonts w:hint="eastAsia"/>
                      <w:color w:val="auto"/>
                      <w:kern w:val="0"/>
                      <w:lang w:val="en-US" w:eastAsia="zh-CN"/>
                    </w:rPr>
                    <w:t>850</w:t>
                  </w:r>
                </w:p>
              </w:tc>
              <w:tc>
                <w:tcPr>
                  <w:tcW w:w="553" w:type="pct"/>
                  <w:tcBorders>
                    <w:tl2br w:val="nil"/>
                    <w:tr2bl w:val="nil"/>
                  </w:tcBorders>
                  <w:shd w:val="clear" w:color="auto" w:fill="auto"/>
                  <w:vAlign w:val="center"/>
                </w:tcPr>
                <w:p w14:paraId="3A84F89A">
                  <w:pPr>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850</w:t>
                  </w:r>
                </w:p>
              </w:tc>
              <w:tc>
                <w:tcPr>
                  <w:tcW w:w="559" w:type="pct"/>
                  <w:tcBorders>
                    <w:tl2br w:val="nil"/>
                    <w:tr2bl w:val="nil"/>
                  </w:tcBorders>
                  <w:vAlign w:val="center"/>
                </w:tcPr>
                <w:p w14:paraId="3A84F89B">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9C">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9D">
                  <w:pPr>
                    <w:adjustRightInd w:val="0"/>
                    <w:snapToGrid w:val="0"/>
                    <w:jc w:val="center"/>
                    <w:rPr>
                      <w:color w:val="auto"/>
                      <w:kern w:val="0"/>
                    </w:rPr>
                  </w:pPr>
                  <w:r>
                    <w:rPr>
                      <w:color w:val="auto"/>
                      <w:kern w:val="0"/>
                    </w:rPr>
                    <w:t>500枚/箱</w:t>
                  </w:r>
                </w:p>
              </w:tc>
              <w:tc>
                <w:tcPr>
                  <w:tcW w:w="554" w:type="pct"/>
                  <w:tcBorders>
                    <w:tl2br w:val="nil"/>
                    <w:tr2bl w:val="nil"/>
                  </w:tcBorders>
                  <w:vAlign w:val="center"/>
                </w:tcPr>
                <w:p w14:paraId="3A84F89E">
                  <w:pPr>
                    <w:adjustRightInd w:val="0"/>
                    <w:snapToGrid w:val="0"/>
                    <w:jc w:val="center"/>
                    <w:rPr>
                      <w:color w:val="auto"/>
                      <w:kern w:val="0"/>
                    </w:rPr>
                  </w:pPr>
                  <w:r>
                    <w:rPr>
                      <w:color w:val="auto"/>
                      <w:kern w:val="0"/>
                    </w:rPr>
                    <w:t>100</w:t>
                  </w:r>
                </w:p>
              </w:tc>
            </w:tr>
            <w:tr w14:paraId="3A84F8A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A0">
                  <w:pPr>
                    <w:adjustRightInd w:val="0"/>
                    <w:snapToGrid w:val="0"/>
                    <w:jc w:val="center"/>
                    <w:rPr>
                      <w:color w:val="auto"/>
                      <w:kern w:val="0"/>
                    </w:rPr>
                  </w:pPr>
                  <w:r>
                    <w:rPr>
                      <w:color w:val="auto"/>
                      <w:kern w:val="0"/>
                    </w:rPr>
                    <w:t>密封圈</w:t>
                  </w:r>
                </w:p>
              </w:tc>
              <w:tc>
                <w:tcPr>
                  <w:tcW w:w="673" w:type="pct"/>
                  <w:tcBorders>
                    <w:tl2br w:val="nil"/>
                    <w:tr2bl w:val="nil"/>
                  </w:tcBorders>
                  <w:vAlign w:val="center"/>
                </w:tcPr>
                <w:p w14:paraId="3A84F8A1">
                  <w:pPr>
                    <w:adjustRightInd w:val="0"/>
                    <w:snapToGrid w:val="0"/>
                    <w:jc w:val="center"/>
                    <w:rPr>
                      <w:color w:val="auto"/>
                      <w:kern w:val="0"/>
                    </w:rPr>
                  </w:pPr>
                  <w:r>
                    <w:rPr>
                      <w:color w:val="auto"/>
                      <w:kern w:val="0"/>
                    </w:rPr>
                    <w:t>/</w:t>
                  </w:r>
                </w:p>
              </w:tc>
              <w:tc>
                <w:tcPr>
                  <w:tcW w:w="453" w:type="pct"/>
                  <w:tcBorders>
                    <w:tl2br w:val="nil"/>
                    <w:tr2bl w:val="nil"/>
                  </w:tcBorders>
                  <w:vAlign w:val="center"/>
                </w:tcPr>
                <w:p w14:paraId="54903655">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8A2">
                  <w:pPr>
                    <w:adjustRightInd w:val="0"/>
                    <w:snapToGrid w:val="0"/>
                    <w:jc w:val="center"/>
                    <w:rPr>
                      <w:rFonts w:hint="default" w:eastAsia="宋体"/>
                      <w:color w:val="auto"/>
                      <w:kern w:val="0"/>
                      <w:lang w:val="en-US" w:eastAsia="zh-CN"/>
                    </w:rPr>
                  </w:pPr>
                  <w:r>
                    <w:rPr>
                      <w:rFonts w:hint="eastAsia"/>
                      <w:color w:val="auto"/>
                      <w:kern w:val="0"/>
                      <w:lang w:val="en-US" w:eastAsia="zh-CN"/>
                    </w:rPr>
                    <w:t>850</w:t>
                  </w:r>
                </w:p>
              </w:tc>
              <w:tc>
                <w:tcPr>
                  <w:tcW w:w="553" w:type="pct"/>
                  <w:tcBorders>
                    <w:tl2br w:val="nil"/>
                    <w:tr2bl w:val="nil"/>
                  </w:tcBorders>
                  <w:shd w:val="clear" w:color="auto" w:fill="auto"/>
                  <w:vAlign w:val="center"/>
                </w:tcPr>
                <w:p w14:paraId="3A84F8A3">
                  <w:pPr>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850</w:t>
                  </w:r>
                </w:p>
              </w:tc>
              <w:tc>
                <w:tcPr>
                  <w:tcW w:w="559" w:type="pct"/>
                  <w:tcBorders>
                    <w:tl2br w:val="nil"/>
                    <w:tr2bl w:val="nil"/>
                  </w:tcBorders>
                  <w:vAlign w:val="center"/>
                </w:tcPr>
                <w:p w14:paraId="3A84F8A4">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A5">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A6">
                  <w:pPr>
                    <w:adjustRightInd w:val="0"/>
                    <w:snapToGrid w:val="0"/>
                    <w:jc w:val="center"/>
                    <w:rPr>
                      <w:color w:val="auto"/>
                      <w:kern w:val="0"/>
                    </w:rPr>
                  </w:pPr>
                  <w:r>
                    <w:rPr>
                      <w:color w:val="auto"/>
                      <w:kern w:val="0"/>
                    </w:rPr>
                    <w:t>5000枚/箱</w:t>
                  </w:r>
                </w:p>
              </w:tc>
              <w:tc>
                <w:tcPr>
                  <w:tcW w:w="554" w:type="pct"/>
                  <w:tcBorders>
                    <w:tl2br w:val="nil"/>
                    <w:tr2bl w:val="nil"/>
                  </w:tcBorders>
                  <w:vAlign w:val="center"/>
                </w:tcPr>
                <w:p w14:paraId="3A84F8A7">
                  <w:pPr>
                    <w:adjustRightInd w:val="0"/>
                    <w:snapToGrid w:val="0"/>
                    <w:jc w:val="center"/>
                    <w:rPr>
                      <w:color w:val="auto"/>
                      <w:kern w:val="0"/>
                    </w:rPr>
                  </w:pPr>
                  <w:r>
                    <w:rPr>
                      <w:color w:val="auto"/>
                      <w:kern w:val="0"/>
                    </w:rPr>
                    <w:t>100</w:t>
                  </w:r>
                </w:p>
              </w:tc>
            </w:tr>
            <w:tr w14:paraId="3A84F8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A9">
                  <w:pPr>
                    <w:adjustRightInd w:val="0"/>
                    <w:snapToGrid w:val="0"/>
                    <w:jc w:val="center"/>
                    <w:rPr>
                      <w:color w:val="auto"/>
                      <w:kern w:val="0"/>
                    </w:rPr>
                  </w:pPr>
                  <w:r>
                    <w:rPr>
                      <w:color w:val="auto"/>
                      <w:kern w:val="0"/>
                    </w:rPr>
                    <w:t>点火芯</w:t>
                  </w:r>
                </w:p>
              </w:tc>
              <w:tc>
                <w:tcPr>
                  <w:tcW w:w="673" w:type="pct"/>
                  <w:tcBorders>
                    <w:tl2br w:val="nil"/>
                    <w:tr2bl w:val="nil"/>
                  </w:tcBorders>
                  <w:vAlign w:val="center"/>
                </w:tcPr>
                <w:p w14:paraId="3A84F8AA">
                  <w:pPr>
                    <w:adjustRightInd w:val="0"/>
                    <w:snapToGrid w:val="0"/>
                    <w:jc w:val="center"/>
                    <w:rPr>
                      <w:color w:val="auto"/>
                      <w:kern w:val="0"/>
                    </w:rPr>
                  </w:pPr>
                  <w:r>
                    <w:rPr>
                      <w:color w:val="auto"/>
                      <w:kern w:val="0"/>
                    </w:rPr>
                    <w:t>/</w:t>
                  </w:r>
                </w:p>
              </w:tc>
              <w:tc>
                <w:tcPr>
                  <w:tcW w:w="453" w:type="pct"/>
                  <w:tcBorders>
                    <w:tl2br w:val="nil"/>
                    <w:tr2bl w:val="nil"/>
                  </w:tcBorders>
                  <w:vAlign w:val="center"/>
                </w:tcPr>
                <w:p w14:paraId="5556043B">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8AB">
                  <w:pPr>
                    <w:adjustRightInd w:val="0"/>
                    <w:snapToGrid w:val="0"/>
                    <w:jc w:val="center"/>
                    <w:rPr>
                      <w:rFonts w:hint="default" w:eastAsia="宋体"/>
                      <w:color w:val="auto"/>
                      <w:kern w:val="0"/>
                      <w:lang w:val="en-US" w:eastAsia="zh-CN"/>
                    </w:rPr>
                  </w:pPr>
                  <w:r>
                    <w:rPr>
                      <w:rFonts w:hint="eastAsia"/>
                      <w:color w:val="auto"/>
                      <w:kern w:val="0"/>
                      <w:lang w:val="en-US" w:eastAsia="zh-CN"/>
                    </w:rPr>
                    <w:t>850</w:t>
                  </w:r>
                </w:p>
              </w:tc>
              <w:tc>
                <w:tcPr>
                  <w:tcW w:w="553" w:type="pct"/>
                  <w:tcBorders>
                    <w:tl2br w:val="nil"/>
                    <w:tr2bl w:val="nil"/>
                  </w:tcBorders>
                  <w:shd w:val="clear" w:color="auto" w:fill="auto"/>
                  <w:vAlign w:val="center"/>
                </w:tcPr>
                <w:p w14:paraId="3A84F8AC">
                  <w:pPr>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850</w:t>
                  </w:r>
                </w:p>
              </w:tc>
              <w:tc>
                <w:tcPr>
                  <w:tcW w:w="559" w:type="pct"/>
                  <w:tcBorders>
                    <w:tl2br w:val="nil"/>
                    <w:tr2bl w:val="nil"/>
                  </w:tcBorders>
                  <w:vAlign w:val="center"/>
                </w:tcPr>
                <w:p w14:paraId="3A84F8AD">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AE">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AF">
                  <w:pPr>
                    <w:adjustRightInd w:val="0"/>
                    <w:snapToGrid w:val="0"/>
                    <w:jc w:val="center"/>
                    <w:rPr>
                      <w:color w:val="auto"/>
                      <w:kern w:val="0"/>
                    </w:rPr>
                  </w:pPr>
                  <w:r>
                    <w:rPr>
                      <w:color w:val="auto"/>
                      <w:kern w:val="0"/>
                    </w:rPr>
                    <w:t>500枚/箱</w:t>
                  </w:r>
                </w:p>
              </w:tc>
              <w:tc>
                <w:tcPr>
                  <w:tcW w:w="554" w:type="pct"/>
                  <w:tcBorders>
                    <w:tl2br w:val="nil"/>
                    <w:tr2bl w:val="nil"/>
                  </w:tcBorders>
                  <w:vAlign w:val="center"/>
                </w:tcPr>
                <w:p w14:paraId="3A84F8B0">
                  <w:pPr>
                    <w:adjustRightInd w:val="0"/>
                    <w:snapToGrid w:val="0"/>
                    <w:jc w:val="center"/>
                    <w:rPr>
                      <w:color w:val="auto"/>
                      <w:kern w:val="0"/>
                    </w:rPr>
                  </w:pPr>
                  <w:r>
                    <w:rPr>
                      <w:color w:val="auto"/>
                      <w:kern w:val="0"/>
                    </w:rPr>
                    <w:t>100</w:t>
                  </w:r>
                </w:p>
              </w:tc>
            </w:tr>
            <w:tr w14:paraId="3A84F8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B2">
                  <w:pPr>
                    <w:adjustRightInd w:val="0"/>
                    <w:snapToGrid w:val="0"/>
                    <w:jc w:val="center"/>
                    <w:rPr>
                      <w:color w:val="auto"/>
                      <w:kern w:val="0"/>
                    </w:rPr>
                  </w:pPr>
                  <w:r>
                    <w:rPr>
                      <w:color w:val="auto"/>
                      <w:kern w:val="0"/>
                    </w:rPr>
                    <w:t>液态软胶</w:t>
                  </w:r>
                </w:p>
              </w:tc>
              <w:tc>
                <w:tcPr>
                  <w:tcW w:w="673" w:type="pct"/>
                  <w:tcBorders>
                    <w:tl2br w:val="nil"/>
                    <w:tr2bl w:val="nil"/>
                  </w:tcBorders>
                  <w:vAlign w:val="center"/>
                </w:tcPr>
                <w:p w14:paraId="3A84F8B3">
                  <w:pPr>
                    <w:adjustRightInd w:val="0"/>
                    <w:snapToGrid w:val="0"/>
                    <w:jc w:val="center"/>
                    <w:rPr>
                      <w:color w:val="auto"/>
                      <w:kern w:val="0"/>
                    </w:rPr>
                  </w:pPr>
                  <w:r>
                    <w:rPr>
                      <w:color w:val="auto"/>
                      <w:kern w:val="0"/>
                    </w:rPr>
                    <w:t>聚乙二醇二甲基丙烯酸酯30%，2-甲基-2-丙烯酸丁酯与2-甲基-2-丙烯酸甲酯的聚合物25%，二苯甲酸二聚丙二醇酯20%</w:t>
                  </w:r>
                </w:p>
              </w:tc>
              <w:tc>
                <w:tcPr>
                  <w:tcW w:w="453" w:type="pct"/>
                  <w:tcBorders>
                    <w:tl2br w:val="nil"/>
                    <w:tr2bl w:val="nil"/>
                  </w:tcBorders>
                  <w:vAlign w:val="center"/>
                </w:tcPr>
                <w:p w14:paraId="5263E40F">
                  <w:pPr>
                    <w:adjustRightInd w:val="0"/>
                    <w:snapToGrid w:val="0"/>
                    <w:jc w:val="center"/>
                    <w:rPr>
                      <w:rFonts w:hint="eastAsia" w:eastAsia="宋体"/>
                      <w:color w:val="auto"/>
                      <w:kern w:val="0"/>
                      <w:lang w:val="en-US" w:eastAsia="zh-CN"/>
                    </w:rPr>
                  </w:pPr>
                  <w:r>
                    <w:rPr>
                      <w:rFonts w:hint="eastAsia"/>
                      <w:color w:val="auto"/>
                      <w:kern w:val="0"/>
                      <w:lang w:val="en-US" w:eastAsia="zh-CN"/>
                    </w:rPr>
                    <w:t>吨</w:t>
                  </w:r>
                </w:p>
              </w:tc>
              <w:tc>
                <w:tcPr>
                  <w:tcW w:w="553" w:type="pct"/>
                  <w:tcBorders>
                    <w:tl2br w:val="nil"/>
                    <w:tr2bl w:val="nil"/>
                  </w:tcBorders>
                  <w:vAlign w:val="center"/>
                </w:tcPr>
                <w:p w14:paraId="3A84F8B4">
                  <w:pPr>
                    <w:adjustRightInd w:val="0"/>
                    <w:snapToGrid w:val="0"/>
                    <w:jc w:val="center"/>
                    <w:rPr>
                      <w:rFonts w:hint="default" w:eastAsia="宋体"/>
                      <w:color w:val="auto"/>
                      <w:kern w:val="0"/>
                      <w:lang w:val="en-US" w:eastAsia="zh-CN"/>
                    </w:rPr>
                  </w:pPr>
                  <w:r>
                    <w:rPr>
                      <w:rFonts w:hint="eastAsia"/>
                      <w:color w:val="auto"/>
                      <w:kern w:val="0"/>
                      <w:lang w:val="en-US" w:eastAsia="zh-CN"/>
                    </w:rPr>
                    <w:t>0.1</w:t>
                  </w:r>
                </w:p>
              </w:tc>
              <w:tc>
                <w:tcPr>
                  <w:tcW w:w="553" w:type="pct"/>
                  <w:tcBorders>
                    <w:tl2br w:val="nil"/>
                    <w:tr2bl w:val="nil"/>
                  </w:tcBorders>
                  <w:shd w:val="clear" w:color="auto" w:fill="auto"/>
                  <w:vAlign w:val="center"/>
                </w:tcPr>
                <w:p w14:paraId="3A84F8B5">
                  <w:pPr>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0.1</w:t>
                  </w:r>
                </w:p>
              </w:tc>
              <w:tc>
                <w:tcPr>
                  <w:tcW w:w="559" w:type="pct"/>
                  <w:tcBorders>
                    <w:tl2br w:val="nil"/>
                    <w:tr2bl w:val="nil"/>
                  </w:tcBorders>
                  <w:vAlign w:val="center"/>
                </w:tcPr>
                <w:p w14:paraId="3A84F8B6">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B7">
                  <w:pPr>
                    <w:adjustRightInd w:val="0"/>
                    <w:snapToGrid w:val="0"/>
                    <w:jc w:val="center"/>
                    <w:rPr>
                      <w:rFonts w:hint="eastAsia" w:eastAsia="宋体"/>
                      <w:color w:val="auto"/>
                      <w:kern w:val="0"/>
                      <w:lang w:val="en-US" w:eastAsia="zh-CN"/>
                    </w:rPr>
                  </w:pPr>
                  <w:r>
                    <w:rPr>
                      <w:rFonts w:hint="eastAsia"/>
                      <w:color w:val="auto"/>
                      <w:kern w:val="0"/>
                      <w:lang w:val="en-US" w:eastAsia="zh-CN"/>
                    </w:rPr>
                    <w:t>液</w:t>
                  </w:r>
                </w:p>
              </w:tc>
              <w:tc>
                <w:tcPr>
                  <w:tcW w:w="681" w:type="pct"/>
                  <w:tcBorders>
                    <w:tl2br w:val="nil"/>
                    <w:tr2bl w:val="nil"/>
                  </w:tcBorders>
                  <w:vAlign w:val="center"/>
                </w:tcPr>
                <w:p w14:paraId="3A84F8B8">
                  <w:pPr>
                    <w:adjustRightInd w:val="0"/>
                    <w:snapToGrid w:val="0"/>
                    <w:jc w:val="center"/>
                    <w:rPr>
                      <w:color w:val="auto"/>
                      <w:kern w:val="0"/>
                    </w:rPr>
                  </w:pPr>
                  <w:r>
                    <w:rPr>
                      <w:color w:val="auto"/>
                      <w:kern w:val="0"/>
                    </w:rPr>
                    <w:t>200g/支</w:t>
                  </w:r>
                </w:p>
              </w:tc>
              <w:tc>
                <w:tcPr>
                  <w:tcW w:w="554" w:type="pct"/>
                  <w:tcBorders>
                    <w:tl2br w:val="nil"/>
                    <w:tr2bl w:val="nil"/>
                  </w:tcBorders>
                  <w:vAlign w:val="center"/>
                </w:tcPr>
                <w:p w14:paraId="3A84F8B9">
                  <w:pPr>
                    <w:adjustRightInd w:val="0"/>
                    <w:snapToGrid w:val="0"/>
                    <w:jc w:val="center"/>
                    <w:rPr>
                      <w:color w:val="auto"/>
                      <w:kern w:val="0"/>
                    </w:rPr>
                  </w:pPr>
                  <w:r>
                    <w:rPr>
                      <w:color w:val="auto"/>
                      <w:kern w:val="0"/>
                    </w:rPr>
                    <w:t>100</w:t>
                  </w:r>
                </w:p>
              </w:tc>
            </w:tr>
            <w:tr w14:paraId="3A84F8C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BB">
                  <w:pPr>
                    <w:adjustRightInd w:val="0"/>
                    <w:snapToGrid w:val="0"/>
                    <w:jc w:val="center"/>
                    <w:rPr>
                      <w:color w:val="auto"/>
                      <w:kern w:val="0"/>
                    </w:rPr>
                  </w:pPr>
                  <w:r>
                    <w:rPr>
                      <w:color w:val="auto"/>
                      <w:kern w:val="0"/>
                    </w:rPr>
                    <w:t>料杯</w:t>
                  </w:r>
                </w:p>
              </w:tc>
              <w:tc>
                <w:tcPr>
                  <w:tcW w:w="673" w:type="pct"/>
                  <w:tcBorders>
                    <w:tl2br w:val="nil"/>
                    <w:tr2bl w:val="nil"/>
                  </w:tcBorders>
                  <w:vAlign w:val="center"/>
                </w:tcPr>
                <w:p w14:paraId="3A84F8BC">
                  <w:pPr>
                    <w:adjustRightInd w:val="0"/>
                    <w:snapToGrid w:val="0"/>
                    <w:jc w:val="center"/>
                    <w:rPr>
                      <w:color w:val="auto"/>
                      <w:kern w:val="0"/>
                    </w:rPr>
                  </w:pPr>
                  <w:r>
                    <w:rPr>
                      <w:color w:val="auto"/>
                      <w:kern w:val="0"/>
                    </w:rPr>
                    <w:t>/</w:t>
                  </w:r>
                </w:p>
              </w:tc>
              <w:tc>
                <w:tcPr>
                  <w:tcW w:w="453" w:type="pct"/>
                  <w:tcBorders>
                    <w:tl2br w:val="nil"/>
                    <w:tr2bl w:val="nil"/>
                  </w:tcBorders>
                  <w:vAlign w:val="center"/>
                </w:tcPr>
                <w:p w14:paraId="109C692C">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8BD">
                  <w:pPr>
                    <w:adjustRightInd w:val="0"/>
                    <w:snapToGrid w:val="0"/>
                    <w:jc w:val="center"/>
                    <w:rPr>
                      <w:rFonts w:hint="default" w:eastAsia="宋体"/>
                      <w:color w:val="auto"/>
                      <w:kern w:val="0"/>
                      <w:lang w:val="en-US" w:eastAsia="zh-CN"/>
                    </w:rPr>
                  </w:pPr>
                  <w:r>
                    <w:rPr>
                      <w:rFonts w:hint="eastAsia"/>
                      <w:color w:val="auto"/>
                      <w:kern w:val="0"/>
                      <w:lang w:val="en-US" w:eastAsia="zh-CN"/>
                    </w:rPr>
                    <w:t>850</w:t>
                  </w:r>
                </w:p>
              </w:tc>
              <w:tc>
                <w:tcPr>
                  <w:tcW w:w="553" w:type="pct"/>
                  <w:tcBorders>
                    <w:tl2br w:val="nil"/>
                    <w:tr2bl w:val="nil"/>
                  </w:tcBorders>
                  <w:shd w:val="clear" w:color="auto" w:fill="auto"/>
                  <w:vAlign w:val="center"/>
                </w:tcPr>
                <w:p w14:paraId="3A84F8BE">
                  <w:pPr>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850</w:t>
                  </w:r>
                </w:p>
              </w:tc>
              <w:tc>
                <w:tcPr>
                  <w:tcW w:w="559" w:type="pct"/>
                  <w:tcBorders>
                    <w:tl2br w:val="nil"/>
                    <w:tr2bl w:val="nil"/>
                  </w:tcBorders>
                  <w:vAlign w:val="center"/>
                </w:tcPr>
                <w:p w14:paraId="3A84F8BF">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C0">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C1">
                  <w:pPr>
                    <w:adjustRightInd w:val="0"/>
                    <w:snapToGrid w:val="0"/>
                    <w:jc w:val="center"/>
                    <w:rPr>
                      <w:color w:val="auto"/>
                      <w:kern w:val="0"/>
                    </w:rPr>
                  </w:pPr>
                  <w:r>
                    <w:rPr>
                      <w:color w:val="auto"/>
                      <w:kern w:val="0"/>
                    </w:rPr>
                    <w:t>500枚/箱</w:t>
                  </w:r>
                </w:p>
              </w:tc>
              <w:tc>
                <w:tcPr>
                  <w:tcW w:w="554" w:type="pct"/>
                  <w:tcBorders>
                    <w:tl2br w:val="nil"/>
                    <w:tr2bl w:val="nil"/>
                  </w:tcBorders>
                  <w:vAlign w:val="center"/>
                </w:tcPr>
                <w:p w14:paraId="3A84F8C2">
                  <w:pPr>
                    <w:adjustRightInd w:val="0"/>
                    <w:snapToGrid w:val="0"/>
                    <w:jc w:val="center"/>
                    <w:rPr>
                      <w:color w:val="auto"/>
                      <w:kern w:val="0"/>
                    </w:rPr>
                  </w:pPr>
                  <w:r>
                    <w:rPr>
                      <w:color w:val="auto"/>
                      <w:kern w:val="0"/>
                    </w:rPr>
                    <w:t>100</w:t>
                  </w:r>
                </w:p>
              </w:tc>
            </w:tr>
            <w:tr w14:paraId="3A84F8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C4">
                  <w:pPr>
                    <w:adjustRightInd w:val="0"/>
                    <w:snapToGrid w:val="0"/>
                    <w:jc w:val="center"/>
                    <w:rPr>
                      <w:color w:val="auto"/>
                      <w:kern w:val="0"/>
                    </w:rPr>
                  </w:pPr>
                  <w:r>
                    <w:rPr>
                      <w:color w:val="auto"/>
                      <w:kern w:val="0"/>
                    </w:rPr>
                    <w:t>BTU</w:t>
                  </w:r>
                </w:p>
              </w:tc>
              <w:tc>
                <w:tcPr>
                  <w:tcW w:w="673" w:type="pct"/>
                  <w:tcBorders>
                    <w:tl2br w:val="nil"/>
                    <w:tr2bl w:val="nil"/>
                  </w:tcBorders>
                  <w:vAlign w:val="center"/>
                </w:tcPr>
                <w:p w14:paraId="3A84F8C5">
                  <w:pPr>
                    <w:adjustRightInd w:val="0"/>
                    <w:snapToGrid w:val="0"/>
                    <w:jc w:val="center"/>
                    <w:rPr>
                      <w:color w:val="auto"/>
                      <w:kern w:val="0"/>
                    </w:rPr>
                  </w:pPr>
                  <w:r>
                    <w:rPr>
                      <w:color w:val="auto"/>
                      <w:kern w:val="0"/>
                    </w:rPr>
                    <w:t>/</w:t>
                  </w:r>
                </w:p>
              </w:tc>
              <w:tc>
                <w:tcPr>
                  <w:tcW w:w="453" w:type="pct"/>
                  <w:tcBorders>
                    <w:tl2br w:val="nil"/>
                    <w:tr2bl w:val="nil"/>
                  </w:tcBorders>
                  <w:vAlign w:val="center"/>
                </w:tcPr>
                <w:p w14:paraId="7CAD2273">
                  <w:pPr>
                    <w:adjustRightInd w:val="0"/>
                    <w:snapToGrid w:val="0"/>
                    <w:jc w:val="center"/>
                    <w:rPr>
                      <w:rFonts w:hint="eastAsia" w:eastAsia="宋体"/>
                      <w:color w:val="auto"/>
                      <w:kern w:val="0"/>
                      <w:lang w:val="en-US" w:eastAsia="zh-CN"/>
                    </w:rPr>
                  </w:pPr>
                  <w:r>
                    <w:rPr>
                      <w:rFonts w:hint="eastAsia"/>
                      <w:color w:val="auto"/>
                      <w:kern w:val="0"/>
                      <w:lang w:val="en-US" w:eastAsia="zh-CN"/>
                    </w:rPr>
                    <w:t>吨</w:t>
                  </w:r>
                </w:p>
              </w:tc>
              <w:tc>
                <w:tcPr>
                  <w:tcW w:w="553" w:type="pct"/>
                  <w:tcBorders>
                    <w:tl2br w:val="nil"/>
                    <w:tr2bl w:val="nil"/>
                  </w:tcBorders>
                  <w:vAlign w:val="center"/>
                </w:tcPr>
                <w:p w14:paraId="3A84F8C6">
                  <w:pPr>
                    <w:adjustRightInd w:val="0"/>
                    <w:snapToGrid w:val="0"/>
                    <w:jc w:val="center"/>
                    <w:rPr>
                      <w:color w:val="auto"/>
                      <w:kern w:val="0"/>
                    </w:rPr>
                  </w:pPr>
                  <w:r>
                    <w:rPr>
                      <w:color w:val="auto"/>
                      <w:kern w:val="0"/>
                    </w:rPr>
                    <w:t>10</w:t>
                  </w:r>
                </w:p>
              </w:tc>
              <w:tc>
                <w:tcPr>
                  <w:tcW w:w="553" w:type="pct"/>
                  <w:tcBorders>
                    <w:tl2br w:val="nil"/>
                    <w:tr2bl w:val="nil"/>
                  </w:tcBorders>
                  <w:shd w:val="clear" w:color="auto" w:fill="auto"/>
                  <w:vAlign w:val="center"/>
                </w:tcPr>
                <w:p w14:paraId="3A84F8C7">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10</w:t>
                  </w:r>
                </w:p>
              </w:tc>
              <w:tc>
                <w:tcPr>
                  <w:tcW w:w="559" w:type="pct"/>
                  <w:tcBorders>
                    <w:tl2br w:val="nil"/>
                    <w:tr2bl w:val="nil"/>
                  </w:tcBorders>
                  <w:vAlign w:val="center"/>
                </w:tcPr>
                <w:p w14:paraId="3A84F8C8">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C9">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CA">
                  <w:pPr>
                    <w:adjustRightInd w:val="0"/>
                    <w:snapToGrid w:val="0"/>
                    <w:jc w:val="center"/>
                    <w:rPr>
                      <w:color w:val="auto"/>
                      <w:kern w:val="0"/>
                    </w:rPr>
                  </w:pPr>
                  <w:r>
                    <w:rPr>
                      <w:color w:val="auto"/>
                      <w:kern w:val="0"/>
                    </w:rPr>
                    <w:t>9kg/桶</w:t>
                  </w:r>
                </w:p>
              </w:tc>
              <w:tc>
                <w:tcPr>
                  <w:tcW w:w="554" w:type="pct"/>
                  <w:tcBorders>
                    <w:tl2br w:val="nil"/>
                    <w:tr2bl w:val="nil"/>
                  </w:tcBorders>
                  <w:vAlign w:val="center"/>
                </w:tcPr>
                <w:p w14:paraId="3A84F8CB">
                  <w:pPr>
                    <w:adjustRightInd w:val="0"/>
                    <w:snapToGrid w:val="0"/>
                    <w:jc w:val="center"/>
                    <w:rPr>
                      <w:color w:val="auto"/>
                      <w:kern w:val="0"/>
                    </w:rPr>
                  </w:pPr>
                  <w:r>
                    <w:rPr>
                      <w:color w:val="auto"/>
                      <w:kern w:val="0"/>
                    </w:rPr>
                    <w:t>2</w:t>
                  </w:r>
                </w:p>
              </w:tc>
            </w:tr>
            <w:tr w14:paraId="3A84F8D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CD">
                  <w:pPr>
                    <w:adjustRightInd w:val="0"/>
                    <w:snapToGrid w:val="0"/>
                    <w:jc w:val="center"/>
                    <w:rPr>
                      <w:color w:val="auto"/>
                      <w:kern w:val="0"/>
                    </w:rPr>
                  </w:pPr>
                  <w:r>
                    <w:rPr>
                      <w:color w:val="auto"/>
                      <w:kern w:val="0"/>
                    </w:rPr>
                    <w:t>产气药</w:t>
                  </w:r>
                </w:p>
              </w:tc>
              <w:tc>
                <w:tcPr>
                  <w:tcW w:w="673" w:type="pct"/>
                  <w:tcBorders>
                    <w:tl2br w:val="nil"/>
                    <w:tr2bl w:val="nil"/>
                  </w:tcBorders>
                  <w:vAlign w:val="center"/>
                </w:tcPr>
                <w:p w14:paraId="3A84F8CE">
                  <w:pPr>
                    <w:adjustRightInd w:val="0"/>
                    <w:snapToGrid w:val="0"/>
                    <w:jc w:val="center"/>
                    <w:rPr>
                      <w:color w:val="auto"/>
                      <w:kern w:val="0"/>
                    </w:rPr>
                  </w:pPr>
                  <w:r>
                    <w:rPr>
                      <w:color w:val="auto"/>
                      <w:kern w:val="0"/>
                    </w:rPr>
                    <w:t>硝酸胍、硝酸铜等</w:t>
                  </w:r>
                </w:p>
              </w:tc>
              <w:tc>
                <w:tcPr>
                  <w:tcW w:w="453" w:type="pct"/>
                  <w:tcBorders>
                    <w:tl2br w:val="nil"/>
                    <w:tr2bl w:val="nil"/>
                  </w:tcBorders>
                  <w:vAlign w:val="center"/>
                </w:tcPr>
                <w:p w14:paraId="4BE21D41">
                  <w:pPr>
                    <w:adjustRightInd w:val="0"/>
                    <w:snapToGrid w:val="0"/>
                    <w:jc w:val="center"/>
                    <w:rPr>
                      <w:rFonts w:hint="eastAsia" w:eastAsia="宋体"/>
                      <w:color w:val="auto"/>
                      <w:kern w:val="0"/>
                      <w:lang w:val="en-US" w:eastAsia="zh-CN"/>
                    </w:rPr>
                  </w:pPr>
                  <w:r>
                    <w:rPr>
                      <w:rFonts w:hint="eastAsia"/>
                      <w:color w:val="auto"/>
                      <w:kern w:val="0"/>
                      <w:lang w:val="en-US" w:eastAsia="zh-CN"/>
                    </w:rPr>
                    <w:t>吨</w:t>
                  </w:r>
                </w:p>
              </w:tc>
              <w:tc>
                <w:tcPr>
                  <w:tcW w:w="553" w:type="pct"/>
                  <w:tcBorders>
                    <w:tl2br w:val="nil"/>
                    <w:tr2bl w:val="nil"/>
                  </w:tcBorders>
                  <w:vAlign w:val="center"/>
                </w:tcPr>
                <w:p w14:paraId="3A84F8CF">
                  <w:pPr>
                    <w:adjustRightInd w:val="0"/>
                    <w:snapToGrid w:val="0"/>
                    <w:jc w:val="center"/>
                    <w:rPr>
                      <w:rFonts w:hint="default" w:eastAsia="宋体"/>
                      <w:color w:val="auto"/>
                      <w:kern w:val="0"/>
                      <w:lang w:val="en-US" w:eastAsia="zh-CN"/>
                    </w:rPr>
                  </w:pPr>
                  <w:r>
                    <w:rPr>
                      <w:rFonts w:hint="eastAsia"/>
                      <w:color w:val="auto"/>
                      <w:kern w:val="0"/>
                      <w:lang w:val="en-US" w:eastAsia="zh-CN"/>
                    </w:rPr>
                    <w:t>50</w:t>
                  </w:r>
                </w:p>
              </w:tc>
              <w:tc>
                <w:tcPr>
                  <w:tcW w:w="553" w:type="pct"/>
                  <w:tcBorders>
                    <w:tl2br w:val="nil"/>
                    <w:tr2bl w:val="nil"/>
                  </w:tcBorders>
                  <w:shd w:val="clear" w:color="auto" w:fill="auto"/>
                  <w:vAlign w:val="center"/>
                </w:tcPr>
                <w:p w14:paraId="3A84F8D0">
                  <w:pPr>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50</w:t>
                  </w:r>
                </w:p>
              </w:tc>
              <w:tc>
                <w:tcPr>
                  <w:tcW w:w="559" w:type="pct"/>
                  <w:tcBorders>
                    <w:tl2br w:val="nil"/>
                    <w:tr2bl w:val="nil"/>
                  </w:tcBorders>
                  <w:vAlign w:val="center"/>
                </w:tcPr>
                <w:p w14:paraId="3A84F8D1">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D2">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D3">
                  <w:pPr>
                    <w:adjustRightInd w:val="0"/>
                    <w:snapToGrid w:val="0"/>
                    <w:jc w:val="center"/>
                    <w:rPr>
                      <w:color w:val="auto"/>
                      <w:kern w:val="0"/>
                    </w:rPr>
                  </w:pPr>
                  <w:r>
                    <w:rPr>
                      <w:color w:val="auto"/>
                      <w:kern w:val="0"/>
                    </w:rPr>
                    <w:t>12kg/桶</w:t>
                  </w:r>
                </w:p>
              </w:tc>
              <w:tc>
                <w:tcPr>
                  <w:tcW w:w="554" w:type="pct"/>
                  <w:tcBorders>
                    <w:tl2br w:val="nil"/>
                    <w:tr2bl w:val="nil"/>
                  </w:tcBorders>
                  <w:vAlign w:val="center"/>
                </w:tcPr>
                <w:p w14:paraId="3A84F8D4">
                  <w:pPr>
                    <w:adjustRightInd w:val="0"/>
                    <w:snapToGrid w:val="0"/>
                    <w:jc w:val="center"/>
                    <w:rPr>
                      <w:color w:val="auto"/>
                      <w:kern w:val="0"/>
                    </w:rPr>
                  </w:pPr>
                  <w:r>
                    <w:rPr>
                      <w:color w:val="auto"/>
                      <w:kern w:val="0"/>
                    </w:rPr>
                    <w:t>4</w:t>
                  </w:r>
                </w:p>
              </w:tc>
            </w:tr>
            <w:tr w14:paraId="3A84F8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D6">
                  <w:pPr>
                    <w:adjustRightInd w:val="0"/>
                    <w:snapToGrid w:val="0"/>
                    <w:jc w:val="center"/>
                    <w:rPr>
                      <w:color w:val="auto"/>
                      <w:kern w:val="0"/>
                    </w:rPr>
                  </w:pPr>
                  <w:r>
                    <w:rPr>
                      <w:color w:val="auto"/>
                      <w:kern w:val="0"/>
                    </w:rPr>
                    <w:t>引爆器</w:t>
                  </w:r>
                </w:p>
              </w:tc>
              <w:tc>
                <w:tcPr>
                  <w:tcW w:w="673" w:type="pct"/>
                  <w:tcBorders>
                    <w:tl2br w:val="nil"/>
                    <w:tr2bl w:val="nil"/>
                  </w:tcBorders>
                  <w:vAlign w:val="center"/>
                </w:tcPr>
                <w:p w14:paraId="3A84F8D7">
                  <w:pPr>
                    <w:adjustRightInd w:val="0"/>
                    <w:snapToGrid w:val="0"/>
                    <w:jc w:val="center"/>
                    <w:rPr>
                      <w:color w:val="auto"/>
                      <w:kern w:val="0"/>
                    </w:rPr>
                  </w:pPr>
                  <w:r>
                    <w:rPr>
                      <w:color w:val="auto"/>
                      <w:kern w:val="0"/>
                    </w:rPr>
                    <w:t>/</w:t>
                  </w:r>
                </w:p>
              </w:tc>
              <w:tc>
                <w:tcPr>
                  <w:tcW w:w="453" w:type="pct"/>
                  <w:tcBorders>
                    <w:tl2br w:val="nil"/>
                    <w:tr2bl w:val="nil"/>
                  </w:tcBorders>
                  <w:vAlign w:val="center"/>
                </w:tcPr>
                <w:p w14:paraId="2911402D">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8D8">
                  <w:pPr>
                    <w:adjustRightInd w:val="0"/>
                    <w:snapToGrid w:val="0"/>
                    <w:jc w:val="center"/>
                    <w:rPr>
                      <w:color w:val="auto"/>
                      <w:kern w:val="0"/>
                    </w:rPr>
                  </w:pPr>
                  <w:r>
                    <w:rPr>
                      <w:rFonts w:hint="eastAsia"/>
                      <w:color w:val="auto"/>
                      <w:kern w:val="0"/>
                      <w:lang w:val="en-US" w:eastAsia="zh-CN"/>
                    </w:rPr>
                    <w:t>850</w:t>
                  </w:r>
                </w:p>
              </w:tc>
              <w:tc>
                <w:tcPr>
                  <w:tcW w:w="553" w:type="pct"/>
                  <w:tcBorders>
                    <w:tl2br w:val="nil"/>
                    <w:tr2bl w:val="nil"/>
                  </w:tcBorders>
                  <w:shd w:val="clear" w:color="auto" w:fill="auto"/>
                  <w:vAlign w:val="center"/>
                </w:tcPr>
                <w:p w14:paraId="3A84F8D9">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850</w:t>
                  </w:r>
                </w:p>
              </w:tc>
              <w:tc>
                <w:tcPr>
                  <w:tcW w:w="559" w:type="pct"/>
                  <w:tcBorders>
                    <w:tl2br w:val="nil"/>
                    <w:tr2bl w:val="nil"/>
                  </w:tcBorders>
                  <w:vAlign w:val="center"/>
                </w:tcPr>
                <w:p w14:paraId="3A84F8DA">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DB">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DC">
                  <w:pPr>
                    <w:adjustRightInd w:val="0"/>
                    <w:snapToGrid w:val="0"/>
                    <w:jc w:val="center"/>
                    <w:rPr>
                      <w:color w:val="auto"/>
                      <w:kern w:val="0"/>
                    </w:rPr>
                  </w:pPr>
                  <w:r>
                    <w:rPr>
                      <w:color w:val="auto"/>
                      <w:kern w:val="0"/>
                    </w:rPr>
                    <w:t>752枚/箱</w:t>
                  </w:r>
                </w:p>
              </w:tc>
              <w:tc>
                <w:tcPr>
                  <w:tcW w:w="554" w:type="pct"/>
                  <w:tcBorders>
                    <w:tl2br w:val="nil"/>
                    <w:tr2bl w:val="nil"/>
                  </w:tcBorders>
                  <w:vAlign w:val="center"/>
                </w:tcPr>
                <w:p w14:paraId="3A84F8DD">
                  <w:pPr>
                    <w:adjustRightInd w:val="0"/>
                    <w:snapToGrid w:val="0"/>
                    <w:jc w:val="center"/>
                    <w:rPr>
                      <w:color w:val="auto"/>
                      <w:kern w:val="0"/>
                    </w:rPr>
                  </w:pPr>
                  <w:r>
                    <w:rPr>
                      <w:color w:val="auto"/>
                      <w:kern w:val="0"/>
                    </w:rPr>
                    <w:t>100</w:t>
                  </w:r>
                </w:p>
              </w:tc>
            </w:tr>
            <w:tr w14:paraId="3447377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2653EB18">
                  <w:pPr>
                    <w:adjustRightInd w:val="0"/>
                    <w:snapToGrid w:val="0"/>
                    <w:jc w:val="center"/>
                    <w:rPr>
                      <w:rFonts w:hint="default" w:eastAsia="宋体"/>
                      <w:color w:val="auto"/>
                      <w:kern w:val="0"/>
                      <w:lang w:val="en-US" w:eastAsia="zh-CN"/>
                    </w:rPr>
                  </w:pPr>
                  <w:r>
                    <w:rPr>
                      <w:rFonts w:hint="eastAsia"/>
                      <w:color w:val="auto"/>
                      <w:kern w:val="0"/>
                      <w:lang w:val="en-US" w:eastAsia="zh-CN"/>
                    </w:rPr>
                    <w:t>短路片</w:t>
                  </w:r>
                </w:p>
              </w:tc>
              <w:tc>
                <w:tcPr>
                  <w:tcW w:w="673" w:type="pct"/>
                  <w:tcBorders>
                    <w:tl2br w:val="nil"/>
                    <w:tr2bl w:val="nil"/>
                  </w:tcBorders>
                  <w:vAlign w:val="center"/>
                </w:tcPr>
                <w:p w14:paraId="45CE9CC3">
                  <w:pPr>
                    <w:adjustRightInd w:val="0"/>
                    <w:snapToGrid w:val="0"/>
                    <w:jc w:val="center"/>
                    <w:rPr>
                      <w:rFonts w:hint="eastAsia" w:eastAsia="宋体"/>
                      <w:color w:val="auto"/>
                      <w:kern w:val="0"/>
                      <w:lang w:val="en-US" w:eastAsia="zh-CN"/>
                    </w:rPr>
                  </w:pPr>
                  <w:r>
                    <w:rPr>
                      <w:rFonts w:hint="eastAsia"/>
                      <w:color w:val="auto"/>
                      <w:kern w:val="0"/>
                      <w:lang w:val="en-US" w:eastAsia="zh-CN"/>
                    </w:rPr>
                    <w:t>/</w:t>
                  </w:r>
                </w:p>
              </w:tc>
              <w:tc>
                <w:tcPr>
                  <w:tcW w:w="453" w:type="pct"/>
                  <w:tcBorders>
                    <w:tl2br w:val="nil"/>
                    <w:tr2bl w:val="nil"/>
                  </w:tcBorders>
                  <w:vAlign w:val="center"/>
                </w:tcPr>
                <w:p w14:paraId="506C7526">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13CD351B">
                  <w:pPr>
                    <w:adjustRightInd w:val="0"/>
                    <w:snapToGrid w:val="0"/>
                    <w:jc w:val="center"/>
                    <w:rPr>
                      <w:color w:val="auto"/>
                      <w:kern w:val="0"/>
                    </w:rPr>
                  </w:pPr>
                  <w:r>
                    <w:rPr>
                      <w:rFonts w:hint="eastAsia"/>
                      <w:color w:val="auto"/>
                      <w:kern w:val="0"/>
                      <w:lang w:val="en-US" w:eastAsia="zh-CN"/>
                    </w:rPr>
                    <w:t>850</w:t>
                  </w:r>
                </w:p>
              </w:tc>
              <w:tc>
                <w:tcPr>
                  <w:tcW w:w="553" w:type="pct"/>
                  <w:tcBorders>
                    <w:tl2br w:val="nil"/>
                    <w:tr2bl w:val="nil"/>
                  </w:tcBorders>
                  <w:shd w:val="clear" w:color="auto" w:fill="auto"/>
                  <w:vAlign w:val="center"/>
                </w:tcPr>
                <w:p w14:paraId="6DBD0CAC">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850</w:t>
                  </w:r>
                </w:p>
              </w:tc>
              <w:tc>
                <w:tcPr>
                  <w:tcW w:w="559" w:type="pct"/>
                  <w:tcBorders>
                    <w:tl2br w:val="nil"/>
                    <w:tr2bl w:val="nil"/>
                  </w:tcBorders>
                  <w:vAlign w:val="center"/>
                </w:tcPr>
                <w:p w14:paraId="180E7037">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07C9043A">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7DC05170">
                  <w:pPr>
                    <w:adjustRightInd w:val="0"/>
                    <w:snapToGrid w:val="0"/>
                    <w:jc w:val="center"/>
                    <w:rPr>
                      <w:rFonts w:hint="default" w:eastAsia="宋体"/>
                      <w:color w:val="auto"/>
                      <w:kern w:val="0"/>
                      <w:lang w:val="en-US" w:eastAsia="zh-CN"/>
                    </w:rPr>
                  </w:pPr>
                  <w:r>
                    <w:rPr>
                      <w:rFonts w:hint="eastAsia"/>
                      <w:color w:val="auto"/>
                      <w:kern w:val="0"/>
                      <w:lang w:val="en-US" w:eastAsia="zh-CN"/>
                    </w:rPr>
                    <w:t>4000枚/箱</w:t>
                  </w:r>
                </w:p>
              </w:tc>
              <w:tc>
                <w:tcPr>
                  <w:tcW w:w="554" w:type="pct"/>
                  <w:tcBorders>
                    <w:tl2br w:val="nil"/>
                    <w:tr2bl w:val="nil"/>
                  </w:tcBorders>
                  <w:vAlign w:val="center"/>
                </w:tcPr>
                <w:p w14:paraId="5EB2D551">
                  <w:pPr>
                    <w:adjustRightInd w:val="0"/>
                    <w:snapToGrid w:val="0"/>
                    <w:jc w:val="center"/>
                    <w:rPr>
                      <w:rFonts w:hint="default" w:eastAsia="宋体"/>
                      <w:color w:val="auto"/>
                      <w:kern w:val="0"/>
                      <w:lang w:val="en-US" w:eastAsia="zh-CN"/>
                    </w:rPr>
                  </w:pPr>
                  <w:r>
                    <w:rPr>
                      <w:rFonts w:hint="eastAsia"/>
                      <w:color w:val="auto"/>
                      <w:kern w:val="0"/>
                      <w:lang w:val="en-US" w:eastAsia="zh-CN"/>
                    </w:rPr>
                    <w:t>100</w:t>
                  </w:r>
                </w:p>
              </w:tc>
            </w:tr>
            <w:tr w14:paraId="4B41EA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10"/>
                  <w:tcBorders>
                    <w:tl2br w:val="nil"/>
                    <w:tr2bl w:val="nil"/>
                  </w:tcBorders>
                  <w:vAlign w:val="center"/>
                </w:tcPr>
                <w:p w14:paraId="76F84E97">
                  <w:pPr>
                    <w:adjustRightInd w:val="0"/>
                    <w:snapToGrid w:val="0"/>
                    <w:jc w:val="center"/>
                    <w:rPr>
                      <w:rFonts w:hint="eastAsia"/>
                      <w:b/>
                      <w:bCs/>
                      <w:color w:val="auto"/>
                      <w:kern w:val="0"/>
                    </w:rPr>
                  </w:pPr>
                  <w:r>
                    <w:rPr>
                      <w:rFonts w:hint="eastAsia"/>
                      <w:b/>
                      <w:bCs/>
                      <w:color w:val="auto"/>
                      <w:kern w:val="0"/>
                    </w:rPr>
                    <w:t>⑦</w:t>
                  </w:r>
                  <w:r>
                    <w:rPr>
                      <w:b/>
                      <w:bCs/>
                      <w:color w:val="auto"/>
                      <w:kern w:val="0"/>
                    </w:rPr>
                    <w:t>小型气体发生器PSS4电源切断器</w:t>
                  </w:r>
                </w:p>
              </w:tc>
            </w:tr>
            <w:tr w14:paraId="3A84F8E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E1">
                  <w:pPr>
                    <w:adjustRightInd w:val="0"/>
                    <w:snapToGrid w:val="0"/>
                    <w:jc w:val="center"/>
                    <w:rPr>
                      <w:color w:val="auto"/>
                      <w:kern w:val="0"/>
                    </w:rPr>
                  </w:pPr>
                  <w:r>
                    <w:rPr>
                      <w:color w:val="auto"/>
                      <w:kern w:val="0"/>
                    </w:rPr>
                    <w:t>点火具</w:t>
                  </w:r>
                </w:p>
              </w:tc>
              <w:tc>
                <w:tcPr>
                  <w:tcW w:w="673" w:type="pct"/>
                  <w:tcBorders>
                    <w:tl2br w:val="nil"/>
                    <w:tr2bl w:val="nil"/>
                  </w:tcBorders>
                  <w:vAlign w:val="center"/>
                </w:tcPr>
                <w:p w14:paraId="3A84F8E2">
                  <w:pPr>
                    <w:adjustRightInd w:val="0"/>
                    <w:snapToGrid w:val="0"/>
                    <w:jc w:val="center"/>
                    <w:rPr>
                      <w:color w:val="auto"/>
                      <w:kern w:val="0"/>
                    </w:rPr>
                  </w:pPr>
                  <w:r>
                    <w:rPr>
                      <w:color w:val="auto"/>
                      <w:kern w:val="0"/>
                    </w:rPr>
                    <w:t>/</w:t>
                  </w:r>
                </w:p>
              </w:tc>
              <w:tc>
                <w:tcPr>
                  <w:tcW w:w="453" w:type="pct"/>
                  <w:tcBorders>
                    <w:tl2br w:val="nil"/>
                    <w:tr2bl w:val="nil"/>
                  </w:tcBorders>
                  <w:vAlign w:val="center"/>
                </w:tcPr>
                <w:p w14:paraId="6B02F4B9">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8E3">
                  <w:pPr>
                    <w:adjustRightInd w:val="0"/>
                    <w:snapToGrid w:val="0"/>
                    <w:jc w:val="center"/>
                    <w:rPr>
                      <w:rFonts w:hint="default" w:eastAsia="宋体"/>
                      <w:color w:val="auto"/>
                      <w:kern w:val="0"/>
                      <w:lang w:val="en-US" w:eastAsia="zh-CN"/>
                    </w:rPr>
                  </w:pPr>
                  <w:r>
                    <w:rPr>
                      <w:rFonts w:hint="eastAsia"/>
                      <w:color w:val="auto"/>
                      <w:kern w:val="0"/>
                      <w:lang w:val="en-US" w:eastAsia="zh-CN"/>
                    </w:rPr>
                    <w:t>210</w:t>
                  </w:r>
                </w:p>
              </w:tc>
              <w:tc>
                <w:tcPr>
                  <w:tcW w:w="553" w:type="pct"/>
                  <w:tcBorders>
                    <w:tl2br w:val="nil"/>
                    <w:tr2bl w:val="nil"/>
                  </w:tcBorders>
                  <w:vAlign w:val="center"/>
                </w:tcPr>
                <w:p w14:paraId="3A84F8E4">
                  <w:pPr>
                    <w:adjustRightInd w:val="0"/>
                    <w:snapToGrid w:val="0"/>
                    <w:jc w:val="center"/>
                    <w:rPr>
                      <w:color w:val="auto"/>
                      <w:kern w:val="0"/>
                    </w:rPr>
                  </w:pPr>
                  <w:r>
                    <w:rPr>
                      <w:rFonts w:hint="eastAsia"/>
                      <w:color w:val="auto"/>
                      <w:kern w:val="0"/>
                      <w:lang w:val="en-US" w:eastAsia="zh-CN"/>
                    </w:rPr>
                    <w:t>210</w:t>
                  </w:r>
                </w:p>
              </w:tc>
              <w:tc>
                <w:tcPr>
                  <w:tcW w:w="559" w:type="pct"/>
                  <w:tcBorders>
                    <w:tl2br w:val="nil"/>
                    <w:tr2bl w:val="nil"/>
                  </w:tcBorders>
                  <w:vAlign w:val="center"/>
                </w:tcPr>
                <w:p w14:paraId="3A84F8E5">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E6">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E7">
                  <w:pPr>
                    <w:adjustRightInd w:val="0"/>
                    <w:snapToGrid w:val="0"/>
                    <w:jc w:val="center"/>
                    <w:rPr>
                      <w:color w:val="auto"/>
                      <w:kern w:val="0"/>
                    </w:rPr>
                  </w:pPr>
                  <w:r>
                    <w:rPr>
                      <w:color w:val="auto"/>
                      <w:kern w:val="0"/>
                    </w:rPr>
                    <w:t>752枚/箱</w:t>
                  </w:r>
                </w:p>
              </w:tc>
              <w:tc>
                <w:tcPr>
                  <w:tcW w:w="554" w:type="pct"/>
                  <w:tcBorders>
                    <w:tl2br w:val="nil"/>
                    <w:tr2bl w:val="nil"/>
                  </w:tcBorders>
                  <w:vAlign w:val="center"/>
                </w:tcPr>
                <w:p w14:paraId="3A84F8E8">
                  <w:pPr>
                    <w:adjustRightInd w:val="0"/>
                    <w:snapToGrid w:val="0"/>
                    <w:jc w:val="center"/>
                    <w:rPr>
                      <w:color w:val="auto"/>
                      <w:kern w:val="0"/>
                    </w:rPr>
                  </w:pPr>
                  <w:r>
                    <w:rPr>
                      <w:color w:val="auto"/>
                      <w:kern w:val="0"/>
                    </w:rPr>
                    <w:t>50</w:t>
                  </w:r>
                </w:p>
              </w:tc>
            </w:tr>
            <w:tr w14:paraId="3A84F8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EA">
                  <w:pPr>
                    <w:adjustRightInd w:val="0"/>
                    <w:snapToGrid w:val="0"/>
                    <w:jc w:val="center"/>
                    <w:rPr>
                      <w:color w:val="auto"/>
                      <w:kern w:val="0"/>
                    </w:rPr>
                  </w:pPr>
                  <w:r>
                    <w:rPr>
                      <w:color w:val="auto"/>
                      <w:kern w:val="0"/>
                    </w:rPr>
                    <w:t>基板</w:t>
                  </w:r>
                </w:p>
              </w:tc>
              <w:tc>
                <w:tcPr>
                  <w:tcW w:w="673" w:type="pct"/>
                  <w:tcBorders>
                    <w:tl2br w:val="nil"/>
                    <w:tr2bl w:val="nil"/>
                  </w:tcBorders>
                </w:tcPr>
                <w:p w14:paraId="3A84F8EB">
                  <w:pPr>
                    <w:adjustRightInd w:val="0"/>
                    <w:snapToGrid w:val="0"/>
                    <w:jc w:val="center"/>
                    <w:rPr>
                      <w:color w:val="auto"/>
                      <w:kern w:val="0"/>
                    </w:rPr>
                  </w:pPr>
                  <w:r>
                    <w:rPr>
                      <w:color w:val="auto"/>
                      <w:kern w:val="0"/>
                    </w:rPr>
                    <w:t>/</w:t>
                  </w:r>
                </w:p>
              </w:tc>
              <w:tc>
                <w:tcPr>
                  <w:tcW w:w="453" w:type="pct"/>
                  <w:tcBorders>
                    <w:tl2br w:val="nil"/>
                    <w:tr2bl w:val="nil"/>
                  </w:tcBorders>
                  <w:vAlign w:val="center"/>
                </w:tcPr>
                <w:p w14:paraId="77DEDC4F">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8EC">
                  <w:pPr>
                    <w:adjustRightInd w:val="0"/>
                    <w:snapToGrid w:val="0"/>
                    <w:jc w:val="center"/>
                    <w:rPr>
                      <w:rFonts w:hint="default" w:eastAsia="宋体"/>
                      <w:color w:val="auto"/>
                      <w:kern w:val="0"/>
                      <w:lang w:val="en-US" w:eastAsia="zh-CN"/>
                    </w:rPr>
                  </w:pPr>
                  <w:r>
                    <w:rPr>
                      <w:rFonts w:hint="eastAsia"/>
                      <w:color w:val="auto"/>
                      <w:kern w:val="0"/>
                      <w:lang w:val="en-US" w:eastAsia="zh-CN"/>
                    </w:rPr>
                    <w:t>210</w:t>
                  </w:r>
                </w:p>
              </w:tc>
              <w:tc>
                <w:tcPr>
                  <w:tcW w:w="553" w:type="pct"/>
                  <w:tcBorders>
                    <w:tl2br w:val="nil"/>
                    <w:tr2bl w:val="nil"/>
                  </w:tcBorders>
                  <w:vAlign w:val="center"/>
                </w:tcPr>
                <w:p w14:paraId="3A84F8ED">
                  <w:pPr>
                    <w:adjustRightInd w:val="0"/>
                    <w:snapToGrid w:val="0"/>
                    <w:jc w:val="center"/>
                    <w:rPr>
                      <w:color w:val="auto"/>
                      <w:kern w:val="0"/>
                    </w:rPr>
                  </w:pPr>
                  <w:r>
                    <w:rPr>
                      <w:rFonts w:hint="eastAsia"/>
                      <w:color w:val="auto"/>
                      <w:kern w:val="0"/>
                      <w:lang w:val="en-US" w:eastAsia="zh-CN"/>
                    </w:rPr>
                    <w:t>210</w:t>
                  </w:r>
                </w:p>
              </w:tc>
              <w:tc>
                <w:tcPr>
                  <w:tcW w:w="559" w:type="pct"/>
                  <w:tcBorders>
                    <w:tl2br w:val="nil"/>
                    <w:tr2bl w:val="nil"/>
                  </w:tcBorders>
                  <w:vAlign w:val="center"/>
                </w:tcPr>
                <w:p w14:paraId="3A84F8EE">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EF">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F0">
                  <w:pPr>
                    <w:adjustRightInd w:val="0"/>
                    <w:snapToGrid w:val="0"/>
                    <w:jc w:val="center"/>
                    <w:rPr>
                      <w:color w:val="auto"/>
                      <w:kern w:val="0"/>
                    </w:rPr>
                  </w:pPr>
                  <w:r>
                    <w:rPr>
                      <w:color w:val="auto"/>
                      <w:kern w:val="0"/>
                    </w:rPr>
                    <w:t>100枚/箱</w:t>
                  </w:r>
                </w:p>
              </w:tc>
              <w:tc>
                <w:tcPr>
                  <w:tcW w:w="554" w:type="pct"/>
                  <w:tcBorders>
                    <w:tl2br w:val="nil"/>
                    <w:tr2bl w:val="nil"/>
                  </w:tcBorders>
                  <w:vAlign w:val="center"/>
                </w:tcPr>
                <w:p w14:paraId="3A84F8F1">
                  <w:pPr>
                    <w:adjustRightInd w:val="0"/>
                    <w:snapToGrid w:val="0"/>
                    <w:jc w:val="center"/>
                    <w:rPr>
                      <w:color w:val="auto"/>
                      <w:kern w:val="0"/>
                    </w:rPr>
                  </w:pPr>
                  <w:r>
                    <w:rPr>
                      <w:color w:val="auto"/>
                      <w:kern w:val="0"/>
                    </w:rPr>
                    <w:t>20</w:t>
                  </w:r>
                </w:p>
              </w:tc>
            </w:tr>
            <w:tr w14:paraId="3A84F8F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F3">
                  <w:pPr>
                    <w:adjustRightInd w:val="0"/>
                    <w:snapToGrid w:val="0"/>
                    <w:jc w:val="center"/>
                    <w:rPr>
                      <w:color w:val="auto"/>
                      <w:kern w:val="0"/>
                    </w:rPr>
                  </w:pPr>
                  <w:r>
                    <w:rPr>
                      <w:color w:val="auto"/>
                      <w:kern w:val="0"/>
                    </w:rPr>
                    <w:t>尼龙</w:t>
                  </w:r>
                </w:p>
              </w:tc>
              <w:tc>
                <w:tcPr>
                  <w:tcW w:w="673" w:type="pct"/>
                  <w:tcBorders>
                    <w:tl2br w:val="nil"/>
                    <w:tr2bl w:val="nil"/>
                  </w:tcBorders>
                </w:tcPr>
                <w:p w14:paraId="3A84F8F4">
                  <w:pPr>
                    <w:adjustRightInd w:val="0"/>
                    <w:snapToGrid w:val="0"/>
                    <w:jc w:val="center"/>
                    <w:rPr>
                      <w:color w:val="auto"/>
                      <w:kern w:val="0"/>
                    </w:rPr>
                  </w:pPr>
                  <w:r>
                    <w:rPr>
                      <w:color w:val="auto"/>
                      <w:kern w:val="0"/>
                    </w:rPr>
                    <w:t>/</w:t>
                  </w:r>
                </w:p>
              </w:tc>
              <w:tc>
                <w:tcPr>
                  <w:tcW w:w="453" w:type="pct"/>
                  <w:tcBorders>
                    <w:tl2br w:val="nil"/>
                    <w:tr2bl w:val="nil"/>
                  </w:tcBorders>
                  <w:vAlign w:val="center"/>
                </w:tcPr>
                <w:p w14:paraId="1BCA07E5">
                  <w:pPr>
                    <w:adjustRightInd w:val="0"/>
                    <w:snapToGrid w:val="0"/>
                    <w:jc w:val="center"/>
                    <w:rPr>
                      <w:rFonts w:hint="eastAsia" w:eastAsia="宋体"/>
                      <w:color w:val="auto"/>
                      <w:kern w:val="0"/>
                      <w:lang w:val="en-US" w:eastAsia="zh-CN"/>
                    </w:rPr>
                  </w:pPr>
                  <w:r>
                    <w:rPr>
                      <w:rFonts w:hint="eastAsia"/>
                      <w:color w:val="auto"/>
                      <w:kern w:val="0"/>
                      <w:lang w:val="en-US" w:eastAsia="zh-CN"/>
                    </w:rPr>
                    <w:t>吨</w:t>
                  </w:r>
                </w:p>
              </w:tc>
              <w:tc>
                <w:tcPr>
                  <w:tcW w:w="553" w:type="pct"/>
                  <w:tcBorders>
                    <w:tl2br w:val="nil"/>
                    <w:tr2bl w:val="nil"/>
                  </w:tcBorders>
                  <w:vAlign w:val="center"/>
                </w:tcPr>
                <w:p w14:paraId="3A84F8F5">
                  <w:pPr>
                    <w:adjustRightInd w:val="0"/>
                    <w:snapToGrid w:val="0"/>
                    <w:jc w:val="center"/>
                    <w:rPr>
                      <w:color w:val="auto"/>
                      <w:kern w:val="0"/>
                    </w:rPr>
                  </w:pPr>
                  <w:r>
                    <w:rPr>
                      <w:color w:val="auto"/>
                      <w:kern w:val="0"/>
                    </w:rPr>
                    <w:t>60</w:t>
                  </w:r>
                </w:p>
              </w:tc>
              <w:tc>
                <w:tcPr>
                  <w:tcW w:w="553" w:type="pct"/>
                  <w:tcBorders>
                    <w:tl2br w:val="nil"/>
                    <w:tr2bl w:val="nil"/>
                  </w:tcBorders>
                  <w:vAlign w:val="center"/>
                </w:tcPr>
                <w:p w14:paraId="3A84F8F6">
                  <w:pPr>
                    <w:adjustRightInd w:val="0"/>
                    <w:snapToGrid w:val="0"/>
                    <w:jc w:val="center"/>
                    <w:rPr>
                      <w:color w:val="auto"/>
                      <w:kern w:val="0"/>
                    </w:rPr>
                  </w:pPr>
                  <w:r>
                    <w:rPr>
                      <w:color w:val="auto"/>
                      <w:kern w:val="0"/>
                    </w:rPr>
                    <w:t>60</w:t>
                  </w:r>
                </w:p>
              </w:tc>
              <w:tc>
                <w:tcPr>
                  <w:tcW w:w="559" w:type="pct"/>
                  <w:tcBorders>
                    <w:tl2br w:val="nil"/>
                    <w:tr2bl w:val="nil"/>
                  </w:tcBorders>
                  <w:vAlign w:val="center"/>
                </w:tcPr>
                <w:p w14:paraId="3A84F8F7">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8F8">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8F9">
                  <w:pPr>
                    <w:adjustRightInd w:val="0"/>
                    <w:snapToGrid w:val="0"/>
                    <w:jc w:val="center"/>
                    <w:rPr>
                      <w:color w:val="auto"/>
                      <w:kern w:val="0"/>
                    </w:rPr>
                  </w:pPr>
                  <w:r>
                    <w:rPr>
                      <w:color w:val="auto"/>
                      <w:kern w:val="0"/>
                    </w:rPr>
                    <w:t>25kg/袋</w:t>
                  </w:r>
                </w:p>
              </w:tc>
              <w:tc>
                <w:tcPr>
                  <w:tcW w:w="554" w:type="pct"/>
                  <w:tcBorders>
                    <w:tl2br w:val="nil"/>
                    <w:tr2bl w:val="nil"/>
                  </w:tcBorders>
                  <w:vAlign w:val="center"/>
                </w:tcPr>
                <w:p w14:paraId="3A84F8FA">
                  <w:pPr>
                    <w:adjustRightInd w:val="0"/>
                    <w:snapToGrid w:val="0"/>
                    <w:jc w:val="center"/>
                    <w:rPr>
                      <w:color w:val="auto"/>
                      <w:kern w:val="0"/>
                    </w:rPr>
                  </w:pPr>
                  <w:r>
                    <w:rPr>
                      <w:color w:val="auto"/>
                      <w:kern w:val="0"/>
                    </w:rPr>
                    <w:t>20</w:t>
                  </w:r>
                </w:p>
              </w:tc>
            </w:tr>
            <w:tr w14:paraId="3A84F9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8FC">
                  <w:pPr>
                    <w:adjustRightInd w:val="0"/>
                    <w:snapToGrid w:val="0"/>
                    <w:jc w:val="center"/>
                    <w:rPr>
                      <w:color w:val="auto"/>
                      <w:kern w:val="0"/>
                    </w:rPr>
                  </w:pPr>
                  <w:r>
                    <w:rPr>
                      <w:color w:val="auto"/>
                      <w:kern w:val="0"/>
                    </w:rPr>
                    <w:t>活塞</w:t>
                  </w:r>
                </w:p>
              </w:tc>
              <w:tc>
                <w:tcPr>
                  <w:tcW w:w="673" w:type="pct"/>
                  <w:tcBorders>
                    <w:tl2br w:val="nil"/>
                    <w:tr2bl w:val="nil"/>
                  </w:tcBorders>
                </w:tcPr>
                <w:p w14:paraId="3A84F8FD">
                  <w:pPr>
                    <w:adjustRightInd w:val="0"/>
                    <w:snapToGrid w:val="0"/>
                    <w:jc w:val="center"/>
                    <w:rPr>
                      <w:color w:val="auto"/>
                      <w:kern w:val="0"/>
                    </w:rPr>
                  </w:pPr>
                  <w:r>
                    <w:rPr>
                      <w:color w:val="auto"/>
                      <w:kern w:val="0"/>
                    </w:rPr>
                    <w:t>/</w:t>
                  </w:r>
                </w:p>
              </w:tc>
              <w:tc>
                <w:tcPr>
                  <w:tcW w:w="453" w:type="pct"/>
                  <w:tcBorders>
                    <w:tl2br w:val="nil"/>
                    <w:tr2bl w:val="nil"/>
                  </w:tcBorders>
                  <w:vAlign w:val="center"/>
                </w:tcPr>
                <w:p w14:paraId="5B6BF18F">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8FE">
                  <w:pPr>
                    <w:adjustRightInd w:val="0"/>
                    <w:snapToGrid w:val="0"/>
                    <w:jc w:val="center"/>
                    <w:rPr>
                      <w:color w:val="auto"/>
                      <w:kern w:val="0"/>
                    </w:rPr>
                  </w:pPr>
                  <w:r>
                    <w:rPr>
                      <w:rFonts w:hint="eastAsia"/>
                      <w:color w:val="auto"/>
                      <w:kern w:val="0"/>
                      <w:lang w:val="en-US" w:eastAsia="zh-CN"/>
                    </w:rPr>
                    <w:t>210</w:t>
                  </w:r>
                </w:p>
              </w:tc>
              <w:tc>
                <w:tcPr>
                  <w:tcW w:w="553" w:type="pct"/>
                  <w:tcBorders>
                    <w:tl2br w:val="nil"/>
                    <w:tr2bl w:val="nil"/>
                  </w:tcBorders>
                  <w:vAlign w:val="center"/>
                </w:tcPr>
                <w:p w14:paraId="3A84F8FF">
                  <w:pPr>
                    <w:adjustRightInd w:val="0"/>
                    <w:snapToGrid w:val="0"/>
                    <w:jc w:val="center"/>
                    <w:rPr>
                      <w:color w:val="auto"/>
                      <w:kern w:val="0"/>
                    </w:rPr>
                  </w:pPr>
                  <w:r>
                    <w:rPr>
                      <w:rFonts w:hint="eastAsia"/>
                      <w:color w:val="auto"/>
                      <w:kern w:val="0"/>
                      <w:lang w:val="en-US" w:eastAsia="zh-CN"/>
                    </w:rPr>
                    <w:t>210</w:t>
                  </w:r>
                </w:p>
              </w:tc>
              <w:tc>
                <w:tcPr>
                  <w:tcW w:w="559" w:type="pct"/>
                  <w:tcBorders>
                    <w:tl2br w:val="nil"/>
                    <w:tr2bl w:val="nil"/>
                  </w:tcBorders>
                  <w:vAlign w:val="center"/>
                </w:tcPr>
                <w:p w14:paraId="3A84F900">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901">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902">
                  <w:pPr>
                    <w:adjustRightInd w:val="0"/>
                    <w:snapToGrid w:val="0"/>
                    <w:jc w:val="center"/>
                    <w:rPr>
                      <w:color w:val="auto"/>
                      <w:kern w:val="0"/>
                    </w:rPr>
                  </w:pPr>
                  <w:r>
                    <w:rPr>
                      <w:color w:val="auto"/>
                      <w:kern w:val="0"/>
                    </w:rPr>
                    <w:t>5000枚/箱</w:t>
                  </w:r>
                </w:p>
              </w:tc>
              <w:tc>
                <w:tcPr>
                  <w:tcW w:w="554" w:type="pct"/>
                  <w:tcBorders>
                    <w:tl2br w:val="nil"/>
                    <w:tr2bl w:val="nil"/>
                  </w:tcBorders>
                </w:tcPr>
                <w:p w14:paraId="3A84F903">
                  <w:pPr>
                    <w:adjustRightInd w:val="0"/>
                    <w:snapToGrid w:val="0"/>
                    <w:jc w:val="center"/>
                    <w:rPr>
                      <w:color w:val="auto"/>
                      <w:kern w:val="0"/>
                    </w:rPr>
                  </w:pPr>
                  <w:r>
                    <w:rPr>
                      <w:color w:val="auto"/>
                      <w:kern w:val="0"/>
                    </w:rPr>
                    <w:t>50</w:t>
                  </w:r>
                </w:p>
              </w:tc>
            </w:tr>
            <w:tr w14:paraId="3A84F90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905">
                  <w:pPr>
                    <w:adjustRightInd w:val="0"/>
                    <w:snapToGrid w:val="0"/>
                    <w:jc w:val="center"/>
                    <w:rPr>
                      <w:color w:val="auto"/>
                      <w:kern w:val="0"/>
                    </w:rPr>
                  </w:pPr>
                  <w:r>
                    <w:rPr>
                      <w:color w:val="auto"/>
                      <w:kern w:val="0"/>
                    </w:rPr>
                    <w:t>密封圈</w:t>
                  </w:r>
                </w:p>
              </w:tc>
              <w:tc>
                <w:tcPr>
                  <w:tcW w:w="673" w:type="pct"/>
                  <w:tcBorders>
                    <w:tl2br w:val="nil"/>
                    <w:tr2bl w:val="nil"/>
                  </w:tcBorders>
                </w:tcPr>
                <w:p w14:paraId="3A84F906">
                  <w:pPr>
                    <w:adjustRightInd w:val="0"/>
                    <w:snapToGrid w:val="0"/>
                    <w:jc w:val="center"/>
                    <w:rPr>
                      <w:color w:val="auto"/>
                      <w:kern w:val="0"/>
                    </w:rPr>
                  </w:pPr>
                  <w:r>
                    <w:rPr>
                      <w:color w:val="auto"/>
                      <w:kern w:val="0"/>
                    </w:rPr>
                    <w:t>/</w:t>
                  </w:r>
                </w:p>
              </w:tc>
              <w:tc>
                <w:tcPr>
                  <w:tcW w:w="453" w:type="pct"/>
                  <w:tcBorders>
                    <w:tl2br w:val="nil"/>
                    <w:tr2bl w:val="nil"/>
                  </w:tcBorders>
                  <w:vAlign w:val="center"/>
                </w:tcPr>
                <w:p w14:paraId="32136DA6">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907">
                  <w:pPr>
                    <w:adjustRightInd w:val="0"/>
                    <w:snapToGrid w:val="0"/>
                    <w:jc w:val="center"/>
                    <w:rPr>
                      <w:color w:val="auto"/>
                      <w:kern w:val="0"/>
                    </w:rPr>
                  </w:pPr>
                  <w:r>
                    <w:rPr>
                      <w:rFonts w:hint="eastAsia"/>
                      <w:color w:val="auto"/>
                      <w:kern w:val="0"/>
                      <w:lang w:val="en-US" w:eastAsia="zh-CN"/>
                    </w:rPr>
                    <w:t>210</w:t>
                  </w:r>
                </w:p>
              </w:tc>
              <w:tc>
                <w:tcPr>
                  <w:tcW w:w="553" w:type="pct"/>
                  <w:tcBorders>
                    <w:tl2br w:val="nil"/>
                    <w:tr2bl w:val="nil"/>
                  </w:tcBorders>
                  <w:vAlign w:val="center"/>
                </w:tcPr>
                <w:p w14:paraId="3A84F908">
                  <w:pPr>
                    <w:adjustRightInd w:val="0"/>
                    <w:snapToGrid w:val="0"/>
                    <w:jc w:val="center"/>
                    <w:rPr>
                      <w:color w:val="auto"/>
                      <w:kern w:val="0"/>
                    </w:rPr>
                  </w:pPr>
                  <w:r>
                    <w:rPr>
                      <w:rFonts w:hint="eastAsia"/>
                      <w:color w:val="auto"/>
                      <w:kern w:val="0"/>
                      <w:lang w:val="en-US" w:eastAsia="zh-CN"/>
                    </w:rPr>
                    <w:t>210</w:t>
                  </w:r>
                </w:p>
              </w:tc>
              <w:tc>
                <w:tcPr>
                  <w:tcW w:w="559" w:type="pct"/>
                  <w:tcBorders>
                    <w:tl2br w:val="nil"/>
                    <w:tr2bl w:val="nil"/>
                  </w:tcBorders>
                  <w:vAlign w:val="center"/>
                </w:tcPr>
                <w:p w14:paraId="3A84F909">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90A">
                  <w:pPr>
                    <w:adjustRightInd w:val="0"/>
                    <w:snapToGrid w:val="0"/>
                    <w:jc w:val="center"/>
                    <w:rPr>
                      <w:color w:val="auto"/>
                      <w:kern w:val="0"/>
                    </w:rPr>
                  </w:pPr>
                  <w:r>
                    <w:rPr>
                      <w:color w:val="auto"/>
                      <w:kern w:val="0"/>
                    </w:rPr>
                    <w:t>固</w:t>
                  </w:r>
                </w:p>
              </w:tc>
              <w:tc>
                <w:tcPr>
                  <w:tcW w:w="681" w:type="pct"/>
                  <w:tcBorders>
                    <w:tl2br w:val="nil"/>
                    <w:tr2bl w:val="nil"/>
                  </w:tcBorders>
                  <w:vAlign w:val="center"/>
                </w:tcPr>
                <w:p w14:paraId="3A84F90B">
                  <w:pPr>
                    <w:adjustRightInd w:val="0"/>
                    <w:snapToGrid w:val="0"/>
                    <w:jc w:val="center"/>
                    <w:rPr>
                      <w:color w:val="auto"/>
                      <w:kern w:val="0"/>
                    </w:rPr>
                  </w:pPr>
                  <w:r>
                    <w:rPr>
                      <w:color w:val="auto"/>
                      <w:kern w:val="0"/>
                    </w:rPr>
                    <w:t>5000枚/箱</w:t>
                  </w:r>
                </w:p>
              </w:tc>
              <w:tc>
                <w:tcPr>
                  <w:tcW w:w="554" w:type="pct"/>
                  <w:tcBorders>
                    <w:tl2br w:val="nil"/>
                    <w:tr2bl w:val="nil"/>
                  </w:tcBorders>
                </w:tcPr>
                <w:p w14:paraId="3A84F90C">
                  <w:pPr>
                    <w:adjustRightInd w:val="0"/>
                    <w:snapToGrid w:val="0"/>
                    <w:jc w:val="center"/>
                    <w:rPr>
                      <w:color w:val="auto"/>
                      <w:kern w:val="0"/>
                    </w:rPr>
                  </w:pPr>
                  <w:r>
                    <w:rPr>
                      <w:color w:val="auto"/>
                      <w:kern w:val="0"/>
                    </w:rPr>
                    <w:t>50</w:t>
                  </w:r>
                </w:p>
              </w:tc>
            </w:tr>
            <w:tr w14:paraId="3A84F91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90E">
                  <w:pPr>
                    <w:adjustRightInd w:val="0"/>
                    <w:snapToGrid w:val="0"/>
                    <w:jc w:val="center"/>
                    <w:rPr>
                      <w:color w:val="auto"/>
                      <w:kern w:val="0"/>
                    </w:rPr>
                  </w:pPr>
                  <w:r>
                    <w:rPr>
                      <w:color w:val="auto"/>
                      <w:kern w:val="0"/>
                    </w:rPr>
                    <w:t>汇流排</w:t>
                  </w:r>
                </w:p>
              </w:tc>
              <w:tc>
                <w:tcPr>
                  <w:tcW w:w="673" w:type="pct"/>
                  <w:tcBorders>
                    <w:tl2br w:val="nil"/>
                    <w:tr2bl w:val="nil"/>
                  </w:tcBorders>
                </w:tcPr>
                <w:p w14:paraId="3A84F90F">
                  <w:pPr>
                    <w:adjustRightInd w:val="0"/>
                    <w:snapToGrid w:val="0"/>
                    <w:jc w:val="center"/>
                    <w:rPr>
                      <w:color w:val="auto"/>
                      <w:kern w:val="0"/>
                    </w:rPr>
                  </w:pPr>
                  <w:r>
                    <w:rPr>
                      <w:color w:val="auto"/>
                      <w:kern w:val="0"/>
                    </w:rPr>
                    <w:t>/</w:t>
                  </w:r>
                </w:p>
              </w:tc>
              <w:tc>
                <w:tcPr>
                  <w:tcW w:w="453" w:type="pct"/>
                  <w:tcBorders>
                    <w:tl2br w:val="nil"/>
                    <w:tr2bl w:val="nil"/>
                  </w:tcBorders>
                  <w:vAlign w:val="center"/>
                </w:tcPr>
                <w:p w14:paraId="1155EFEB">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910">
                  <w:pPr>
                    <w:adjustRightInd w:val="0"/>
                    <w:snapToGrid w:val="0"/>
                    <w:jc w:val="center"/>
                    <w:rPr>
                      <w:color w:val="auto"/>
                      <w:kern w:val="0"/>
                    </w:rPr>
                  </w:pPr>
                  <w:r>
                    <w:rPr>
                      <w:rFonts w:hint="eastAsia"/>
                      <w:color w:val="auto"/>
                      <w:kern w:val="0"/>
                      <w:lang w:val="en-US" w:eastAsia="zh-CN"/>
                    </w:rPr>
                    <w:t>210</w:t>
                  </w:r>
                </w:p>
              </w:tc>
              <w:tc>
                <w:tcPr>
                  <w:tcW w:w="553" w:type="pct"/>
                  <w:tcBorders>
                    <w:tl2br w:val="nil"/>
                    <w:tr2bl w:val="nil"/>
                  </w:tcBorders>
                  <w:vAlign w:val="center"/>
                </w:tcPr>
                <w:p w14:paraId="3A84F911">
                  <w:pPr>
                    <w:adjustRightInd w:val="0"/>
                    <w:snapToGrid w:val="0"/>
                    <w:jc w:val="center"/>
                    <w:rPr>
                      <w:color w:val="auto"/>
                      <w:kern w:val="0"/>
                    </w:rPr>
                  </w:pPr>
                  <w:r>
                    <w:rPr>
                      <w:rFonts w:hint="eastAsia"/>
                      <w:color w:val="auto"/>
                      <w:kern w:val="0"/>
                      <w:lang w:val="en-US" w:eastAsia="zh-CN"/>
                    </w:rPr>
                    <w:t>210</w:t>
                  </w:r>
                </w:p>
              </w:tc>
              <w:tc>
                <w:tcPr>
                  <w:tcW w:w="559" w:type="pct"/>
                  <w:tcBorders>
                    <w:tl2br w:val="nil"/>
                    <w:tr2bl w:val="nil"/>
                  </w:tcBorders>
                  <w:vAlign w:val="center"/>
                </w:tcPr>
                <w:p w14:paraId="3A84F912">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913">
                  <w:pPr>
                    <w:adjustRightInd w:val="0"/>
                    <w:snapToGrid w:val="0"/>
                    <w:jc w:val="center"/>
                    <w:rPr>
                      <w:color w:val="auto"/>
                      <w:kern w:val="0"/>
                    </w:rPr>
                  </w:pPr>
                  <w:r>
                    <w:rPr>
                      <w:color w:val="auto"/>
                      <w:kern w:val="0"/>
                    </w:rPr>
                    <w:t>固</w:t>
                  </w:r>
                </w:p>
              </w:tc>
              <w:tc>
                <w:tcPr>
                  <w:tcW w:w="681" w:type="pct"/>
                  <w:tcBorders>
                    <w:tl2br w:val="nil"/>
                    <w:tr2bl w:val="nil"/>
                  </w:tcBorders>
                </w:tcPr>
                <w:p w14:paraId="3A84F914">
                  <w:pPr>
                    <w:adjustRightInd w:val="0"/>
                    <w:snapToGrid w:val="0"/>
                    <w:jc w:val="center"/>
                    <w:rPr>
                      <w:color w:val="auto"/>
                      <w:kern w:val="0"/>
                    </w:rPr>
                  </w:pPr>
                  <w:r>
                    <w:rPr>
                      <w:color w:val="auto"/>
                      <w:kern w:val="0"/>
                    </w:rPr>
                    <w:t>5000枚/箱</w:t>
                  </w:r>
                </w:p>
              </w:tc>
              <w:tc>
                <w:tcPr>
                  <w:tcW w:w="554" w:type="pct"/>
                  <w:tcBorders>
                    <w:tl2br w:val="nil"/>
                    <w:tr2bl w:val="nil"/>
                  </w:tcBorders>
                </w:tcPr>
                <w:p w14:paraId="3A84F915">
                  <w:pPr>
                    <w:adjustRightInd w:val="0"/>
                    <w:snapToGrid w:val="0"/>
                    <w:jc w:val="center"/>
                    <w:rPr>
                      <w:color w:val="auto"/>
                      <w:kern w:val="0"/>
                    </w:rPr>
                  </w:pPr>
                  <w:r>
                    <w:rPr>
                      <w:color w:val="auto"/>
                      <w:kern w:val="0"/>
                    </w:rPr>
                    <w:t>50</w:t>
                  </w:r>
                </w:p>
              </w:tc>
            </w:tr>
            <w:tr w14:paraId="3A84F91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917">
                  <w:pPr>
                    <w:adjustRightInd w:val="0"/>
                    <w:snapToGrid w:val="0"/>
                    <w:jc w:val="center"/>
                    <w:rPr>
                      <w:color w:val="auto"/>
                      <w:kern w:val="0"/>
                    </w:rPr>
                  </w:pPr>
                  <w:r>
                    <w:rPr>
                      <w:color w:val="auto"/>
                      <w:kern w:val="0"/>
                    </w:rPr>
                    <w:t>铆钉</w:t>
                  </w:r>
                </w:p>
              </w:tc>
              <w:tc>
                <w:tcPr>
                  <w:tcW w:w="673" w:type="pct"/>
                  <w:tcBorders>
                    <w:tl2br w:val="nil"/>
                    <w:tr2bl w:val="nil"/>
                  </w:tcBorders>
                </w:tcPr>
                <w:p w14:paraId="3A84F918">
                  <w:pPr>
                    <w:adjustRightInd w:val="0"/>
                    <w:snapToGrid w:val="0"/>
                    <w:jc w:val="center"/>
                    <w:rPr>
                      <w:color w:val="auto"/>
                      <w:kern w:val="0"/>
                    </w:rPr>
                  </w:pPr>
                  <w:r>
                    <w:rPr>
                      <w:color w:val="auto"/>
                      <w:kern w:val="0"/>
                    </w:rPr>
                    <w:t>/</w:t>
                  </w:r>
                </w:p>
              </w:tc>
              <w:tc>
                <w:tcPr>
                  <w:tcW w:w="453" w:type="pct"/>
                  <w:tcBorders>
                    <w:tl2br w:val="nil"/>
                    <w:tr2bl w:val="nil"/>
                  </w:tcBorders>
                  <w:vAlign w:val="center"/>
                </w:tcPr>
                <w:p w14:paraId="6D6B454C">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919">
                  <w:pPr>
                    <w:adjustRightInd w:val="0"/>
                    <w:snapToGrid w:val="0"/>
                    <w:jc w:val="center"/>
                    <w:rPr>
                      <w:color w:val="auto"/>
                      <w:kern w:val="0"/>
                    </w:rPr>
                  </w:pPr>
                  <w:r>
                    <w:rPr>
                      <w:rFonts w:hint="eastAsia"/>
                      <w:color w:val="auto"/>
                      <w:kern w:val="0"/>
                      <w:lang w:val="en-US" w:eastAsia="zh-CN"/>
                    </w:rPr>
                    <w:t>210</w:t>
                  </w:r>
                </w:p>
              </w:tc>
              <w:tc>
                <w:tcPr>
                  <w:tcW w:w="553" w:type="pct"/>
                  <w:tcBorders>
                    <w:tl2br w:val="nil"/>
                    <w:tr2bl w:val="nil"/>
                  </w:tcBorders>
                  <w:vAlign w:val="center"/>
                </w:tcPr>
                <w:p w14:paraId="3A84F91A">
                  <w:pPr>
                    <w:adjustRightInd w:val="0"/>
                    <w:snapToGrid w:val="0"/>
                    <w:jc w:val="center"/>
                    <w:rPr>
                      <w:color w:val="auto"/>
                      <w:kern w:val="0"/>
                    </w:rPr>
                  </w:pPr>
                  <w:r>
                    <w:rPr>
                      <w:rFonts w:hint="eastAsia"/>
                      <w:color w:val="auto"/>
                      <w:kern w:val="0"/>
                      <w:lang w:val="en-US" w:eastAsia="zh-CN"/>
                    </w:rPr>
                    <w:t>210</w:t>
                  </w:r>
                </w:p>
              </w:tc>
              <w:tc>
                <w:tcPr>
                  <w:tcW w:w="559" w:type="pct"/>
                  <w:tcBorders>
                    <w:tl2br w:val="nil"/>
                    <w:tr2bl w:val="nil"/>
                  </w:tcBorders>
                  <w:vAlign w:val="center"/>
                </w:tcPr>
                <w:p w14:paraId="3A84F91B">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91C">
                  <w:pPr>
                    <w:adjustRightInd w:val="0"/>
                    <w:snapToGrid w:val="0"/>
                    <w:jc w:val="center"/>
                    <w:rPr>
                      <w:color w:val="auto"/>
                      <w:kern w:val="0"/>
                    </w:rPr>
                  </w:pPr>
                  <w:r>
                    <w:rPr>
                      <w:color w:val="auto"/>
                      <w:kern w:val="0"/>
                    </w:rPr>
                    <w:t>固</w:t>
                  </w:r>
                </w:p>
              </w:tc>
              <w:tc>
                <w:tcPr>
                  <w:tcW w:w="681" w:type="pct"/>
                  <w:tcBorders>
                    <w:tl2br w:val="nil"/>
                    <w:tr2bl w:val="nil"/>
                  </w:tcBorders>
                </w:tcPr>
                <w:p w14:paraId="3A84F91D">
                  <w:pPr>
                    <w:adjustRightInd w:val="0"/>
                    <w:snapToGrid w:val="0"/>
                    <w:jc w:val="center"/>
                    <w:rPr>
                      <w:color w:val="auto"/>
                      <w:kern w:val="0"/>
                    </w:rPr>
                  </w:pPr>
                  <w:r>
                    <w:rPr>
                      <w:color w:val="auto"/>
                      <w:kern w:val="0"/>
                    </w:rPr>
                    <w:t>5000枚/箱</w:t>
                  </w:r>
                </w:p>
              </w:tc>
              <w:tc>
                <w:tcPr>
                  <w:tcW w:w="554" w:type="pct"/>
                  <w:tcBorders>
                    <w:tl2br w:val="nil"/>
                    <w:tr2bl w:val="nil"/>
                  </w:tcBorders>
                </w:tcPr>
                <w:p w14:paraId="3A84F91E">
                  <w:pPr>
                    <w:adjustRightInd w:val="0"/>
                    <w:snapToGrid w:val="0"/>
                    <w:jc w:val="center"/>
                    <w:rPr>
                      <w:color w:val="auto"/>
                      <w:kern w:val="0"/>
                    </w:rPr>
                  </w:pPr>
                  <w:r>
                    <w:rPr>
                      <w:color w:val="auto"/>
                      <w:kern w:val="0"/>
                    </w:rPr>
                    <w:t>50</w:t>
                  </w:r>
                </w:p>
              </w:tc>
            </w:tr>
            <w:tr w14:paraId="3A84F9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3A84F920">
                  <w:pPr>
                    <w:adjustRightInd w:val="0"/>
                    <w:snapToGrid w:val="0"/>
                    <w:jc w:val="center"/>
                    <w:rPr>
                      <w:color w:val="auto"/>
                      <w:kern w:val="0"/>
                    </w:rPr>
                  </w:pPr>
                  <w:r>
                    <w:rPr>
                      <w:color w:val="auto"/>
                      <w:kern w:val="0"/>
                    </w:rPr>
                    <w:t>短路环</w:t>
                  </w:r>
                </w:p>
              </w:tc>
              <w:tc>
                <w:tcPr>
                  <w:tcW w:w="673" w:type="pct"/>
                  <w:tcBorders>
                    <w:tl2br w:val="nil"/>
                    <w:tr2bl w:val="nil"/>
                  </w:tcBorders>
                </w:tcPr>
                <w:p w14:paraId="3A84F921">
                  <w:pPr>
                    <w:adjustRightInd w:val="0"/>
                    <w:snapToGrid w:val="0"/>
                    <w:jc w:val="center"/>
                    <w:rPr>
                      <w:color w:val="auto"/>
                      <w:kern w:val="0"/>
                    </w:rPr>
                  </w:pPr>
                  <w:r>
                    <w:rPr>
                      <w:color w:val="auto"/>
                      <w:kern w:val="0"/>
                    </w:rPr>
                    <w:t>/</w:t>
                  </w:r>
                </w:p>
              </w:tc>
              <w:tc>
                <w:tcPr>
                  <w:tcW w:w="453" w:type="pct"/>
                  <w:tcBorders>
                    <w:tl2br w:val="nil"/>
                    <w:tr2bl w:val="nil"/>
                  </w:tcBorders>
                  <w:vAlign w:val="center"/>
                </w:tcPr>
                <w:p w14:paraId="2B525B35">
                  <w:pPr>
                    <w:adjustRightInd w:val="0"/>
                    <w:snapToGrid w:val="0"/>
                    <w:jc w:val="center"/>
                    <w:rPr>
                      <w:color w:val="auto"/>
                      <w:kern w:val="0"/>
                    </w:rPr>
                  </w:pPr>
                  <w:r>
                    <w:rPr>
                      <w:rFonts w:hint="eastAsia"/>
                      <w:color w:val="auto"/>
                      <w:kern w:val="0"/>
                      <w:lang w:val="en-US" w:eastAsia="zh-CN"/>
                    </w:rPr>
                    <w:t>万枚</w:t>
                  </w:r>
                </w:p>
              </w:tc>
              <w:tc>
                <w:tcPr>
                  <w:tcW w:w="553" w:type="pct"/>
                  <w:tcBorders>
                    <w:tl2br w:val="nil"/>
                    <w:tr2bl w:val="nil"/>
                  </w:tcBorders>
                  <w:vAlign w:val="center"/>
                </w:tcPr>
                <w:p w14:paraId="3A84F922">
                  <w:pPr>
                    <w:adjustRightInd w:val="0"/>
                    <w:snapToGrid w:val="0"/>
                    <w:jc w:val="center"/>
                    <w:rPr>
                      <w:color w:val="auto"/>
                      <w:kern w:val="0"/>
                    </w:rPr>
                  </w:pPr>
                  <w:r>
                    <w:rPr>
                      <w:rFonts w:hint="eastAsia"/>
                      <w:color w:val="auto"/>
                      <w:kern w:val="0"/>
                      <w:lang w:val="en-US" w:eastAsia="zh-CN"/>
                    </w:rPr>
                    <w:t>210</w:t>
                  </w:r>
                </w:p>
              </w:tc>
              <w:tc>
                <w:tcPr>
                  <w:tcW w:w="553" w:type="pct"/>
                  <w:tcBorders>
                    <w:tl2br w:val="nil"/>
                    <w:tr2bl w:val="nil"/>
                  </w:tcBorders>
                  <w:vAlign w:val="center"/>
                </w:tcPr>
                <w:p w14:paraId="3A84F923">
                  <w:pPr>
                    <w:adjustRightInd w:val="0"/>
                    <w:snapToGrid w:val="0"/>
                    <w:jc w:val="center"/>
                    <w:rPr>
                      <w:color w:val="auto"/>
                      <w:kern w:val="0"/>
                    </w:rPr>
                  </w:pPr>
                  <w:r>
                    <w:rPr>
                      <w:rFonts w:hint="eastAsia"/>
                      <w:color w:val="auto"/>
                      <w:kern w:val="0"/>
                      <w:lang w:val="en-US" w:eastAsia="zh-CN"/>
                    </w:rPr>
                    <w:t>210</w:t>
                  </w:r>
                </w:p>
              </w:tc>
              <w:tc>
                <w:tcPr>
                  <w:tcW w:w="559" w:type="pct"/>
                  <w:tcBorders>
                    <w:tl2br w:val="nil"/>
                    <w:tr2bl w:val="nil"/>
                  </w:tcBorders>
                  <w:vAlign w:val="center"/>
                </w:tcPr>
                <w:p w14:paraId="3A84F924">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84F925">
                  <w:pPr>
                    <w:adjustRightInd w:val="0"/>
                    <w:snapToGrid w:val="0"/>
                    <w:jc w:val="center"/>
                    <w:rPr>
                      <w:color w:val="auto"/>
                      <w:kern w:val="0"/>
                    </w:rPr>
                  </w:pPr>
                  <w:r>
                    <w:rPr>
                      <w:color w:val="auto"/>
                      <w:kern w:val="0"/>
                    </w:rPr>
                    <w:t>固</w:t>
                  </w:r>
                </w:p>
              </w:tc>
              <w:tc>
                <w:tcPr>
                  <w:tcW w:w="681" w:type="pct"/>
                  <w:tcBorders>
                    <w:tl2br w:val="nil"/>
                    <w:tr2bl w:val="nil"/>
                  </w:tcBorders>
                </w:tcPr>
                <w:p w14:paraId="3A84F926">
                  <w:pPr>
                    <w:adjustRightInd w:val="0"/>
                    <w:snapToGrid w:val="0"/>
                    <w:jc w:val="center"/>
                    <w:rPr>
                      <w:color w:val="auto"/>
                      <w:kern w:val="0"/>
                    </w:rPr>
                  </w:pPr>
                  <w:r>
                    <w:rPr>
                      <w:color w:val="auto"/>
                      <w:kern w:val="0"/>
                    </w:rPr>
                    <w:t>5000枚/箱</w:t>
                  </w:r>
                </w:p>
              </w:tc>
              <w:tc>
                <w:tcPr>
                  <w:tcW w:w="554" w:type="pct"/>
                  <w:tcBorders>
                    <w:tl2br w:val="nil"/>
                    <w:tr2bl w:val="nil"/>
                  </w:tcBorders>
                </w:tcPr>
                <w:p w14:paraId="3A84F927">
                  <w:pPr>
                    <w:adjustRightInd w:val="0"/>
                    <w:snapToGrid w:val="0"/>
                    <w:jc w:val="center"/>
                    <w:rPr>
                      <w:color w:val="auto"/>
                      <w:kern w:val="0"/>
                    </w:rPr>
                  </w:pPr>
                  <w:r>
                    <w:rPr>
                      <w:color w:val="auto"/>
                      <w:kern w:val="0"/>
                    </w:rPr>
                    <w:t>50</w:t>
                  </w:r>
                </w:p>
              </w:tc>
            </w:tr>
            <w:tr w14:paraId="70BF1E5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10"/>
                  <w:tcBorders>
                    <w:tl2br w:val="nil"/>
                    <w:tr2bl w:val="nil"/>
                  </w:tcBorders>
                  <w:vAlign w:val="center"/>
                </w:tcPr>
                <w:p w14:paraId="4DFF33DA">
                  <w:pPr>
                    <w:adjustRightInd w:val="0"/>
                    <w:snapToGrid w:val="0"/>
                    <w:jc w:val="center"/>
                    <w:rPr>
                      <w:rFonts w:hint="eastAsia" w:eastAsia="宋体"/>
                      <w:color w:val="auto"/>
                      <w:kern w:val="0"/>
                      <w:lang w:val="en-US" w:eastAsia="zh-CN"/>
                    </w:rPr>
                  </w:pPr>
                  <w:r>
                    <w:rPr>
                      <w:rFonts w:hint="eastAsia"/>
                      <w:b/>
                      <w:bCs/>
                      <w:color w:val="auto"/>
                      <w:kern w:val="0"/>
                      <w:lang w:val="en-US" w:eastAsia="zh-CN"/>
                    </w:rPr>
                    <w:t>焚烧装置</w:t>
                  </w:r>
                </w:p>
              </w:tc>
            </w:tr>
            <w:tr w14:paraId="5A6532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24192334">
                  <w:pPr>
                    <w:adjustRightInd w:val="0"/>
                    <w:snapToGrid w:val="0"/>
                    <w:jc w:val="center"/>
                    <w:rPr>
                      <w:rFonts w:hint="eastAsia" w:eastAsia="宋体"/>
                      <w:color w:val="auto"/>
                      <w:kern w:val="0"/>
                      <w:lang w:val="en-US" w:eastAsia="zh-CN"/>
                    </w:rPr>
                  </w:pPr>
                  <w:r>
                    <w:rPr>
                      <w:rFonts w:hint="eastAsia"/>
                      <w:color w:val="auto"/>
                      <w:kern w:val="0"/>
                      <w:lang w:val="en-US" w:eastAsia="zh-CN"/>
                    </w:rPr>
                    <w:t>氢氧化钠</w:t>
                  </w:r>
                </w:p>
              </w:tc>
              <w:tc>
                <w:tcPr>
                  <w:tcW w:w="673" w:type="pct"/>
                  <w:tcBorders>
                    <w:tl2br w:val="nil"/>
                    <w:tr2bl w:val="nil"/>
                  </w:tcBorders>
                </w:tcPr>
                <w:p w14:paraId="08218BD3">
                  <w:pPr>
                    <w:adjustRightInd w:val="0"/>
                    <w:snapToGrid w:val="0"/>
                    <w:jc w:val="center"/>
                    <w:rPr>
                      <w:rFonts w:hint="default" w:eastAsia="宋体"/>
                      <w:color w:val="auto"/>
                      <w:kern w:val="0"/>
                      <w:lang w:val="en-US" w:eastAsia="zh-CN"/>
                    </w:rPr>
                  </w:pPr>
                  <w:r>
                    <w:rPr>
                      <w:rFonts w:hint="eastAsia"/>
                      <w:color w:val="auto"/>
                      <w:kern w:val="0"/>
                      <w:lang w:val="en-US" w:eastAsia="zh-CN"/>
                    </w:rPr>
                    <w:t>NaOH</w:t>
                  </w:r>
                </w:p>
              </w:tc>
              <w:tc>
                <w:tcPr>
                  <w:tcW w:w="453" w:type="pct"/>
                  <w:tcBorders>
                    <w:tl2br w:val="nil"/>
                    <w:tr2bl w:val="nil"/>
                  </w:tcBorders>
                  <w:vAlign w:val="center"/>
                </w:tcPr>
                <w:p w14:paraId="0D3EF720">
                  <w:pPr>
                    <w:adjustRightInd w:val="0"/>
                    <w:snapToGrid w:val="0"/>
                    <w:jc w:val="center"/>
                    <w:rPr>
                      <w:rFonts w:hint="eastAsia"/>
                      <w:color w:val="auto"/>
                      <w:kern w:val="0"/>
                      <w:lang w:val="en-US" w:eastAsia="zh-CN"/>
                    </w:rPr>
                  </w:pPr>
                  <w:r>
                    <w:rPr>
                      <w:rFonts w:hint="eastAsia"/>
                      <w:color w:val="auto"/>
                      <w:kern w:val="0"/>
                      <w:lang w:val="en-US" w:eastAsia="zh-CN"/>
                    </w:rPr>
                    <w:t>吨</w:t>
                  </w:r>
                </w:p>
              </w:tc>
              <w:tc>
                <w:tcPr>
                  <w:tcW w:w="553" w:type="pct"/>
                  <w:tcBorders>
                    <w:tl2br w:val="nil"/>
                    <w:tr2bl w:val="nil"/>
                  </w:tcBorders>
                  <w:vAlign w:val="center"/>
                </w:tcPr>
                <w:p w14:paraId="619EE568">
                  <w:pPr>
                    <w:adjustRightInd w:val="0"/>
                    <w:snapToGrid w:val="0"/>
                    <w:jc w:val="center"/>
                    <w:rPr>
                      <w:rFonts w:hint="default"/>
                      <w:color w:val="auto"/>
                      <w:kern w:val="0"/>
                      <w:lang w:val="en-US" w:eastAsia="zh-CN"/>
                    </w:rPr>
                  </w:pPr>
                  <w:r>
                    <w:rPr>
                      <w:rFonts w:hint="eastAsia"/>
                      <w:color w:val="auto"/>
                      <w:kern w:val="0"/>
                      <w:lang w:val="en-US" w:eastAsia="zh-CN"/>
                    </w:rPr>
                    <w:t>5</w:t>
                  </w:r>
                </w:p>
              </w:tc>
              <w:tc>
                <w:tcPr>
                  <w:tcW w:w="553" w:type="pct"/>
                  <w:tcBorders>
                    <w:tl2br w:val="nil"/>
                    <w:tr2bl w:val="nil"/>
                  </w:tcBorders>
                  <w:vAlign w:val="center"/>
                </w:tcPr>
                <w:p w14:paraId="78A0FAB1">
                  <w:pPr>
                    <w:adjustRightInd w:val="0"/>
                    <w:snapToGrid w:val="0"/>
                    <w:jc w:val="center"/>
                    <w:rPr>
                      <w:color w:val="auto"/>
                      <w:kern w:val="0"/>
                    </w:rPr>
                  </w:pPr>
                  <w:r>
                    <w:rPr>
                      <w:rFonts w:hint="eastAsia"/>
                      <w:color w:val="auto"/>
                      <w:kern w:val="0"/>
                      <w:lang w:val="en-US" w:eastAsia="zh-CN"/>
                    </w:rPr>
                    <w:t>5</w:t>
                  </w:r>
                </w:p>
              </w:tc>
              <w:tc>
                <w:tcPr>
                  <w:tcW w:w="559" w:type="pct"/>
                  <w:tcBorders>
                    <w:tl2br w:val="nil"/>
                    <w:tr2bl w:val="nil"/>
                  </w:tcBorders>
                  <w:vAlign w:val="center"/>
                </w:tcPr>
                <w:p w14:paraId="6C8EE3CE">
                  <w:pPr>
                    <w:adjustRightInd w:val="0"/>
                    <w:snapToGrid w:val="0"/>
                    <w:jc w:val="center"/>
                    <w:rPr>
                      <w:rFonts w:hint="eastAsia" w:eastAsia="宋体"/>
                      <w:color w:val="auto"/>
                      <w:kern w:val="0"/>
                      <w:lang w:val="en-US" w:eastAsia="zh-CN"/>
                    </w:rPr>
                  </w:pPr>
                  <w:r>
                    <w:rPr>
                      <w:rFonts w:hint="eastAsia"/>
                      <w:color w:val="auto"/>
                      <w:kern w:val="0"/>
                      <w:lang w:val="en-US" w:eastAsia="zh-CN"/>
                    </w:rPr>
                    <w:t>0</w:t>
                  </w:r>
                </w:p>
              </w:tc>
              <w:tc>
                <w:tcPr>
                  <w:tcW w:w="266" w:type="pct"/>
                  <w:tcBorders>
                    <w:tl2br w:val="nil"/>
                    <w:tr2bl w:val="nil"/>
                  </w:tcBorders>
                  <w:vAlign w:val="center"/>
                </w:tcPr>
                <w:p w14:paraId="49F805F1">
                  <w:pPr>
                    <w:adjustRightInd w:val="0"/>
                    <w:snapToGrid w:val="0"/>
                    <w:jc w:val="center"/>
                    <w:rPr>
                      <w:color w:val="auto"/>
                      <w:kern w:val="0"/>
                    </w:rPr>
                  </w:pPr>
                  <w:r>
                    <w:rPr>
                      <w:color w:val="auto"/>
                      <w:kern w:val="0"/>
                    </w:rPr>
                    <w:t>固</w:t>
                  </w:r>
                </w:p>
              </w:tc>
              <w:tc>
                <w:tcPr>
                  <w:tcW w:w="681" w:type="pct"/>
                  <w:tcBorders>
                    <w:tl2br w:val="nil"/>
                    <w:tr2bl w:val="nil"/>
                  </w:tcBorders>
                </w:tcPr>
                <w:p w14:paraId="5BF17958">
                  <w:pPr>
                    <w:adjustRightInd w:val="0"/>
                    <w:snapToGrid w:val="0"/>
                    <w:jc w:val="center"/>
                    <w:rPr>
                      <w:rFonts w:hint="default" w:eastAsia="宋体"/>
                      <w:color w:val="auto"/>
                      <w:kern w:val="0"/>
                      <w:lang w:val="en-US" w:eastAsia="zh-CN"/>
                    </w:rPr>
                  </w:pPr>
                  <w:r>
                    <w:rPr>
                      <w:rFonts w:hint="eastAsia"/>
                      <w:color w:val="auto"/>
                      <w:kern w:val="0"/>
                      <w:lang w:val="en-US" w:eastAsia="zh-CN"/>
                    </w:rPr>
                    <w:t>25kg/袋</w:t>
                  </w:r>
                </w:p>
              </w:tc>
              <w:tc>
                <w:tcPr>
                  <w:tcW w:w="554" w:type="pct"/>
                  <w:tcBorders>
                    <w:tl2br w:val="nil"/>
                    <w:tr2bl w:val="nil"/>
                  </w:tcBorders>
                </w:tcPr>
                <w:p w14:paraId="40373633">
                  <w:pPr>
                    <w:adjustRightInd w:val="0"/>
                    <w:snapToGrid w:val="0"/>
                    <w:jc w:val="center"/>
                    <w:rPr>
                      <w:rFonts w:hint="default" w:eastAsia="宋体"/>
                      <w:color w:val="auto"/>
                      <w:kern w:val="0"/>
                      <w:lang w:val="en-US" w:eastAsia="zh-CN"/>
                    </w:rPr>
                  </w:pPr>
                  <w:r>
                    <w:rPr>
                      <w:rFonts w:hint="eastAsia"/>
                      <w:color w:val="auto"/>
                      <w:kern w:val="0"/>
                      <w:lang w:val="en-US" w:eastAsia="zh-CN"/>
                    </w:rPr>
                    <w:t>0.5</w:t>
                  </w:r>
                </w:p>
              </w:tc>
            </w:tr>
            <w:tr w14:paraId="5B946C5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2D4FDF4A">
                  <w:pPr>
                    <w:adjustRightInd w:val="0"/>
                    <w:snapToGrid w:val="0"/>
                    <w:jc w:val="center"/>
                    <w:rPr>
                      <w:rFonts w:hint="eastAsia" w:eastAsia="宋体"/>
                      <w:color w:val="auto"/>
                      <w:kern w:val="0"/>
                      <w:lang w:val="en-US" w:eastAsia="zh-CN"/>
                    </w:rPr>
                  </w:pPr>
                  <w:r>
                    <w:rPr>
                      <w:rFonts w:hint="eastAsia"/>
                      <w:color w:val="auto"/>
                      <w:kern w:val="0"/>
                      <w:lang w:val="en-US" w:eastAsia="zh-CN"/>
                    </w:rPr>
                    <w:t>尿素</w:t>
                  </w:r>
                </w:p>
              </w:tc>
              <w:tc>
                <w:tcPr>
                  <w:tcW w:w="673" w:type="pct"/>
                  <w:tcBorders>
                    <w:tl2br w:val="nil"/>
                    <w:tr2bl w:val="nil"/>
                  </w:tcBorders>
                </w:tcPr>
                <w:p w14:paraId="66330FF8">
                  <w:pPr>
                    <w:adjustRightInd w:val="0"/>
                    <w:snapToGrid w:val="0"/>
                    <w:jc w:val="center"/>
                    <w:rPr>
                      <w:rFonts w:hint="default" w:eastAsia="宋体"/>
                      <w:color w:val="auto"/>
                      <w:kern w:val="0"/>
                      <w:lang w:val="en-US" w:eastAsia="zh-CN"/>
                    </w:rPr>
                  </w:pPr>
                  <w:r>
                    <w:rPr>
                      <w:rFonts w:hint="eastAsia"/>
                      <w:color w:val="auto"/>
                      <w:kern w:val="0"/>
                      <w:lang w:val="en-US" w:eastAsia="zh-CN"/>
                    </w:rPr>
                    <w:t>CO（NH</w:t>
                  </w:r>
                  <w:r>
                    <w:rPr>
                      <w:rFonts w:hint="eastAsia"/>
                      <w:color w:val="auto"/>
                      <w:kern w:val="0"/>
                      <w:vertAlign w:val="subscript"/>
                      <w:lang w:val="en-US" w:eastAsia="zh-CN"/>
                    </w:rPr>
                    <w:t>2</w:t>
                  </w:r>
                  <w:r>
                    <w:rPr>
                      <w:rFonts w:hint="eastAsia"/>
                      <w:color w:val="auto"/>
                      <w:kern w:val="0"/>
                      <w:lang w:val="en-US" w:eastAsia="zh-CN"/>
                    </w:rPr>
                    <w:t>）</w:t>
                  </w:r>
                  <w:r>
                    <w:rPr>
                      <w:rFonts w:hint="eastAsia"/>
                      <w:color w:val="auto"/>
                      <w:kern w:val="0"/>
                      <w:vertAlign w:val="subscript"/>
                      <w:lang w:val="en-US" w:eastAsia="zh-CN"/>
                    </w:rPr>
                    <w:t>2</w:t>
                  </w:r>
                </w:p>
              </w:tc>
              <w:tc>
                <w:tcPr>
                  <w:tcW w:w="453" w:type="pct"/>
                  <w:tcBorders>
                    <w:tl2br w:val="nil"/>
                    <w:tr2bl w:val="nil"/>
                  </w:tcBorders>
                  <w:vAlign w:val="center"/>
                </w:tcPr>
                <w:p w14:paraId="07760285">
                  <w:pPr>
                    <w:adjustRightInd w:val="0"/>
                    <w:snapToGrid w:val="0"/>
                    <w:jc w:val="center"/>
                    <w:rPr>
                      <w:rFonts w:hint="eastAsia"/>
                      <w:color w:val="auto"/>
                      <w:kern w:val="0"/>
                      <w:lang w:val="en-US" w:eastAsia="zh-CN"/>
                    </w:rPr>
                  </w:pPr>
                  <w:r>
                    <w:rPr>
                      <w:rFonts w:hint="eastAsia"/>
                      <w:color w:val="auto"/>
                      <w:kern w:val="0"/>
                      <w:lang w:val="en-US" w:eastAsia="zh-CN"/>
                    </w:rPr>
                    <w:t>吨</w:t>
                  </w:r>
                </w:p>
              </w:tc>
              <w:tc>
                <w:tcPr>
                  <w:tcW w:w="553" w:type="pct"/>
                  <w:tcBorders>
                    <w:tl2br w:val="nil"/>
                    <w:tr2bl w:val="nil"/>
                  </w:tcBorders>
                  <w:vAlign w:val="center"/>
                </w:tcPr>
                <w:p w14:paraId="5A91FAF2">
                  <w:pPr>
                    <w:adjustRightInd w:val="0"/>
                    <w:snapToGrid w:val="0"/>
                    <w:jc w:val="center"/>
                    <w:rPr>
                      <w:rFonts w:hint="default"/>
                      <w:color w:val="auto"/>
                      <w:kern w:val="0"/>
                      <w:lang w:val="en-US" w:eastAsia="zh-CN"/>
                    </w:rPr>
                  </w:pPr>
                  <w:r>
                    <w:rPr>
                      <w:rFonts w:hint="eastAsia"/>
                      <w:color w:val="auto"/>
                      <w:kern w:val="0"/>
                      <w:lang w:val="en-US" w:eastAsia="zh-CN"/>
                    </w:rPr>
                    <w:t>6.4</w:t>
                  </w:r>
                </w:p>
              </w:tc>
              <w:tc>
                <w:tcPr>
                  <w:tcW w:w="553" w:type="pct"/>
                  <w:tcBorders>
                    <w:tl2br w:val="nil"/>
                    <w:tr2bl w:val="nil"/>
                  </w:tcBorders>
                  <w:vAlign w:val="center"/>
                </w:tcPr>
                <w:p w14:paraId="510E2B3C">
                  <w:pPr>
                    <w:adjustRightInd w:val="0"/>
                    <w:snapToGrid w:val="0"/>
                    <w:jc w:val="center"/>
                    <w:rPr>
                      <w:color w:val="auto"/>
                      <w:kern w:val="0"/>
                    </w:rPr>
                  </w:pPr>
                  <w:r>
                    <w:rPr>
                      <w:rFonts w:hint="eastAsia"/>
                      <w:color w:val="auto"/>
                      <w:kern w:val="0"/>
                      <w:lang w:val="en-US" w:eastAsia="zh-CN"/>
                    </w:rPr>
                    <w:t>6.4</w:t>
                  </w:r>
                </w:p>
              </w:tc>
              <w:tc>
                <w:tcPr>
                  <w:tcW w:w="559" w:type="pct"/>
                  <w:tcBorders>
                    <w:tl2br w:val="nil"/>
                    <w:tr2bl w:val="nil"/>
                  </w:tcBorders>
                  <w:vAlign w:val="center"/>
                </w:tcPr>
                <w:p w14:paraId="28BB0D74">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1B1FF042">
                  <w:pPr>
                    <w:adjustRightInd w:val="0"/>
                    <w:snapToGrid w:val="0"/>
                    <w:jc w:val="center"/>
                    <w:rPr>
                      <w:color w:val="auto"/>
                      <w:kern w:val="0"/>
                    </w:rPr>
                  </w:pPr>
                  <w:r>
                    <w:rPr>
                      <w:color w:val="auto"/>
                      <w:kern w:val="0"/>
                    </w:rPr>
                    <w:t>固</w:t>
                  </w:r>
                </w:p>
              </w:tc>
              <w:tc>
                <w:tcPr>
                  <w:tcW w:w="681" w:type="pct"/>
                  <w:tcBorders>
                    <w:tl2br w:val="nil"/>
                    <w:tr2bl w:val="nil"/>
                  </w:tcBorders>
                </w:tcPr>
                <w:p w14:paraId="21557176">
                  <w:pPr>
                    <w:adjustRightInd w:val="0"/>
                    <w:snapToGrid w:val="0"/>
                    <w:jc w:val="center"/>
                    <w:rPr>
                      <w:color w:val="auto"/>
                      <w:kern w:val="0"/>
                    </w:rPr>
                  </w:pPr>
                  <w:r>
                    <w:rPr>
                      <w:rFonts w:hint="eastAsia"/>
                      <w:color w:val="auto"/>
                      <w:kern w:val="0"/>
                      <w:lang w:val="en-US" w:eastAsia="zh-CN"/>
                    </w:rPr>
                    <w:t>25kg/袋</w:t>
                  </w:r>
                </w:p>
              </w:tc>
              <w:tc>
                <w:tcPr>
                  <w:tcW w:w="554" w:type="pct"/>
                  <w:tcBorders>
                    <w:tl2br w:val="nil"/>
                    <w:tr2bl w:val="nil"/>
                  </w:tcBorders>
                </w:tcPr>
                <w:p w14:paraId="60F2CCB7">
                  <w:pPr>
                    <w:adjustRightInd w:val="0"/>
                    <w:snapToGrid w:val="0"/>
                    <w:jc w:val="center"/>
                    <w:rPr>
                      <w:rFonts w:hint="default" w:eastAsia="宋体"/>
                      <w:color w:val="auto"/>
                      <w:kern w:val="0"/>
                      <w:lang w:val="en-US" w:eastAsia="zh-CN"/>
                    </w:rPr>
                  </w:pPr>
                  <w:r>
                    <w:rPr>
                      <w:rFonts w:hint="eastAsia"/>
                      <w:color w:val="auto"/>
                      <w:kern w:val="0"/>
                      <w:lang w:val="en-US" w:eastAsia="zh-CN"/>
                    </w:rPr>
                    <w:t>0.5</w:t>
                  </w:r>
                </w:p>
              </w:tc>
            </w:tr>
            <w:tr w14:paraId="3446E65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57B8DA9B">
                  <w:pPr>
                    <w:adjustRightInd w:val="0"/>
                    <w:snapToGrid w:val="0"/>
                    <w:jc w:val="center"/>
                    <w:rPr>
                      <w:rFonts w:hint="eastAsia" w:eastAsia="宋体"/>
                      <w:color w:val="auto"/>
                      <w:kern w:val="0"/>
                      <w:lang w:val="en-US" w:eastAsia="zh-CN"/>
                    </w:rPr>
                  </w:pPr>
                  <w:r>
                    <w:rPr>
                      <w:rFonts w:hint="eastAsia"/>
                      <w:color w:val="auto"/>
                      <w:kern w:val="0"/>
                      <w:lang w:val="en-US" w:eastAsia="zh-CN"/>
                    </w:rPr>
                    <w:t>干粉吸收剂</w:t>
                  </w:r>
                </w:p>
              </w:tc>
              <w:tc>
                <w:tcPr>
                  <w:tcW w:w="673" w:type="pct"/>
                  <w:tcBorders>
                    <w:tl2br w:val="nil"/>
                    <w:tr2bl w:val="nil"/>
                  </w:tcBorders>
                </w:tcPr>
                <w:p w14:paraId="4ED41735">
                  <w:pPr>
                    <w:adjustRightInd w:val="0"/>
                    <w:snapToGrid w:val="0"/>
                    <w:jc w:val="center"/>
                    <w:rPr>
                      <w:rFonts w:hint="eastAsia" w:eastAsia="宋体"/>
                      <w:color w:val="auto"/>
                      <w:kern w:val="0"/>
                      <w:lang w:val="en-US" w:eastAsia="zh-CN"/>
                    </w:rPr>
                  </w:pPr>
                  <w:r>
                    <w:rPr>
                      <w:rFonts w:hint="eastAsia"/>
                      <w:color w:val="auto"/>
                      <w:kern w:val="0"/>
                      <w:lang w:val="en-US" w:eastAsia="zh-CN"/>
                    </w:rPr>
                    <w:t>/</w:t>
                  </w:r>
                </w:p>
              </w:tc>
              <w:tc>
                <w:tcPr>
                  <w:tcW w:w="453" w:type="pct"/>
                  <w:tcBorders>
                    <w:tl2br w:val="nil"/>
                    <w:tr2bl w:val="nil"/>
                  </w:tcBorders>
                  <w:vAlign w:val="center"/>
                </w:tcPr>
                <w:p w14:paraId="7049F260">
                  <w:pPr>
                    <w:adjustRightInd w:val="0"/>
                    <w:snapToGrid w:val="0"/>
                    <w:jc w:val="center"/>
                    <w:rPr>
                      <w:rFonts w:hint="eastAsia"/>
                      <w:color w:val="auto"/>
                      <w:kern w:val="0"/>
                      <w:lang w:val="en-US" w:eastAsia="zh-CN"/>
                    </w:rPr>
                  </w:pPr>
                  <w:r>
                    <w:rPr>
                      <w:rFonts w:hint="eastAsia"/>
                      <w:color w:val="auto"/>
                      <w:kern w:val="0"/>
                      <w:lang w:val="en-US" w:eastAsia="zh-CN"/>
                    </w:rPr>
                    <w:t>吨</w:t>
                  </w:r>
                </w:p>
              </w:tc>
              <w:tc>
                <w:tcPr>
                  <w:tcW w:w="553" w:type="pct"/>
                  <w:tcBorders>
                    <w:tl2br w:val="nil"/>
                    <w:tr2bl w:val="nil"/>
                  </w:tcBorders>
                  <w:vAlign w:val="center"/>
                </w:tcPr>
                <w:p w14:paraId="7EB9747B">
                  <w:pPr>
                    <w:adjustRightInd w:val="0"/>
                    <w:snapToGrid w:val="0"/>
                    <w:jc w:val="center"/>
                    <w:rPr>
                      <w:rFonts w:hint="default"/>
                      <w:color w:val="auto"/>
                      <w:kern w:val="0"/>
                      <w:lang w:val="en-US" w:eastAsia="zh-CN"/>
                    </w:rPr>
                  </w:pPr>
                  <w:r>
                    <w:rPr>
                      <w:rFonts w:hint="eastAsia"/>
                      <w:color w:val="auto"/>
                      <w:kern w:val="0"/>
                      <w:lang w:val="en-US" w:eastAsia="zh-CN"/>
                    </w:rPr>
                    <w:t>12.8</w:t>
                  </w:r>
                </w:p>
              </w:tc>
              <w:tc>
                <w:tcPr>
                  <w:tcW w:w="553" w:type="pct"/>
                  <w:tcBorders>
                    <w:tl2br w:val="nil"/>
                    <w:tr2bl w:val="nil"/>
                  </w:tcBorders>
                  <w:vAlign w:val="center"/>
                </w:tcPr>
                <w:p w14:paraId="4357B151">
                  <w:pPr>
                    <w:adjustRightInd w:val="0"/>
                    <w:snapToGrid w:val="0"/>
                    <w:jc w:val="center"/>
                    <w:rPr>
                      <w:color w:val="auto"/>
                      <w:kern w:val="0"/>
                    </w:rPr>
                  </w:pPr>
                  <w:r>
                    <w:rPr>
                      <w:rFonts w:hint="eastAsia"/>
                      <w:color w:val="auto"/>
                      <w:kern w:val="0"/>
                      <w:lang w:val="en-US" w:eastAsia="zh-CN"/>
                    </w:rPr>
                    <w:t>12.8</w:t>
                  </w:r>
                </w:p>
              </w:tc>
              <w:tc>
                <w:tcPr>
                  <w:tcW w:w="559" w:type="pct"/>
                  <w:tcBorders>
                    <w:tl2br w:val="nil"/>
                    <w:tr2bl w:val="nil"/>
                  </w:tcBorders>
                  <w:vAlign w:val="center"/>
                </w:tcPr>
                <w:p w14:paraId="691FB217">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6A6BE388">
                  <w:pPr>
                    <w:adjustRightInd w:val="0"/>
                    <w:snapToGrid w:val="0"/>
                    <w:jc w:val="center"/>
                    <w:rPr>
                      <w:color w:val="auto"/>
                      <w:kern w:val="0"/>
                    </w:rPr>
                  </w:pPr>
                  <w:r>
                    <w:rPr>
                      <w:color w:val="auto"/>
                      <w:kern w:val="0"/>
                    </w:rPr>
                    <w:t>固</w:t>
                  </w:r>
                </w:p>
              </w:tc>
              <w:tc>
                <w:tcPr>
                  <w:tcW w:w="681" w:type="pct"/>
                  <w:tcBorders>
                    <w:tl2br w:val="nil"/>
                    <w:tr2bl w:val="nil"/>
                  </w:tcBorders>
                </w:tcPr>
                <w:p w14:paraId="460DA61D">
                  <w:pPr>
                    <w:adjustRightInd w:val="0"/>
                    <w:snapToGrid w:val="0"/>
                    <w:jc w:val="center"/>
                    <w:rPr>
                      <w:color w:val="auto"/>
                      <w:kern w:val="0"/>
                    </w:rPr>
                  </w:pPr>
                  <w:r>
                    <w:rPr>
                      <w:rFonts w:hint="eastAsia"/>
                      <w:color w:val="auto"/>
                      <w:kern w:val="0"/>
                      <w:lang w:val="en-US" w:eastAsia="zh-CN"/>
                    </w:rPr>
                    <w:t>25kg/袋</w:t>
                  </w:r>
                </w:p>
              </w:tc>
              <w:tc>
                <w:tcPr>
                  <w:tcW w:w="554" w:type="pct"/>
                  <w:tcBorders>
                    <w:tl2br w:val="nil"/>
                    <w:tr2bl w:val="nil"/>
                  </w:tcBorders>
                </w:tcPr>
                <w:p w14:paraId="33B8B251">
                  <w:pPr>
                    <w:adjustRightInd w:val="0"/>
                    <w:snapToGrid w:val="0"/>
                    <w:jc w:val="center"/>
                    <w:rPr>
                      <w:rFonts w:hint="eastAsia" w:eastAsia="宋体"/>
                      <w:color w:val="auto"/>
                      <w:kern w:val="0"/>
                      <w:lang w:val="en-US" w:eastAsia="zh-CN"/>
                    </w:rPr>
                  </w:pPr>
                  <w:r>
                    <w:rPr>
                      <w:rFonts w:hint="eastAsia"/>
                      <w:color w:val="auto"/>
                      <w:kern w:val="0"/>
                      <w:lang w:val="en-US" w:eastAsia="zh-CN"/>
                    </w:rPr>
                    <w:t>1</w:t>
                  </w:r>
                </w:p>
              </w:tc>
            </w:tr>
            <w:tr w14:paraId="73D02FE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2CB0D06E">
                  <w:pPr>
                    <w:adjustRightInd w:val="0"/>
                    <w:snapToGrid w:val="0"/>
                    <w:jc w:val="center"/>
                    <w:rPr>
                      <w:rFonts w:hint="eastAsia" w:eastAsia="宋体"/>
                      <w:color w:val="auto"/>
                      <w:kern w:val="0"/>
                      <w:lang w:val="en-US" w:eastAsia="zh-CN"/>
                    </w:rPr>
                  </w:pPr>
                  <w:r>
                    <w:rPr>
                      <w:rFonts w:hint="eastAsia"/>
                      <w:color w:val="auto"/>
                      <w:kern w:val="0"/>
                      <w:lang w:val="en-US" w:eastAsia="zh-CN"/>
                    </w:rPr>
                    <w:t>活性炭粉</w:t>
                  </w:r>
                </w:p>
              </w:tc>
              <w:tc>
                <w:tcPr>
                  <w:tcW w:w="673" w:type="pct"/>
                  <w:tcBorders>
                    <w:tl2br w:val="nil"/>
                    <w:tr2bl w:val="nil"/>
                  </w:tcBorders>
                </w:tcPr>
                <w:p w14:paraId="504BA1A1">
                  <w:pPr>
                    <w:adjustRightInd w:val="0"/>
                    <w:snapToGrid w:val="0"/>
                    <w:jc w:val="center"/>
                    <w:rPr>
                      <w:rFonts w:hint="eastAsia" w:eastAsia="宋体"/>
                      <w:color w:val="auto"/>
                      <w:kern w:val="0"/>
                      <w:lang w:val="en-US" w:eastAsia="zh-CN"/>
                    </w:rPr>
                  </w:pPr>
                  <w:r>
                    <w:rPr>
                      <w:rFonts w:hint="eastAsia"/>
                      <w:color w:val="auto"/>
                      <w:kern w:val="0"/>
                      <w:lang w:val="en-US" w:eastAsia="zh-CN"/>
                    </w:rPr>
                    <w:t>/</w:t>
                  </w:r>
                </w:p>
              </w:tc>
              <w:tc>
                <w:tcPr>
                  <w:tcW w:w="453" w:type="pct"/>
                  <w:tcBorders>
                    <w:tl2br w:val="nil"/>
                    <w:tr2bl w:val="nil"/>
                  </w:tcBorders>
                  <w:vAlign w:val="center"/>
                </w:tcPr>
                <w:p w14:paraId="5237207D">
                  <w:pPr>
                    <w:adjustRightInd w:val="0"/>
                    <w:snapToGrid w:val="0"/>
                    <w:jc w:val="center"/>
                    <w:rPr>
                      <w:rFonts w:hint="eastAsia"/>
                      <w:color w:val="auto"/>
                      <w:kern w:val="0"/>
                      <w:lang w:val="en-US" w:eastAsia="zh-CN"/>
                    </w:rPr>
                  </w:pPr>
                  <w:r>
                    <w:rPr>
                      <w:rFonts w:hint="eastAsia"/>
                      <w:color w:val="auto"/>
                      <w:kern w:val="0"/>
                      <w:lang w:val="en-US" w:eastAsia="zh-CN"/>
                    </w:rPr>
                    <w:t>吨</w:t>
                  </w:r>
                </w:p>
              </w:tc>
              <w:tc>
                <w:tcPr>
                  <w:tcW w:w="553" w:type="pct"/>
                  <w:tcBorders>
                    <w:tl2br w:val="nil"/>
                    <w:tr2bl w:val="nil"/>
                  </w:tcBorders>
                  <w:vAlign w:val="center"/>
                </w:tcPr>
                <w:p w14:paraId="1B9214E2">
                  <w:pPr>
                    <w:adjustRightInd w:val="0"/>
                    <w:snapToGrid w:val="0"/>
                    <w:jc w:val="center"/>
                    <w:rPr>
                      <w:rFonts w:hint="default"/>
                      <w:color w:val="auto"/>
                      <w:kern w:val="0"/>
                      <w:lang w:val="en-US" w:eastAsia="zh-CN"/>
                    </w:rPr>
                  </w:pPr>
                  <w:r>
                    <w:rPr>
                      <w:rFonts w:hint="eastAsia"/>
                      <w:color w:val="auto"/>
                      <w:kern w:val="0"/>
                      <w:lang w:val="en-US" w:eastAsia="zh-CN"/>
                    </w:rPr>
                    <w:t>4.8</w:t>
                  </w:r>
                </w:p>
              </w:tc>
              <w:tc>
                <w:tcPr>
                  <w:tcW w:w="553" w:type="pct"/>
                  <w:tcBorders>
                    <w:tl2br w:val="nil"/>
                    <w:tr2bl w:val="nil"/>
                  </w:tcBorders>
                  <w:vAlign w:val="center"/>
                </w:tcPr>
                <w:p w14:paraId="32DF791C">
                  <w:pPr>
                    <w:adjustRightInd w:val="0"/>
                    <w:snapToGrid w:val="0"/>
                    <w:jc w:val="center"/>
                    <w:rPr>
                      <w:color w:val="auto"/>
                      <w:kern w:val="0"/>
                    </w:rPr>
                  </w:pPr>
                  <w:r>
                    <w:rPr>
                      <w:rFonts w:hint="eastAsia"/>
                      <w:color w:val="auto"/>
                      <w:kern w:val="0"/>
                      <w:lang w:val="en-US" w:eastAsia="zh-CN"/>
                    </w:rPr>
                    <w:t>4.8</w:t>
                  </w:r>
                </w:p>
              </w:tc>
              <w:tc>
                <w:tcPr>
                  <w:tcW w:w="559" w:type="pct"/>
                  <w:tcBorders>
                    <w:tl2br w:val="nil"/>
                    <w:tr2bl w:val="nil"/>
                  </w:tcBorders>
                  <w:vAlign w:val="center"/>
                </w:tcPr>
                <w:p w14:paraId="56FE551E">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0DE4DDFA">
                  <w:pPr>
                    <w:adjustRightInd w:val="0"/>
                    <w:snapToGrid w:val="0"/>
                    <w:jc w:val="center"/>
                    <w:rPr>
                      <w:color w:val="auto"/>
                      <w:kern w:val="0"/>
                    </w:rPr>
                  </w:pPr>
                  <w:r>
                    <w:rPr>
                      <w:color w:val="auto"/>
                      <w:kern w:val="0"/>
                    </w:rPr>
                    <w:t>固</w:t>
                  </w:r>
                </w:p>
              </w:tc>
              <w:tc>
                <w:tcPr>
                  <w:tcW w:w="681" w:type="pct"/>
                  <w:tcBorders>
                    <w:tl2br w:val="nil"/>
                    <w:tr2bl w:val="nil"/>
                  </w:tcBorders>
                </w:tcPr>
                <w:p w14:paraId="07940C23">
                  <w:pPr>
                    <w:adjustRightInd w:val="0"/>
                    <w:snapToGrid w:val="0"/>
                    <w:jc w:val="center"/>
                    <w:rPr>
                      <w:color w:val="auto"/>
                      <w:kern w:val="0"/>
                    </w:rPr>
                  </w:pPr>
                  <w:r>
                    <w:rPr>
                      <w:rFonts w:hint="eastAsia"/>
                      <w:color w:val="auto"/>
                      <w:kern w:val="0"/>
                      <w:lang w:val="en-US" w:eastAsia="zh-CN"/>
                    </w:rPr>
                    <w:t>25kg/袋</w:t>
                  </w:r>
                </w:p>
              </w:tc>
              <w:tc>
                <w:tcPr>
                  <w:tcW w:w="554" w:type="pct"/>
                  <w:tcBorders>
                    <w:tl2br w:val="nil"/>
                    <w:tr2bl w:val="nil"/>
                  </w:tcBorders>
                </w:tcPr>
                <w:p w14:paraId="768D35A0">
                  <w:pPr>
                    <w:adjustRightInd w:val="0"/>
                    <w:snapToGrid w:val="0"/>
                    <w:jc w:val="center"/>
                    <w:rPr>
                      <w:color w:val="auto"/>
                      <w:kern w:val="0"/>
                    </w:rPr>
                  </w:pPr>
                  <w:r>
                    <w:rPr>
                      <w:rFonts w:hint="eastAsia"/>
                      <w:color w:val="auto"/>
                      <w:kern w:val="0"/>
                      <w:lang w:val="en-US" w:eastAsia="zh-CN"/>
                    </w:rPr>
                    <w:t>0.5</w:t>
                  </w:r>
                </w:p>
              </w:tc>
            </w:tr>
            <w:tr w14:paraId="663ED38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2AB3E9E0">
                  <w:pPr>
                    <w:adjustRightInd w:val="0"/>
                    <w:snapToGrid w:val="0"/>
                    <w:jc w:val="center"/>
                    <w:rPr>
                      <w:rFonts w:hint="eastAsia" w:eastAsia="宋体"/>
                      <w:color w:val="auto"/>
                      <w:kern w:val="0"/>
                      <w:lang w:val="en-US" w:eastAsia="zh-CN"/>
                    </w:rPr>
                  </w:pPr>
                  <w:r>
                    <w:rPr>
                      <w:rFonts w:hint="eastAsia"/>
                      <w:color w:val="auto"/>
                      <w:kern w:val="0"/>
                      <w:lang w:val="en-US" w:eastAsia="zh-CN"/>
                    </w:rPr>
                    <w:t>氢氧化钙</w:t>
                  </w:r>
                </w:p>
              </w:tc>
              <w:tc>
                <w:tcPr>
                  <w:tcW w:w="673" w:type="pct"/>
                  <w:tcBorders>
                    <w:tl2br w:val="nil"/>
                    <w:tr2bl w:val="nil"/>
                  </w:tcBorders>
                </w:tcPr>
                <w:p w14:paraId="4B12028A">
                  <w:pPr>
                    <w:adjustRightInd w:val="0"/>
                    <w:snapToGrid w:val="0"/>
                    <w:jc w:val="center"/>
                    <w:rPr>
                      <w:color w:val="auto"/>
                      <w:kern w:val="0"/>
                    </w:rPr>
                  </w:pPr>
                  <w:r>
                    <w:rPr>
                      <w:rFonts w:hint="eastAsia"/>
                      <w:color w:val="auto"/>
                      <w:kern w:val="0"/>
                      <w:lang w:val="en-US" w:eastAsia="zh-CN"/>
                    </w:rPr>
                    <w:t>CO（OH）</w:t>
                  </w:r>
                  <w:r>
                    <w:rPr>
                      <w:rFonts w:hint="eastAsia"/>
                      <w:color w:val="auto"/>
                      <w:kern w:val="0"/>
                      <w:vertAlign w:val="subscript"/>
                      <w:lang w:val="en-US" w:eastAsia="zh-CN"/>
                    </w:rPr>
                    <w:t>2</w:t>
                  </w:r>
                </w:p>
              </w:tc>
              <w:tc>
                <w:tcPr>
                  <w:tcW w:w="453" w:type="pct"/>
                  <w:tcBorders>
                    <w:tl2br w:val="nil"/>
                    <w:tr2bl w:val="nil"/>
                  </w:tcBorders>
                  <w:vAlign w:val="center"/>
                </w:tcPr>
                <w:p w14:paraId="257836E6">
                  <w:pPr>
                    <w:adjustRightInd w:val="0"/>
                    <w:snapToGrid w:val="0"/>
                    <w:jc w:val="center"/>
                    <w:rPr>
                      <w:rFonts w:hint="eastAsia"/>
                      <w:color w:val="auto"/>
                      <w:kern w:val="0"/>
                      <w:lang w:val="en-US" w:eastAsia="zh-CN"/>
                    </w:rPr>
                  </w:pPr>
                  <w:r>
                    <w:rPr>
                      <w:rFonts w:hint="eastAsia"/>
                      <w:color w:val="auto"/>
                      <w:kern w:val="0"/>
                      <w:lang w:val="en-US" w:eastAsia="zh-CN"/>
                    </w:rPr>
                    <w:t>吨</w:t>
                  </w:r>
                </w:p>
              </w:tc>
              <w:tc>
                <w:tcPr>
                  <w:tcW w:w="553" w:type="pct"/>
                  <w:tcBorders>
                    <w:tl2br w:val="nil"/>
                    <w:tr2bl w:val="nil"/>
                  </w:tcBorders>
                  <w:vAlign w:val="center"/>
                </w:tcPr>
                <w:p w14:paraId="51C32A80">
                  <w:pPr>
                    <w:adjustRightInd w:val="0"/>
                    <w:snapToGrid w:val="0"/>
                    <w:jc w:val="center"/>
                    <w:rPr>
                      <w:rFonts w:hint="default"/>
                      <w:color w:val="auto"/>
                      <w:kern w:val="0"/>
                      <w:lang w:val="en-US" w:eastAsia="zh-CN"/>
                    </w:rPr>
                  </w:pPr>
                  <w:r>
                    <w:rPr>
                      <w:rFonts w:hint="eastAsia"/>
                      <w:color w:val="auto"/>
                      <w:kern w:val="0"/>
                      <w:lang w:val="en-US" w:eastAsia="zh-CN"/>
                    </w:rPr>
                    <w:t>3</w:t>
                  </w:r>
                </w:p>
              </w:tc>
              <w:tc>
                <w:tcPr>
                  <w:tcW w:w="553" w:type="pct"/>
                  <w:tcBorders>
                    <w:tl2br w:val="nil"/>
                    <w:tr2bl w:val="nil"/>
                  </w:tcBorders>
                  <w:vAlign w:val="center"/>
                </w:tcPr>
                <w:p w14:paraId="11B872F6">
                  <w:pPr>
                    <w:adjustRightInd w:val="0"/>
                    <w:snapToGrid w:val="0"/>
                    <w:jc w:val="center"/>
                    <w:rPr>
                      <w:color w:val="auto"/>
                      <w:kern w:val="0"/>
                    </w:rPr>
                  </w:pPr>
                  <w:r>
                    <w:rPr>
                      <w:rFonts w:hint="eastAsia"/>
                      <w:color w:val="auto"/>
                      <w:kern w:val="0"/>
                      <w:lang w:val="en-US" w:eastAsia="zh-CN"/>
                    </w:rPr>
                    <w:t>3</w:t>
                  </w:r>
                </w:p>
              </w:tc>
              <w:tc>
                <w:tcPr>
                  <w:tcW w:w="559" w:type="pct"/>
                  <w:tcBorders>
                    <w:tl2br w:val="nil"/>
                    <w:tr2bl w:val="nil"/>
                  </w:tcBorders>
                  <w:vAlign w:val="center"/>
                </w:tcPr>
                <w:p w14:paraId="6E9832A4">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16EF2F59">
                  <w:pPr>
                    <w:adjustRightInd w:val="0"/>
                    <w:snapToGrid w:val="0"/>
                    <w:jc w:val="center"/>
                    <w:rPr>
                      <w:color w:val="auto"/>
                      <w:kern w:val="0"/>
                    </w:rPr>
                  </w:pPr>
                  <w:r>
                    <w:rPr>
                      <w:color w:val="auto"/>
                      <w:kern w:val="0"/>
                    </w:rPr>
                    <w:t>固</w:t>
                  </w:r>
                </w:p>
              </w:tc>
              <w:tc>
                <w:tcPr>
                  <w:tcW w:w="681" w:type="pct"/>
                  <w:tcBorders>
                    <w:tl2br w:val="nil"/>
                    <w:tr2bl w:val="nil"/>
                  </w:tcBorders>
                </w:tcPr>
                <w:p w14:paraId="40D9D6CE">
                  <w:pPr>
                    <w:adjustRightInd w:val="0"/>
                    <w:snapToGrid w:val="0"/>
                    <w:jc w:val="center"/>
                    <w:rPr>
                      <w:color w:val="auto"/>
                      <w:kern w:val="0"/>
                    </w:rPr>
                  </w:pPr>
                  <w:r>
                    <w:rPr>
                      <w:rFonts w:hint="eastAsia"/>
                      <w:color w:val="auto"/>
                      <w:kern w:val="0"/>
                      <w:lang w:val="en-US" w:eastAsia="zh-CN"/>
                    </w:rPr>
                    <w:t>25kg/袋</w:t>
                  </w:r>
                </w:p>
              </w:tc>
              <w:tc>
                <w:tcPr>
                  <w:tcW w:w="554" w:type="pct"/>
                  <w:tcBorders>
                    <w:tl2br w:val="nil"/>
                    <w:tr2bl w:val="nil"/>
                  </w:tcBorders>
                </w:tcPr>
                <w:p w14:paraId="3C04FE8F">
                  <w:pPr>
                    <w:adjustRightInd w:val="0"/>
                    <w:snapToGrid w:val="0"/>
                    <w:jc w:val="center"/>
                    <w:rPr>
                      <w:color w:val="auto"/>
                      <w:kern w:val="0"/>
                    </w:rPr>
                  </w:pPr>
                  <w:r>
                    <w:rPr>
                      <w:rFonts w:hint="eastAsia"/>
                      <w:color w:val="auto"/>
                      <w:kern w:val="0"/>
                      <w:lang w:val="en-US" w:eastAsia="zh-CN"/>
                    </w:rPr>
                    <w:t>0.5</w:t>
                  </w:r>
                </w:p>
              </w:tc>
            </w:tr>
            <w:tr w14:paraId="6566F7D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03F304E8">
                  <w:pPr>
                    <w:adjustRightInd w:val="0"/>
                    <w:snapToGrid w:val="0"/>
                    <w:jc w:val="center"/>
                    <w:rPr>
                      <w:rFonts w:hint="default" w:eastAsia="宋体"/>
                      <w:color w:val="auto"/>
                      <w:kern w:val="0"/>
                      <w:lang w:val="en-US" w:eastAsia="zh-CN"/>
                    </w:rPr>
                  </w:pPr>
                  <w:r>
                    <w:rPr>
                      <w:rFonts w:hint="eastAsia"/>
                      <w:color w:val="auto"/>
                      <w:kern w:val="0"/>
                      <w:lang w:val="en-US" w:eastAsia="zh-CN"/>
                    </w:rPr>
                    <w:t>PAC</w:t>
                  </w:r>
                </w:p>
              </w:tc>
              <w:tc>
                <w:tcPr>
                  <w:tcW w:w="673" w:type="pct"/>
                  <w:tcBorders>
                    <w:tl2br w:val="nil"/>
                    <w:tr2bl w:val="nil"/>
                  </w:tcBorders>
                </w:tcPr>
                <w:p w14:paraId="2A136A10">
                  <w:pPr>
                    <w:adjustRightInd w:val="0"/>
                    <w:snapToGrid w:val="0"/>
                    <w:jc w:val="center"/>
                    <w:rPr>
                      <w:rFonts w:hint="eastAsia" w:eastAsia="宋体"/>
                      <w:color w:val="auto"/>
                      <w:kern w:val="0"/>
                      <w:lang w:val="en-US" w:eastAsia="zh-CN"/>
                    </w:rPr>
                  </w:pPr>
                  <w:r>
                    <w:rPr>
                      <w:rFonts w:hint="eastAsia"/>
                      <w:color w:val="auto"/>
                      <w:kern w:val="0"/>
                      <w:lang w:val="en-US" w:eastAsia="zh-CN"/>
                    </w:rPr>
                    <w:t>/</w:t>
                  </w:r>
                </w:p>
              </w:tc>
              <w:tc>
                <w:tcPr>
                  <w:tcW w:w="453" w:type="pct"/>
                  <w:tcBorders>
                    <w:tl2br w:val="nil"/>
                    <w:tr2bl w:val="nil"/>
                  </w:tcBorders>
                  <w:vAlign w:val="center"/>
                </w:tcPr>
                <w:p w14:paraId="778DC3EB">
                  <w:pPr>
                    <w:adjustRightInd w:val="0"/>
                    <w:snapToGrid w:val="0"/>
                    <w:jc w:val="center"/>
                    <w:rPr>
                      <w:rFonts w:hint="eastAsia"/>
                      <w:color w:val="auto"/>
                      <w:kern w:val="0"/>
                      <w:lang w:val="en-US" w:eastAsia="zh-CN"/>
                    </w:rPr>
                  </w:pPr>
                  <w:r>
                    <w:rPr>
                      <w:rFonts w:hint="eastAsia"/>
                      <w:color w:val="auto"/>
                      <w:kern w:val="0"/>
                      <w:lang w:val="en-US" w:eastAsia="zh-CN"/>
                    </w:rPr>
                    <w:t>吨</w:t>
                  </w:r>
                </w:p>
              </w:tc>
              <w:tc>
                <w:tcPr>
                  <w:tcW w:w="553" w:type="pct"/>
                  <w:tcBorders>
                    <w:tl2br w:val="nil"/>
                    <w:tr2bl w:val="nil"/>
                  </w:tcBorders>
                  <w:vAlign w:val="center"/>
                </w:tcPr>
                <w:p w14:paraId="437F33AA">
                  <w:pPr>
                    <w:adjustRightInd w:val="0"/>
                    <w:snapToGrid w:val="0"/>
                    <w:jc w:val="center"/>
                    <w:rPr>
                      <w:rFonts w:hint="default"/>
                      <w:color w:val="auto"/>
                      <w:kern w:val="0"/>
                      <w:lang w:val="en-US" w:eastAsia="zh-CN"/>
                    </w:rPr>
                  </w:pPr>
                  <w:r>
                    <w:rPr>
                      <w:rFonts w:hint="eastAsia"/>
                      <w:color w:val="auto"/>
                      <w:kern w:val="0"/>
                      <w:lang w:val="en-US" w:eastAsia="zh-CN"/>
                    </w:rPr>
                    <w:t>3</w:t>
                  </w:r>
                </w:p>
              </w:tc>
              <w:tc>
                <w:tcPr>
                  <w:tcW w:w="553" w:type="pct"/>
                  <w:tcBorders>
                    <w:tl2br w:val="nil"/>
                    <w:tr2bl w:val="nil"/>
                  </w:tcBorders>
                  <w:vAlign w:val="center"/>
                </w:tcPr>
                <w:p w14:paraId="2EB2DE8E">
                  <w:pPr>
                    <w:adjustRightInd w:val="0"/>
                    <w:snapToGrid w:val="0"/>
                    <w:jc w:val="center"/>
                    <w:rPr>
                      <w:color w:val="auto"/>
                      <w:kern w:val="0"/>
                    </w:rPr>
                  </w:pPr>
                  <w:r>
                    <w:rPr>
                      <w:rFonts w:hint="eastAsia"/>
                      <w:color w:val="auto"/>
                      <w:kern w:val="0"/>
                      <w:lang w:val="en-US" w:eastAsia="zh-CN"/>
                    </w:rPr>
                    <w:t>3</w:t>
                  </w:r>
                </w:p>
              </w:tc>
              <w:tc>
                <w:tcPr>
                  <w:tcW w:w="559" w:type="pct"/>
                  <w:tcBorders>
                    <w:tl2br w:val="nil"/>
                    <w:tr2bl w:val="nil"/>
                  </w:tcBorders>
                  <w:vAlign w:val="center"/>
                </w:tcPr>
                <w:p w14:paraId="6A0F2457">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3A36DC60">
                  <w:pPr>
                    <w:adjustRightInd w:val="0"/>
                    <w:snapToGrid w:val="0"/>
                    <w:jc w:val="center"/>
                    <w:rPr>
                      <w:color w:val="auto"/>
                      <w:kern w:val="0"/>
                    </w:rPr>
                  </w:pPr>
                  <w:r>
                    <w:rPr>
                      <w:color w:val="auto"/>
                      <w:kern w:val="0"/>
                    </w:rPr>
                    <w:t>固</w:t>
                  </w:r>
                </w:p>
              </w:tc>
              <w:tc>
                <w:tcPr>
                  <w:tcW w:w="681" w:type="pct"/>
                  <w:tcBorders>
                    <w:tl2br w:val="nil"/>
                    <w:tr2bl w:val="nil"/>
                  </w:tcBorders>
                </w:tcPr>
                <w:p w14:paraId="48B41F8E">
                  <w:pPr>
                    <w:adjustRightInd w:val="0"/>
                    <w:snapToGrid w:val="0"/>
                    <w:jc w:val="center"/>
                    <w:rPr>
                      <w:color w:val="auto"/>
                      <w:kern w:val="0"/>
                    </w:rPr>
                  </w:pPr>
                  <w:r>
                    <w:rPr>
                      <w:rFonts w:hint="eastAsia"/>
                      <w:color w:val="auto"/>
                      <w:kern w:val="0"/>
                      <w:lang w:val="en-US" w:eastAsia="zh-CN"/>
                    </w:rPr>
                    <w:t>25kg/袋</w:t>
                  </w:r>
                </w:p>
              </w:tc>
              <w:tc>
                <w:tcPr>
                  <w:tcW w:w="554" w:type="pct"/>
                  <w:tcBorders>
                    <w:tl2br w:val="nil"/>
                    <w:tr2bl w:val="nil"/>
                  </w:tcBorders>
                </w:tcPr>
                <w:p w14:paraId="0151A385">
                  <w:pPr>
                    <w:adjustRightInd w:val="0"/>
                    <w:snapToGrid w:val="0"/>
                    <w:jc w:val="center"/>
                    <w:rPr>
                      <w:color w:val="auto"/>
                      <w:kern w:val="0"/>
                    </w:rPr>
                  </w:pPr>
                  <w:r>
                    <w:rPr>
                      <w:rFonts w:hint="eastAsia"/>
                      <w:color w:val="auto"/>
                      <w:kern w:val="0"/>
                      <w:lang w:val="en-US" w:eastAsia="zh-CN"/>
                    </w:rPr>
                    <w:t>0.5</w:t>
                  </w:r>
                </w:p>
              </w:tc>
            </w:tr>
            <w:tr w14:paraId="6910E2D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4C93AC1E">
                  <w:pPr>
                    <w:adjustRightInd w:val="0"/>
                    <w:snapToGrid w:val="0"/>
                    <w:jc w:val="center"/>
                    <w:rPr>
                      <w:rFonts w:hint="default" w:eastAsia="宋体"/>
                      <w:color w:val="auto"/>
                      <w:kern w:val="0"/>
                      <w:lang w:val="en-US" w:eastAsia="zh-CN"/>
                    </w:rPr>
                  </w:pPr>
                  <w:r>
                    <w:rPr>
                      <w:rFonts w:hint="eastAsia"/>
                      <w:color w:val="auto"/>
                      <w:kern w:val="0"/>
                      <w:lang w:val="en-US" w:eastAsia="zh-CN"/>
                    </w:rPr>
                    <w:t>PAM</w:t>
                  </w:r>
                </w:p>
              </w:tc>
              <w:tc>
                <w:tcPr>
                  <w:tcW w:w="673" w:type="pct"/>
                  <w:tcBorders>
                    <w:tl2br w:val="nil"/>
                    <w:tr2bl w:val="nil"/>
                  </w:tcBorders>
                </w:tcPr>
                <w:p w14:paraId="1BA7E343">
                  <w:pPr>
                    <w:adjustRightInd w:val="0"/>
                    <w:snapToGrid w:val="0"/>
                    <w:jc w:val="center"/>
                    <w:rPr>
                      <w:rFonts w:hint="eastAsia" w:eastAsia="宋体"/>
                      <w:color w:val="auto"/>
                      <w:kern w:val="0"/>
                      <w:lang w:val="en-US" w:eastAsia="zh-CN"/>
                    </w:rPr>
                  </w:pPr>
                  <w:r>
                    <w:rPr>
                      <w:rFonts w:hint="eastAsia"/>
                      <w:color w:val="auto"/>
                      <w:kern w:val="0"/>
                      <w:lang w:val="en-US" w:eastAsia="zh-CN"/>
                    </w:rPr>
                    <w:t>/</w:t>
                  </w:r>
                </w:p>
              </w:tc>
              <w:tc>
                <w:tcPr>
                  <w:tcW w:w="453" w:type="pct"/>
                  <w:tcBorders>
                    <w:tl2br w:val="nil"/>
                    <w:tr2bl w:val="nil"/>
                  </w:tcBorders>
                  <w:vAlign w:val="center"/>
                </w:tcPr>
                <w:p w14:paraId="79F26B51">
                  <w:pPr>
                    <w:adjustRightInd w:val="0"/>
                    <w:snapToGrid w:val="0"/>
                    <w:jc w:val="center"/>
                    <w:rPr>
                      <w:rFonts w:hint="eastAsia"/>
                      <w:color w:val="auto"/>
                      <w:kern w:val="0"/>
                      <w:lang w:val="en-US" w:eastAsia="zh-CN"/>
                    </w:rPr>
                  </w:pPr>
                  <w:r>
                    <w:rPr>
                      <w:rFonts w:hint="eastAsia"/>
                      <w:color w:val="auto"/>
                      <w:kern w:val="0"/>
                      <w:lang w:val="en-US" w:eastAsia="zh-CN"/>
                    </w:rPr>
                    <w:t>吨</w:t>
                  </w:r>
                </w:p>
              </w:tc>
              <w:tc>
                <w:tcPr>
                  <w:tcW w:w="553" w:type="pct"/>
                  <w:tcBorders>
                    <w:tl2br w:val="nil"/>
                    <w:tr2bl w:val="nil"/>
                  </w:tcBorders>
                  <w:vAlign w:val="center"/>
                </w:tcPr>
                <w:p w14:paraId="47B98EC9">
                  <w:pPr>
                    <w:adjustRightInd w:val="0"/>
                    <w:snapToGrid w:val="0"/>
                    <w:jc w:val="center"/>
                    <w:rPr>
                      <w:rFonts w:hint="default"/>
                      <w:color w:val="auto"/>
                      <w:kern w:val="0"/>
                      <w:lang w:val="en-US" w:eastAsia="zh-CN"/>
                    </w:rPr>
                  </w:pPr>
                  <w:r>
                    <w:rPr>
                      <w:rFonts w:hint="eastAsia"/>
                      <w:color w:val="auto"/>
                      <w:kern w:val="0"/>
                      <w:lang w:val="en-US" w:eastAsia="zh-CN"/>
                    </w:rPr>
                    <w:t>0.15</w:t>
                  </w:r>
                </w:p>
              </w:tc>
              <w:tc>
                <w:tcPr>
                  <w:tcW w:w="553" w:type="pct"/>
                  <w:tcBorders>
                    <w:tl2br w:val="nil"/>
                    <w:tr2bl w:val="nil"/>
                  </w:tcBorders>
                  <w:vAlign w:val="center"/>
                </w:tcPr>
                <w:p w14:paraId="3E8E2CA5">
                  <w:pPr>
                    <w:adjustRightInd w:val="0"/>
                    <w:snapToGrid w:val="0"/>
                    <w:jc w:val="center"/>
                    <w:rPr>
                      <w:color w:val="auto"/>
                      <w:kern w:val="0"/>
                    </w:rPr>
                  </w:pPr>
                  <w:r>
                    <w:rPr>
                      <w:rFonts w:hint="eastAsia"/>
                      <w:color w:val="auto"/>
                      <w:kern w:val="0"/>
                      <w:lang w:val="en-US" w:eastAsia="zh-CN"/>
                    </w:rPr>
                    <w:t>0.15</w:t>
                  </w:r>
                </w:p>
              </w:tc>
              <w:tc>
                <w:tcPr>
                  <w:tcW w:w="559" w:type="pct"/>
                  <w:tcBorders>
                    <w:tl2br w:val="nil"/>
                    <w:tr2bl w:val="nil"/>
                  </w:tcBorders>
                  <w:vAlign w:val="center"/>
                </w:tcPr>
                <w:p w14:paraId="22B9392E">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15C6B125">
                  <w:pPr>
                    <w:adjustRightInd w:val="0"/>
                    <w:snapToGrid w:val="0"/>
                    <w:jc w:val="center"/>
                    <w:rPr>
                      <w:color w:val="auto"/>
                      <w:kern w:val="0"/>
                    </w:rPr>
                  </w:pPr>
                  <w:r>
                    <w:rPr>
                      <w:color w:val="auto"/>
                      <w:kern w:val="0"/>
                    </w:rPr>
                    <w:t>固</w:t>
                  </w:r>
                </w:p>
              </w:tc>
              <w:tc>
                <w:tcPr>
                  <w:tcW w:w="681" w:type="pct"/>
                  <w:tcBorders>
                    <w:tl2br w:val="nil"/>
                    <w:tr2bl w:val="nil"/>
                  </w:tcBorders>
                </w:tcPr>
                <w:p w14:paraId="161FFD46">
                  <w:pPr>
                    <w:adjustRightInd w:val="0"/>
                    <w:snapToGrid w:val="0"/>
                    <w:jc w:val="center"/>
                    <w:rPr>
                      <w:color w:val="auto"/>
                      <w:kern w:val="0"/>
                    </w:rPr>
                  </w:pPr>
                  <w:r>
                    <w:rPr>
                      <w:rFonts w:hint="eastAsia"/>
                      <w:color w:val="auto"/>
                      <w:kern w:val="0"/>
                      <w:lang w:val="en-US" w:eastAsia="zh-CN"/>
                    </w:rPr>
                    <w:t>25kg/袋</w:t>
                  </w:r>
                </w:p>
              </w:tc>
              <w:tc>
                <w:tcPr>
                  <w:tcW w:w="554" w:type="pct"/>
                  <w:tcBorders>
                    <w:tl2br w:val="nil"/>
                    <w:tr2bl w:val="nil"/>
                  </w:tcBorders>
                </w:tcPr>
                <w:p w14:paraId="1C9BC399">
                  <w:pPr>
                    <w:adjustRightInd w:val="0"/>
                    <w:snapToGrid w:val="0"/>
                    <w:jc w:val="center"/>
                    <w:rPr>
                      <w:rFonts w:hint="default" w:eastAsia="宋体"/>
                      <w:color w:val="auto"/>
                      <w:kern w:val="0"/>
                      <w:lang w:val="en-US" w:eastAsia="zh-CN"/>
                    </w:rPr>
                  </w:pPr>
                  <w:r>
                    <w:rPr>
                      <w:rFonts w:hint="eastAsia"/>
                      <w:color w:val="auto"/>
                      <w:kern w:val="0"/>
                      <w:lang w:val="en-US" w:eastAsia="zh-CN"/>
                    </w:rPr>
                    <w:t>0.1</w:t>
                  </w:r>
                </w:p>
              </w:tc>
            </w:tr>
            <w:tr w14:paraId="6660078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05" w:type="pct"/>
                  <w:gridSpan w:val="2"/>
                  <w:tcBorders>
                    <w:tl2br w:val="nil"/>
                    <w:tr2bl w:val="nil"/>
                  </w:tcBorders>
                  <w:vAlign w:val="center"/>
                </w:tcPr>
                <w:p w14:paraId="7C537FF5">
                  <w:pPr>
                    <w:adjustRightInd w:val="0"/>
                    <w:snapToGrid w:val="0"/>
                    <w:jc w:val="center"/>
                    <w:rPr>
                      <w:rFonts w:hint="eastAsia" w:eastAsia="宋体"/>
                      <w:color w:val="auto"/>
                      <w:kern w:val="0"/>
                      <w:lang w:val="en-US" w:eastAsia="zh-CN"/>
                    </w:rPr>
                  </w:pPr>
                  <w:r>
                    <w:rPr>
                      <w:rFonts w:hint="eastAsia"/>
                      <w:color w:val="auto"/>
                      <w:kern w:val="0"/>
                      <w:lang w:val="en-US" w:eastAsia="zh-CN"/>
                    </w:rPr>
                    <w:t>盐酸</w:t>
                  </w:r>
                </w:p>
              </w:tc>
              <w:tc>
                <w:tcPr>
                  <w:tcW w:w="673" w:type="pct"/>
                  <w:tcBorders>
                    <w:tl2br w:val="nil"/>
                    <w:tr2bl w:val="nil"/>
                  </w:tcBorders>
                </w:tcPr>
                <w:p w14:paraId="64BC1440">
                  <w:pPr>
                    <w:adjustRightInd w:val="0"/>
                    <w:snapToGrid w:val="0"/>
                    <w:jc w:val="center"/>
                    <w:rPr>
                      <w:rFonts w:hint="default" w:eastAsia="宋体"/>
                      <w:color w:val="auto"/>
                      <w:kern w:val="0"/>
                      <w:lang w:val="en-US" w:eastAsia="zh-CN"/>
                    </w:rPr>
                  </w:pPr>
                  <w:r>
                    <w:rPr>
                      <w:rFonts w:hint="eastAsia"/>
                      <w:color w:val="auto"/>
                      <w:kern w:val="0"/>
                      <w:lang w:val="en-US" w:eastAsia="zh-CN"/>
                    </w:rPr>
                    <w:t>HCl</w:t>
                  </w:r>
                </w:p>
              </w:tc>
              <w:tc>
                <w:tcPr>
                  <w:tcW w:w="453" w:type="pct"/>
                  <w:tcBorders>
                    <w:tl2br w:val="nil"/>
                    <w:tr2bl w:val="nil"/>
                  </w:tcBorders>
                  <w:vAlign w:val="center"/>
                </w:tcPr>
                <w:p w14:paraId="3C8B4761">
                  <w:pPr>
                    <w:adjustRightInd w:val="0"/>
                    <w:snapToGrid w:val="0"/>
                    <w:jc w:val="center"/>
                    <w:rPr>
                      <w:rFonts w:hint="eastAsia"/>
                      <w:color w:val="auto"/>
                      <w:kern w:val="0"/>
                      <w:lang w:val="en-US" w:eastAsia="zh-CN"/>
                    </w:rPr>
                  </w:pPr>
                  <w:r>
                    <w:rPr>
                      <w:rFonts w:hint="eastAsia"/>
                      <w:color w:val="auto"/>
                      <w:kern w:val="0"/>
                      <w:lang w:val="en-US" w:eastAsia="zh-CN"/>
                    </w:rPr>
                    <w:t>吨</w:t>
                  </w:r>
                </w:p>
              </w:tc>
              <w:tc>
                <w:tcPr>
                  <w:tcW w:w="553" w:type="pct"/>
                  <w:tcBorders>
                    <w:tl2br w:val="nil"/>
                    <w:tr2bl w:val="nil"/>
                  </w:tcBorders>
                  <w:vAlign w:val="center"/>
                </w:tcPr>
                <w:p w14:paraId="1AFEEBB2">
                  <w:pPr>
                    <w:adjustRightInd w:val="0"/>
                    <w:snapToGrid w:val="0"/>
                    <w:jc w:val="center"/>
                    <w:rPr>
                      <w:rFonts w:hint="default"/>
                      <w:color w:val="auto"/>
                      <w:kern w:val="0"/>
                      <w:lang w:val="en-US" w:eastAsia="zh-CN"/>
                    </w:rPr>
                  </w:pPr>
                  <w:r>
                    <w:rPr>
                      <w:rFonts w:hint="eastAsia"/>
                      <w:color w:val="auto"/>
                      <w:kern w:val="0"/>
                      <w:lang w:val="en-US" w:eastAsia="zh-CN"/>
                    </w:rPr>
                    <w:t>1.2</w:t>
                  </w:r>
                </w:p>
              </w:tc>
              <w:tc>
                <w:tcPr>
                  <w:tcW w:w="553" w:type="pct"/>
                  <w:tcBorders>
                    <w:tl2br w:val="nil"/>
                    <w:tr2bl w:val="nil"/>
                  </w:tcBorders>
                  <w:vAlign w:val="center"/>
                </w:tcPr>
                <w:p w14:paraId="773DF141">
                  <w:pPr>
                    <w:adjustRightInd w:val="0"/>
                    <w:snapToGrid w:val="0"/>
                    <w:jc w:val="center"/>
                    <w:rPr>
                      <w:color w:val="auto"/>
                      <w:kern w:val="0"/>
                    </w:rPr>
                  </w:pPr>
                  <w:r>
                    <w:rPr>
                      <w:rFonts w:hint="eastAsia"/>
                      <w:color w:val="auto"/>
                      <w:kern w:val="0"/>
                      <w:lang w:val="en-US" w:eastAsia="zh-CN"/>
                    </w:rPr>
                    <w:t>1.2</w:t>
                  </w:r>
                </w:p>
              </w:tc>
              <w:tc>
                <w:tcPr>
                  <w:tcW w:w="559" w:type="pct"/>
                  <w:tcBorders>
                    <w:tl2br w:val="nil"/>
                    <w:tr2bl w:val="nil"/>
                  </w:tcBorders>
                  <w:vAlign w:val="center"/>
                </w:tcPr>
                <w:p w14:paraId="1EBF51BB">
                  <w:pPr>
                    <w:adjustRightInd w:val="0"/>
                    <w:snapToGrid w:val="0"/>
                    <w:jc w:val="center"/>
                    <w:rPr>
                      <w:color w:val="auto"/>
                      <w:kern w:val="0"/>
                    </w:rPr>
                  </w:pPr>
                  <w:r>
                    <w:rPr>
                      <w:rFonts w:hint="eastAsia"/>
                      <w:color w:val="auto"/>
                      <w:kern w:val="0"/>
                      <w:lang w:val="en-US" w:eastAsia="zh-CN"/>
                    </w:rPr>
                    <w:t>0</w:t>
                  </w:r>
                </w:p>
              </w:tc>
              <w:tc>
                <w:tcPr>
                  <w:tcW w:w="266" w:type="pct"/>
                  <w:tcBorders>
                    <w:tl2br w:val="nil"/>
                    <w:tr2bl w:val="nil"/>
                  </w:tcBorders>
                  <w:vAlign w:val="center"/>
                </w:tcPr>
                <w:p w14:paraId="167DAD7F">
                  <w:pPr>
                    <w:adjustRightInd w:val="0"/>
                    <w:snapToGrid w:val="0"/>
                    <w:jc w:val="center"/>
                    <w:rPr>
                      <w:rFonts w:hint="eastAsia" w:eastAsia="宋体"/>
                      <w:color w:val="auto"/>
                      <w:kern w:val="0"/>
                      <w:lang w:val="en-US" w:eastAsia="zh-CN"/>
                    </w:rPr>
                  </w:pPr>
                  <w:r>
                    <w:rPr>
                      <w:rFonts w:hint="eastAsia"/>
                      <w:color w:val="auto"/>
                      <w:kern w:val="0"/>
                      <w:lang w:val="en-US" w:eastAsia="zh-CN"/>
                    </w:rPr>
                    <w:t>液</w:t>
                  </w:r>
                </w:p>
              </w:tc>
              <w:tc>
                <w:tcPr>
                  <w:tcW w:w="681" w:type="pct"/>
                  <w:tcBorders>
                    <w:tl2br w:val="nil"/>
                    <w:tr2bl w:val="nil"/>
                  </w:tcBorders>
                </w:tcPr>
                <w:p w14:paraId="11308246">
                  <w:pPr>
                    <w:adjustRightInd w:val="0"/>
                    <w:snapToGrid w:val="0"/>
                    <w:jc w:val="center"/>
                    <w:rPr>
                      <w:rFonts w:hint="default" w:eastAsia="宋体"/>
                      <w:color w:val="auto"/>
                      <w:kern w:val="0"/>
                      <w:lang w:val="en-US" w:eastAsia="zh-CN"/>
                    </w:rPr>
                  </w:pPr>
                  <w:r>
                    <w:rPr>
                      <w:rFonts w:hint="eastAsia"/>
                      <w:color w:val="auto"/>
                      <w:kern w:val="0"/>
                      <w:lang w:val="en-US" w:eastAsia="zh-CN"/>
                    </w:rPr>
                    <w:t>15kg/桶</w:t>
                  </w:r>
                </w:p>
              </w:tc>
              <w:tc>
                <w:tcPr>
                  <w:tcW w:w="554" w:type="pct"/>
                  <w:tcBorders>
                    <w:tl2br w:val="nil"/>
                    <w:tr2bl w:val="nil"/>
                  </w:tcBorders>
                </w:tcPr>
                <w:p w14:paraId="083D8FB4">
                  <w:pPr>
                    <w:adjustRightInd w:val="0"/>
                    <w:snapToGrid w:val="0"/>
                    <w:jc w:val="center"/>
                    <w:rPr>
                      <w:rFonts w:hint="default" w:eastAsia="宋体"/>
                      <w:color w:val="auto"/>
                      <w:kern w:val="0"/>
                      <w:lang w:val="en-US" w:eastAsia="zh-CN"/>
                    </w:rPr>
                  </w:pPr>
                  <w:r>
                    <w:rPr>
                      <w:rFonts w:hint="eastAsia"/>
                      <w:color w:val="auto"/>
                      <w:kern w:val="0"/>
                      <w:lang w:val="en-US" w:eastAsia="zh-CN"/>
                    </w:rPr>
                    <w:t>0.1</w:t>
                  </w:r>
                </w:p>
              </w:tc>
            </w:tr>
          </w:tbl>
          <w:p w14:paraId="3A84F929">
            <w:pPr>
              <w:adjustRightInd w:val="0"/>
              <w:snapToGrid w:val="0"/>
              <w:jc w:val="center"/>
              <w:rPr>
                <w:rFonts w:cs="宋体"/>
                <w:b/>
                <w:color w:val="auto"/>
              </w:rPr>
            </w:pPr>
            <w:r>
              <w:rPr>
                <w:rFonts w:hint="eastAsia" w:cs="宋体"/>
                <w:b/>
                <w:color w:val="auto"/>
              </w:rPr>
              <w:t>表2-</w:t>
            </w:r>
            <w:r>
              <w:rPr>
                <w:rFonts w:hint="eastAsia" w:cs="宋体"/>
                <w:b/>
                <w:color w:val="auto"/>
                <w:lang w:val="en-US" w:eastAsia="zh-CN"/>
              </w:rPr>
              <w:t>5</w:t>
            </w:r>
            <w:r>
              <w:rPr>
                <w:rFonts w:hint="eastAsia" w:cs="宋体"/>
                <w:b/>
                <w:color w:val="auto"/>
              </w:rPr>
              <w:t xml:space="preserve">   原辅材料理化性质一览表</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28" w:type="dxa"/>
                <w:bottom w:w="0" w:type="dxa"/>
                <w:right w:w="28" w:type="dxa"/>
              </w:tblCellMar>
            </w:tblPr>
            <w:tblGrid>
              <w:gridCol w:w="876"/>
              <w:gridCol w:w="4888"/>
              <w:gridCol w:w="1166"/>
              <w:gridCol w:w="1616"/>
            </w:tblGrid>
            <w:tr w14:paraId="3A84F92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513" w:type="pct"/>
                  <w:tcBorders>
                    <w:tl2br w:val="nil"/>
                    <w:tr2bl w:val="nil"/>
                  </w:tcBorders>
                  <w:vAlign w:val="center"/>
                </w:tcPr>
                <w:p w14:paraId="3A84F92A">
                  <w:pPr>
                    <w:pStyle w:val="707"/>
                    <w:jc w:val="center"/>
                    <w:rPr>
                      <w:rFonts w:ascii="Times New Roman"/>
                      <w:b/>
                      <w:bCs/>
                      <w:color w:val="auto"/>
                      <w:sz w:val="21"/>
                      <w:szCs w:val="21"/>
                    </w:rPr>
                  </w:pPr>
                  <w:r>
                    <w:rPr>
                      <w:rFonts w:ascii="Times New Roman"/>
                      <w:b/>
                      <w:bCs/>
                      <w:color w:val="auto"/>
                      <w:sz w:val="21"/>
                      <w:szCs w:val="21"/>
                    </w:rPr>
                    <w:t>名称</w:t>
                  </w:r>
                </w:p>
              </w:tc>
              <w:tc>
                <w:tcPr>
                  <w:tcW w:w="2859" w:type="pct"/>
                  <w:tcBorders>
                    <w:tl2br w:val="nil"/>
                    <w:tr2bl w:val="nil"/>
                  </w:tcBorders>
                  <w:vAlign w:val="center"/>
                </w:tcPr>
                <w:p w14:paraId="3A84F92B">
                  <w:pPr>
                    <w:pStyle w:val="707"/>
                    <w:jc w:val="center"/>
                    <w:rPr>
                      <w:rFonts w:ascii="Times New Roman"/>
                      <w:b/>
                      <w:bCs/>
                      <w:color w:val="auto"/>
                      <w:sz w:val="21"/>
                      <w:szCs w:val="21"/>
                    </w:rPr>
                  </w:pPr>
                  <w:r>
                    <w:rPr>
                      <w:rFonts w:ascii="Times New Roman"/>
                      <w:b/>
                      <w:bCs/>
                      <w:color w:val="auto"/>
                      <w:sz w:val="21"/>
                      <w:szCs w:val="21"/>
                    </w:rPr>
                    <w:t>理化特性</w:t>
                  </w:r>
                </w:p>
              </w:tc>
              <w:tc>
                <w:tcPr>
                  <w:tcW w:w="682" w:type="pct"/>
                  <w:tcBorders>
                    <w:tl2br w:val="nil"/>
                    <w:tr2bl w:val="nil"/>
                  </w:tcBorders>
                  <w:vAlign w:val="center"/>
                </w:tcPr>
                <w:p w14:paraId="3A84F92C">
                  <w:pPr>
                    <w:pStyle w:val="707"/>
                    <w:jc w:val="center"/>
                    <w:rPr>
                      <w:rFonts w:ascii="Times New Roman"/>
                      <w:b/>
                      <w:bCs/>
                      <w:color w:val="auto"/>
                      <w:sz w:val="21"/>
                      <w:szCs w:val="21"/>
                    </w:rPr>
                  </w:pPr>
                  <w:r>
                    <w:rPr>
                      <w:rFonts w:ascii="Times New Roman"/>
                      <w:b/>
                      <w:bCs/>
                      <w:color w:val="auto"/>
                      <w:sz w:val="21"/>
                      <w:szCs w:val="21"/>
                    </w:rPr>
                    <w:t>燃烧爆炸性</w:t>
                  </w:r>
                </w:p>
              </w:tc>
              <w:tc>
                <w:tcPr>
                  <w:tcW w:w="945" w:type="pct"/>
                  <w:tcBorders>
                    <w:tl2br w:val="nil"/>
                    <w:tr2bl w:val="nil"/>
                  </w:tcBorders>
                  <w:vAlign w:val="center"/>
                </w:tcPr>
                <w:p w14:paraId="3A84F92D">
                  <w:pPr>
                    <w:pStyle w:val="707"/>
                    <w:jc w:val="center"/>
                    <w:rPr>
                      <w:rFonts w:ascii="Times New Roman"/>
                      <w:b/>
                      <w:bCs/>
                      <w:color w:val="auto"/>
                      <w:sz w:val="21"/>
                      <w:szCs w:val="21"/>
                    </w:rPr>
                  </w:pPr>
                  <w:r>
                    <w:rPr>
                      <w:rFonts w:ascii="Times New Roman"/>
                      <w:b/>
                      <w:bCs/>
                      <w:color w:val="auto"/>
                      <w:sz w:val="21"/>
                      <w:szCs w:val="21"/>
                    </w:rPr>
                    <w:t>毒性毒理</w:t>
                  </w:r>
                </w:p>
              </w:tc>
            </w:tr>
            <w:tr w14:paraId="3A84F93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513" w:type="pct"/>
                  <w:tcBorders>
                    <w:tl2br w:val="nil"/>
                    <w:tr2bl w:val="nil"/>
                  </w:tcBorders>
                  <w:vAlign w:val="center"/>
                </w:tcPr>
                <w:p w14:paraId="3A84F92F">
                  <w:pPr>
                    <w:adjustRightInd w:val="0"/>
                    <w:snapToGrid w:val="0"/>
                    <w:jc w:val="center"/>
                    <w:rPr>
                      <w:color w:val="auto"/>
                      <w:kern w:val="0"/>
                    </w:rPr>
                  </w:pPr>
                  <w:r>
                    <w:rPr>
                      <w:color w:val="auto"/>
                      <w:kern w:val="0"/>
                    </w:rPr>
                    <w:t>硝酸胍</w:t>
                  </w:r>
                </w:p>
              </w:tc>
              <w:tc>
                <w:tcPr>
                  <w:tcW w:w="2859" w:type="pct"/>
                  <w:tcBorders>
                    <w:tl2br w:val="nil"/>
                    <w:tr2bl w:val="nil"/>
                  </w:tcBorders>
                  <w:vAlign w:val="center"/>
                </w:tcPr>
                <w:p w14:paraId="3A84F930">
                  <w:pPr>
                    <w:adjustRightInd w:val="0"/>
                    <w:snapToGrid w:val="0"/>
                    <w:jc w:val="center"/>
                    <w:rPr>
                      <w:color w:val="auto"/>
                      <w:kern w:val="0"/>
                    </w:rPr>
                  </w:pPr>
                  <w:r>
                    <w:rPr>
                      <w:color w:val="auto"/>
                      <w:kern w:val="0"/>
                    </w:rPr>
                    <w:t>白色颗粒，溶于水，乙醇，微溶于丙酮，不溶于苯、乙醚；密度1.44g/cm</w:t>
                  </w:r>
                  <w:r>
                    <w:rPr>
                      <w:color w:val="auto"/>
                      <w:kern w:val="0"/>
                      <w:vertAlign w:val="superscript"/>
                    </w:rPr>
                    <w:t>3</w:t>
                  </w:r>
                  <w:r>
                    <w:rPr>
                      <w:color w:val="auto"/>
                      <w:kern w:val="0"/>
                    </w:rPr>
                    <w:t>；熔点213-215℃；闪点34.2℃</w:t>
                  </w:r>
                </w:p>
              </w:tc>
              <w:tc>
                <w:tcPr>
                  <w:tcW w:w="682" w:type="pct"/>
                  <w:tcBorders>
                    <w:tl2br w:val="nil"/>
                    <w:tr2bl w:val="nil"/>
                  </w:tcBorders>
                  <w:vAlign w:val="center"/>
                </w:tcPr>
                <w:p w14:paraId="3A84F931">
                  <w:pPr>
                    <w:adjustRightInd w:val="0"/>
                    <w:snapToGrid w:val="0"/>
                    <w:jc w:val="center"/>
                    <w:rPr>
                      <w:color w:val="auto"/>
                      <w:kern w:val="0"/>
                    </w:rPr>
                  </w:pPr>
                  <w:r>
                    <w:rPr>
                      <w:color w:val="auto"/>
                      <w:kern w:val="0"/>
                    </w:rPr>
                    <w:t>可燃可爆</w:t>
                  </w:r>
                </w:p>
              </w:tc>
              <w:tc>
                <w:tcPr>
                  <w:tcW w:w="945" w:type="pct"/>
                  <w:tcBorders>
                    <w:tl2br w:val="nil"/>
                    <w:tr2bl w:val="nil"/>
                  </w:tcBorders>
                  <w:vAlign w:val="center"/>
                </w:tcPr>
                <w:p w14:paraId="3A84F932">
                  <w:pPr>
                    <w:adjustRightInd w:val="0"/>
                    <w:snapToGrid w:val="0"/>
                    <w:jc w:val="center"/>
                    <w:rPr>
                      <w:color w:val="auto"/>
                      <w:kern w:val="0"/>
                    </w:rPr>
                  </w:pPr>
                  <w:r>
                    <w:rPr>
                      <w:color w:val="auto"/>
                      <w:kern w:val="0"/>
                    </w:rPr>
                    <w:t>LD</w:t>
                  </w:r>
                  <w:r>
                    <w:rPr>
                      <w:color w:val="auto"/>
                      <w:kern w:val="0"/>
                      <w:vertAlign w:val="subscript"/>
                    </w:rPr>
                    <w:t>50</w:t>
                  </w:r>
                  <w:r>
                    <w:rPr>
                      <w:color w:val="auto"/>
                      <w:kern w:val="0"/>
                    </w:rPr>
                    <w:t>：730mg/kg（大鼠经口）</w:t>
                  </w:r>
                </w:p>
              </w:tc>
            </w:tr>
            <w:tr w14:paraId="3A84F93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513" w:type="pct"/>
                  <w:tcBorders>
                    <w:tl2br w:val="nil"/>
                    <w:tr2bl w:val="nil"/>
                  </w:tcBorders>
                  <w:vAlign w:val="center"/>
                </w:tcPr>
                <w:p w14:paraId="3A84F934">
                  <w:pPr>
                    <w:adjustRightInd w:val="0"/>
                    <w:snapToGrid w:val="0"/>
                    <w:jc w:val="center"/>
                    <w:rPr>
                      <w:color w:val="auto"/>
                      <w:kern w:val="0"/>
                    </w:rPr>
                  </w:pPr>
                  <w:r>
                    <w:rPr>
                      <w:color w:val="auto"/>
                      <w:kern w:val="0"/>
                    </w:rPr>
                    <w:t>硝酸铜</w:t>
                  </w:r>
                </w:p>
              </w:tc>
              <w:tc>
                <w:tcPr>
                  <w:tcW w:w="2859" w:type="pct"/>
                  <w:tcBorders>
                    <w:tl2br w:val="nil"/>
                    <w:tr2bl w:val="nil"/>
                  </w:tcBorders>
                  <w:vAlign w:val="center"/>
                </w:tcPr>
                <w:p w14:paraId="3A84F935">
                  <w:pPr>
                    <w:adjustRightInd w:val="0"/>
                    <w:snapToGrid w:val="0"/>
                    <w:jc w:val="center"/>
                    <w:rPr>
                      <w:color w:val="auto"/>
                      <w:kern w:val="0"/>
                    </w:rPr>
                  </w:pPr>
                  <w:r>
                    <w:rPr>
                      <w:color w:val="auto"/>
                      <w:kern w:val="0"/>
                    </w:rPr>
                    <w:t>白色粉状物，易潮解，易溶于水；熔点115℃；密度1.00g/mL at 20℃；蒸气压0pa at 25℃</w:t>
                  </w:r>
                </w:p>
              </w:tc>
              <w:tc>
                <w:tcPr>
                  <w:tcW w:w="682" w:type="pct"/>
                  <w:tcBorders>
                    <w:tl2br w:val="nil"/>
                    <w:tr2bl w:val="nil"/>
                  </w:tcBorders>
                  <w:vAlign w:val="center"/>
                </w:tcPr>
                <w:p w14:paraId="3A84F936">
                  <w:pPr>
                    <w:adjustRightInd w:val="0"/>
                    <w:snapToGrid w:val="0"/>
                    <w:jc w:val="center"/>
                    <w:rPr>
                      <w:color w:val="auto"/>
                      <w:kern w:val="0"/>
                    </w:rPr>
                  </w:pPr>
                  <w:r>
                    <w:rPr>
                      <w:color w:val="auto"/>
                      <w:kern w:val="0"/>
                    </w:rPr>
                    <w:t>可燃可爆</w:t>
                  </w:r>
                </w:p>
              </w:tc>
              <w:tc>
                <w:tcPr>
                  <w:tcW w:w="945" w:type="pct"/>
                  <w:tcBorders>
                    <w:tl2br w:val="nil"/>
                    <w:tr2bl w:val="nil"/>
                  </w:tcBorders>
                  <w:vAlign w:val="center"/>
                </w:tcPr>
                <w:p w14:paraId="3A84F937">
                  <w:pPr>
                    <w:adjustRightInd w:val="0"/>
                    <w:snapToGrid w:val="0"/>
                    <w:jc w:val="center"/>
                    <w:rPr>
                      <w:color w:val="auto"/>
                      <w:kern w:val="0"/>
                    </w:rPr>
                  </w:pPr>
                  <w:r>
                    <w:rPr>
                      <w:color w:val="auto"/>
                      <w:kern w:val="0"/>
                    </w:rPr>
                    <w:t>LD</w:t>
                  </w:r>
                  <w:r>
                    <w:rPr>
                      <w:color w:val="auto"/>
                      <w:kern w:val="0"/>
                      <w:vertAlign w:val="subscript"/>
                    </w:rPr>
                    <w:t>50</w:t>
                  </w:r>
                  <w:r>
                    <w:rPr>
                      <w:color w:val="auto"/>
                      <w:kern w:val="0"/>
                    </w:rPr>
                    <w:t>：940mg/kg（大鼠经口）</w:t>
                  </w:r>
                </w:p>
              </w:tc>
            </w:tr>
          </w:tbl>
          <w:p w14:paraId="3A84F939">
            <w:pPr>
              <w:autoSpaceDE w:val="0"/>
              <w:autoSpaceDN w:val="0"/>
              <w:adjustRightInd w:val="0"/>
              <w:snapToGrid w:val="0"/>
              <w:spacing w:line="360" w:lineRule="auto"/>
              <w:jc w:val="left"/>
              <w:rPr>
                <w:rFonts w:cs="宋体"/>
                <w:b/>
                <w:bCs/>
                <w:color w:val="auto"/>
              </w:rPr>
            </w:pPr>
            <w:r>
              <w:rPr>
                <w:rFonts w:hint="eastAsia" w:cs="宋体"/>
                <w:b/>
                <w:bCs/>
                <w:color w:val="auto"/>
              </w:rPr>
              <w:t>2.1.6 项目选址及平面布局</w:t>
            </w:r>
          </w:p>
          <w:p w14:paraId="3A84F93A">
            <w:pPr>
              <w:adjustRightInd w:val="0"/>
              <w:snapToGrid w:val="0"/>
              <w:spacing w:line="360" w:lineRule="auto"/>
              <w:ind w:firstLine="420" w:firstLineChars="200"/>
              <w:rPr>
                <w:rFonts w:cs="宋体"/>
                <w:color w:val="auto"/>
              </w:rPr>
            </w:pPr>
            <w:r>
              <w:rPr>
                <w:rFonts w:hint="eastAsia" w:cs="宋体"/>
                <w:color w:val="auto"/>
              </w:rPr>
              <w:t>公司选址位于</w:t>
            </w:r>
            <w:r>
              <w:rPr>
                <w:rFonts w:hint="eastAsia"/>
                <w:color w:val="auto"/>
              </w:rPr>
              <w:t>江苏省常州市金坛区薛埠镇奥托立夫大道1号</w:t>
            </w:r>
            <w:r>
              <w:rPr>
                <w:rFonts w:hint="eastAsia" w:cs="宋体"/>
                <w:color w:val="auto"/>
              </w:rPr>
              <w:t>建设年产2000万件气体发生器生产配套项目，利用现有厂房3936m</w:t>
            </w:r>
            <w:r>
              <w:rPr>
                <w:rFonts w:hint="eastAsia" w:cs="宋体"/>
                <w:color w:val="auto"/>
                <w:vertAlign w:val="superscript"/>
              </w:rPr>
              <w:t>2</w:t>
            </w:r>
            <w:r>
              <w:rPr>
                <w:rFonts w:hint="eastAsia" w:cs="宋体"/>
                <w:color w:val="auto"/>
              </w:rPr>
              <w:t>。项目厂房</w:t>
            </w:r>
            <w:r>
              <w:rPr>
                <w:rFonts w:hint="eastAsia" w:cs="宋体"/>
                <w:color w:val="auto"/>
                <w:lang w:val="en-US" w:eastAsia="zh-CN"/>
              </w:rPr>
              <w:t>四侧均为企业内部其他厂房</w:t>
            </w:r>
            <w:r>
              <w:rPr>
                <w:rFonts w:hint="eastAsia" w:cs="宋体"/>
                <w:color w:val="auto"/>
              </w:rPr>
              <w:t>。项目地理位置图见附图1，周边环境概况图见附图2。</w:t>
            </w:r>
          </w:p>
          <w:p w14:paraId="3A84F93B">
            <w:pPr>
              <w:adjustRightInd w:val="0"/>
              <w:snapToGrid w:val="0"/>
              <w:spacing w:line="360" w:lineRule="auto"/>
              <w:ind w:firstLine="420" w:firstLineChars="200"/>
              <w:rPr>
                <w:rFonts w:cs="宋体"/>
                <w:color w:val="auto"/>
              </w:rPr>
            </w:pPr>
            <w:r>
              <w:rPr>
                <w:rFonts w:hint="eastAsia" w:cs="宋体"/>
                <w:color w:val="auto"/>
              </w:rPr>
              <w:t>本项目平面布置功能分区明确，车间包括：PF双极生产线、PF单级生产线。项目车间平面布置图及厂区平面布置图见附图3。</w:t>
            </w:r>
          </w:p>
          <w:p w14:paraId="3A84F93C">
            <w:pPr>
              <w:autoSpaceDE w:val="0"/>
              <w:autoSpaceDN w:val="0"/>
              <w:adjustRightInd w:val="0"/>
              <w:snapToGrid w:val="0"/>
              <w:spacing w:line="360" w:lineRule="auto"/>
              <w:jc w:val="left"/>
              <w:rPr>
                <w:rFonts w:cs="宋体"/>
                <w:color w:val="auto"/>
              </w:rPr>
            </w:pPr>
            <w:r>
              <w:rPr>
                <w:rFonts w:hint="eastAsia" w:cs="宋体"/>
                <w:b/>
                <w:bCs/>
                <w:color w:val="auto"/>
              </w:rPr>
              <w:t>2.1.7 劳动定员及工作时数</w:t>
            </w:r>
          </w:p>
          <w:p w14:paraId="3A84F93D">
            <w:pPr>
              <w:adjustRightInd w:val="0"/>
              <w:snapToGrid w:val="0"/>
              <w:spacing w:line="360" w:lineRule="auto"/>
              <w:ind w:firstLine="420" w:firstLineChars="200"/>
              <w:rPr>
                <w:rFonts w:cs="宋体"/>
                <w:color w:val="auto"/>
              </w:rPr>
            </w:pPr>
            <w:r>
              <w:rPr>
                <w:rFonts w:hint="eastAsia" w:cs="宋体"/>
                <w:color w:val="auto"/>
              </w:rPr>
              <w:t>工作制度：本项目员工年工作280天，两班制，每班11小时，年工作时长6160h/a。</w:t>
            </w:r>
          </w:p>
          <w:p w14:paraId="3A84F93E">
            <w:pPr>
              <w:adjustRightInd w:val="0"/>
              <w:snapToGrid w:val="0"/>
              <w:spacing w:line="360" w:lineRule="auto"/>
              <w:ind w:firstLine="420" w:firstLineChars="200"/>
              <w:rPr>
                <w:color w:val="auto"/>
              </w:rPr>
            </w:pPr>
            <w:r>
              <w:rPr>
                <w:rFonts w:hint="eastAsia" w:cs="宋体"/>
                <w:color w:val="auto"/>
              </w:rPr>
              <w:t>项目人数：</w:t>
            </w:r>
            <w:r>
              <w:rPr>
                <w:rFonts w:hint="eastAsia"/>
                <w:color w:val="auto"/>
              </w:rPr>
              <w:t>企业现有员工1300人，本项目新增员工40人，扩建后全厂员工1340人。</w:t>
            </w:r>
          </w:p>
          <w:p w14:paraId="3A84F93F">
            <w:pPr>
              <w:adjustRightInd w:val="0"/>
              <w:snapToGrid w:val="0"/>
              <w:spacing w:line="360" w:lineRule="auto"/>
              <w:ind w:firstLine="420" w:firstLineChars="200"/>
              <w:rPr>
                <w:color w:val="auto"/>
              </w:rPr>
            </w:pPr>
            <w:r>
              <w:rPr>
                <w:rFonts w:hint="eastAsia" w:cs="宋体"/>
                <w:color w:val="auto"/>
              </w:rPr>
              <w:t>本项目不新增食堂、宿舍。</w:t>
            </w:r>
          </w:p>
          <w:p w14:paraId="3A84F940">
            <w:pPr>
              <w:widowControl/>
              <w:spacing w:line="360" w:lineRule="auto"/>
              <w:rPr>
                <w:rFonts w:cs="宋体"/>
                <w:b/>
                <w:bCs/>
                <w:color w:val="auto"/>
              </w:rPr>
            </w:pPr>
            <w:r>
              <w:rPr>
                <w:rFonts w:hint="eastAsia" w:cs="宋体"/>
                <w:b/>
                <w:bCs/>
                <w:color w:val="auto"/>
              </w:rPr>
              <w:t>2.1.8 给排水</w:t>
            </w:r>
          </w:p>
          <w:p w14:paraId="3A84F941">
            <w:pPr>
              <w:pStyle w:val="23"/>
              <w:ind w:firstLine="420" w:firstLineChars="200"/>
              <w:rPr>
                <w:color w:val="auto"/>
                <w:sz w:val="21"/>
                <w:szCs w:val="21"/>
              </w:rPr>
            </w:pPr>
            <w:r>
              <w:rPr>
                <w:rFonts w:hint="eastAsia"/>
                <w:color w:val="auto"/>
                <w:sz w:val="21"/>
                <w:szCs w:val="21"/>
              </w:rPr>
              <w:t>本项目用水主要为员工生活用水。</w:t>
            </w:r>
          </w:p>
          <w:p w14:paraId="3A84F942">
            <w:pPr>
              <w:adjustRightInd w:val="0"/>
              <w:snapToGrid w:val="0"/>
              <w:spacing w:line="360" w:lineRule="auto"/>
              <w:ind w:firstLine="422" w:firstLineChars="200"/>
              <w:rPr>
                <w:b/>
                <w:bCs/>
                <w:color w:val="auto"/>
                <w:kern w:val="0"/>
              </w:rPr>
            </w:pPr>
            <w:r>
              <w:rPr>
                <w:rFonts w:hint="eastAsia"/>
                <w:b/>
                <w:bCs/>
                <w:color w:val="auto"/>
                <w:kern w:val="0"/>
              </w:rPr>
              <w:t>生活用水：</w:t>
            </w:r>
          </w:p>
          <w:p w14:paraId="3A84F943">
            <w:pPr>
              <w:widowControl/>
              <w:adjustRightInd w:val="0"/>
              <w:snapToGrid w:val="0"/>
              <w:spacing w:line="360" w:lineRule="auto"/>
              <w:ind w:firstLine="420" w:firstLineChars="200"/>
              <w:rPr>
                <w:color w:val="auto"/>
                <w:kern w:val="0"/>
              </w:rPr>
            </w:pPr>
            <w:r>
              <w:rPr>
                <w:color w:val="auto"/>
                <w:kern w:val="0"/>
              </w:rPr>
              <w:t>本项目职工</w:t>
            </w:r>
            <w:r>
              <w:rPr>
                <w:rFonts w:hint="eastAsia"/>
                <w:color w:val="auto"/>
                <w:kern w:val="0"/>
              </w:rPr>
              <w:t>定员40</w:t>
            </w:r>
            <w:r>
              <w:rPr>
                <w:color w:val="auto"/>
                <w:kern w:val="0"/>
              </w:rPr>
              <w:t>人，年</w:t>
            </w:r>
            <w:r>
              <w:rPr>
                <w:rFonts w:hint="eastAsia"/>
                <w:color w:val="auto"/>
                <w:kern w:val="0"/>
              </w:rPr>
              <w:t>工作</w:t>
            </w:r>
            <w:r>
              <w:rPr>
                <w:color w:val="auto"/>
                <w:kern w:val="0"/>
              </w:rPr>
              <w:t>天数</w:t>
            </w:r>
            <w:r>
              <w:rPr>
                <w:rFonts w:hint="eastAsia"/>
                <w:color w:val="auto"/>
                <w:kern w:val="0"/>
              </w:rPr>
              <w:t>为280</w:t>
            </w:r>
            <w:r>
              <w:rPr>
                <w:color w:val="auto"/>
                <w:kern w:val="0"/>
              </w:rPr>
              <w:t>天，生活用水按</w:t>
            </w:r>
            <w:r>
              <w:rPr>
                <w:rFonts w:hint="eastAsia"/>
                <w:color w:val="auto"/>
                <w:kern w:val="0"/>
              </w:rPr>
              <w:t>100</w:t>
            </w:r>
            <w:r>
              <w:rPr>
                <w:color w:val="auto"/>
                <w:kern w:val="0"/>
              </w:rPr>
              <w:t>L/人·天计，则生活用水量约</w:t>
            </w:r>
            <w:r>
              <w:rPr>
                <w:rFonts w:hint="eastAsia"/>
                <w:color w:val="auto"/>
                <w:kern w:val="0"/>
              </w:rPr>
              <w:t>1120</w:t>
            </w:r>
            <w:r>
              <w:rPr>
                <w:color w:val="auto"/>
                <w:kern w:val="0"/>
              </w:rPr>
              <w:t>t/a；生活污水按用水量</w:t>
            </w:r>
            <w:r>
              <w:rPr>
                <w:rFonts w:hint="eastAsia"/>
                <w:color w:val="auto"/>
                <w:kern w:val="0"/>
              </w:rPr>
              <w:t>8</w:t>
            </w:r>
            <w:r>
              <w:rPr>
                <w:color w:val="auto"/>
                <w:kern w:val="0"/>
              </w:rPr>
              <w:t>0%计，则生活污水产生量约</w:t>
            </w:r>
            <w:r>
              <w:rPr>
                <w:rFonts w:hint="eastAsia"/>
                <w:color w:val="auto"/>
                <w:kern w:val="0"/>
              </w:rPr>
              <w:t>896</w:t>
            </w:r>
            <w:r>
              <w:rPr>
                <w:color w:val="auto"/>
                <w:kern w:val="0"/>
              </w:rPr>
              <w:t>t/a，接入</w:t>
            </w:r>
            <w:r>
              <w:rPr>
                <w:rFonts w:hint="eastAsia"/>
                <w:color w:val="auto"/>
                <w:kern w:val="0"/>
              </w:rPr>
              <w:t>常州市金坛区茅东污水处理厂集中处理</w:t>
            </w:r>
            <w:r>
              <w:rPr>
                <w:color w:val="auto"/>
                <w:kern w:val="0"/>
              </w:rPr>
              <w:t>，尾水排入</w:t>
            </w:r>
            <w:r>
              <w:rPr>
                <w:rFonts w:hint="eastAsia"/>
                <w:color w:val="auto"/>
                <w:kern w:val="0"/>
              </w:rPr>
              <w:t>薛埠河。</w:t>
            </w:r>
          </w:p>
          <w:p w14:paraId="3A84F944">
            <w:pPr>
              <w:pStyle w:val="23"/>
              <w:ind w:firstLine="422" w:firstLineChars="200"/>
              <w:rPr>
                <w:b/>
                <w:bCs/>
                <w:color w:val="auto"/>
                <w:sz w:val="21"/>
                <w:szCs w:val="21"/>
              </w:rPr>
            </w:pPr>
            <w:r>
              <w:rPr>
                <w:rFonts w:hint="eastAsia"/>
                <w:b/>
                <w:bCs/>
                <w:color w:val="auto"/>
                <w:sz w:val="21"/>
                <w:szCs w:val="21"/>
              </w:rPr>
              <w:t>项目水平衡图如下：</w:t>
            </w:r>
          </w:p>
          <w:p w14:paraId="3A84F945">
            <w:pPr>
              <w:keepNext w:val="0"/>
              <w:keepLines w:val="0"/>
              <w:pageBreakBefore w:val="0"/>
              <w:widowControl w:val="0"/>
              <w:kinsoku/>
              <w:wordWrap/>
              <w:overflowPunct/>
              <w:topLinePunct w:val="0"/>
              <w:autoSpaceDE/>
              <w:autoSpaceDN/>
              <w:bidi w:val="0"/>
              <w:adjustRightInd w:val="0"/>
              <w:snapToGrid w:val="0"/>
              <w:jc w:val="center"/>
              <w:textAlignment w:val="auto"/>
              <w:rPr>
                <w:b/>
                <w:color w:val="auto"/>
              </w:rPr>
            </w:pPr>
            <w:r>
              <w:rPr>
                <w:b/>
                <w:color w:val="auto"/>
              </w:rPr>
              <w:object>
                <v:shape id="_x0000_i1025" o:spt="75" type="#_x0000_t75" style="height:83.4pt;width:384pt;" o:ole="t" filled="f" o:preferrelative="t" stroked="f" coordsize="21600,21600">
                  <v:path/>
                  <v:fill on="f" focussize="0,0"/>
                  <v:stroke on="f" joinstyle="miter"/>
                  <v:imagedata r:id="rId11" o:title=""/>
                  <o:lock v:ext="edit" aspectratio="f"/>
                  <w10:wrap type="none"/>
                  <w10:anchorlock/>
                </v:shape>
                <o:OLEObject Type="Embed" ProgID="Visio.Drawing.11" ShapeID="_x0000_i1025" DrawAspect="Content" ObjectID="_1468075725" r:id="rId10">
                  <o:LockedField>false</o:LockedField>
                </o:OLEObject>
              </w:object>
            </w:r>
          </w:p>
          <w:p w14:paraId="3A84F946">
            <w:pPr>
              <w:adjustRightInd w:val="0"/>
              <w:snapToGrid w:val="0"/>
              <w:spacing w:line="360" w:lineRule="auto"/>
              <w:jc w:val="center"/>
              <w:rPr>
                <w:b/>
                <w:color w:val="auto"/>
              </w:rPr>
            </w:pPr>
            <w:r>
              <w:rPr>
                <w:b/>
                <w:color w:val="auto"/>
              </w:rPr>
              <w:t>图2-</w:t>
            </w:r>
            <w:r>
              <w:rPr>
                <w:rFonts w:hint="eastAsia"/>
                <w:b/>
                <w:color w:val="auto"/>
              </w:rPr>
              <w:t>1   本项目</w:t>
            </w:r>
            <w:r>
              <w:rPr>
                <w:b/>
                <w:color w:val="auto"/>
              </w:rPr>
              <w:t>水平衡图（t/a）</w:t>
            </w:r>
          </w:p>
          <w:p w14:paraId="3A84F947">
            <w:pPr>
              <w:adjustRightInd w:val="0"/>
              <w:snapToGrid w:val="0"/>
              <w:rPr>
                <w:b/>
                <w:bCs/>
                <w:color w:val="auto"/>
              </w:rPr>
            </w:pPr>
            <w:r>
              <w:rPr>
                <w:b/>
                <w:bCs/>
                <w:color w:val="auto"/>
              </w:rPr>
              <w:object>
                <v:shape id="_x0000_i1026" o:spt="75" type="#_x0000_t75" style="height:643.35pt;width:421.25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6" r:id="rId12">
                  <o:LockedField>false</o:LockedField>
                </o:OLEObject>
              </w:object>
            </w:r>
          </w:p>
          <w:p w14:paraId="3A84F948">
            <w:pPr>
              <w:adjustRightInd w:val="0"/>
              <w:snapToGrid w:val="0"/>
              <w:spacing w:line="360" w:lineRule="auto"/>
              <w:jc w:val="center"/>
              <w:rPr>
                <w:b/>
                <w:bCs/>
                <w:color w:val="auto"/>
              </w:rPr>
            </w:pPr>
            <w:r>
              <w:rPr>
                <w:rFonts w:hint="eastAsia"/>
                <w:b/>
                <w:bCs/>
                <w:color w:val="auto"/>
              </w:rPr>
              <w:t>图2-2   扩建后全厂水平衡图</w:t>
            </w:r>
          </w:p>
        </w:tc>
      </w:tr>
      <w:tr w14:paraId="3A84F9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876" w:hRule="atLeast"/>
          <w:jc w:val="center"/>
        </w:trPr>
        <w:tc>
          <w:tcPr>
            <w:tcW w:w="521" w:type="dxa"/>
            <w:vAlign w:val="center"/>
          </w:tcPr>
          <w:p w14:paraId="3A84F94A">
            <w:pPr>
              <w:pStyle w:val="55"/>
              <w:rPr>
                <w:color w:val="auto"/>
                <w:sz w:val="21"/>
                <w:szCs w:val="21"/>
              </w:rPr>
            </w:pPr>
            <w:r>
              <w:rPr>
                <w:color w:val="auto"/>
                <w:sz w:val="21"/>
                <w:szCs w:val="21"/>
              </w:rPr>
              <w:t>工艺流程和产排污环节</w:t>
            </w:r>
          </w:p>
        </w:tc>
        <w:tc>
          <w:tcPr>
            <w:tcW w:w="8765" w:type="dxa"/>
          </w:tcPr>
          <w:p w14:paraId="3A84F94B">
            <w:pPr>
              <w:autoSpaceDE w:val="0"/>
              <w:autoSpaceDN w:val="0"/>
              <w:adjustRightInd w:val="0"/>
              <w:snapToGrid w:val="0"/>
              <w:spacing w:line="360" w:lineRule="auto"/>
              <w:jc w:val="left"/>
              <w:rPr>
                <w:b/>
                <w:color w:val="auto"/>
                <w:kern w:val="0"/>
              </w:rPr>
            </w:pPr>
            <w:r>
              <w:rPr>
                <w:b/>
                <w:color w:val="auto"/>
              </w:rPr>
              <w:t>2.2 工艺流程和产排污环节</w:t>
            </w:r>
          </w:p>
          <w:p w14:paraId="3A84F94C">
            <w:pPr>
              <w:autoSpaceDE w:val="0"/>
              <w:autoSpaceDN w:val="0"/>
              <w:adjustRightInd w:val="0"/>
              <w:snapToGrid w:val="0"/>
              <w:spacing w:line="360" w:lineRule="auto"/>
              <w:jc w:val="left"/>
              <w:rPr>
                <w:b/>
                <w:color w:val="auto"/>
              </w:rPr>
            </w:pPr>
            <w:r>
              <w:rPr>
                <w:b/>
                <w:color w:val="auto"/>
              </w:rPr>
              <w:t>2.2.1 工艺流程简介</w:t>
            </w:r>
          </w:p>
          <w:p w14:paraId="3A84F94D">
            <w:pPr>
              <w:spacing w:line="360" w:lineRule="auto"/>
              <w:ind w:firstLine="420" w:firstLineChars="200"/>
              <w:rPr>
                <w:color w:val="auto"/>
              </w:rPr>
            </w:pPr>
            <w:r>
              <w:rPr>
                <w:color w:val="auto"/>
              </w:rPr>
              <w:t>本项目</w:t>
            </w:r>
            <w:r>
              <w:rPr>
                <w:rFonts w:hint="eastAsia"/>
                <w:color w:val="auto"/>
              </w:rPr>
              <w:t>产品</w:t>
            </w:r>
            <w:r>
              <w:rPr>
                <w:color w:val="auto"/>
              </w:rPr>
              <w:t>为</w:t>
            </w:r>
            <w:r>
              <w:rPr>
                <w:rFonts w:hint="eastAsia"/>
                <w:color w:val="auto"/>
              </w:rPr>
              <w:t>气体发生器</w:t>
            </w:r>
            <w:r>
              <w:rPr>
                <w:color w:val="auto"/>
              </w:rPr>
              <w:t>，</w:t>
            </w:r>
            <w:r>
              <w:rPr>
                <w:rFonts w:hint="eastAsia"/>
                <w:color w:val="auto"/>
              </w:rPr>
              <w:t>生产工艺流程如下所示：</w:t>
            </w:r>
          </w:p>
          <w:p w14:paraId="3A84F94E">
            <w:pPr>
              <w:spacing w:line="360" w:lineRule="auto"/>
              <w:ind w:firstLine="422" w:firstLineChars="200"/>
              <w:rPr>
                <w:b/>
                <w:bCs/>
                <w:color w:val="auto"/>
                <w:kern w:val="0"/>
              </w:rPr>
            </w:pPr>
            <w:r>
              <w:rPr>
                <w:rFonts w:hint="eastAsia"/>
                <w:b/>
                <w:bCs/>
                <w:color w:val="auto"/>
                <w:kern w:val="0"/>
              </w:rPr>
              <w:t>①PF双极气体发生器</w:t>
            </w:r>
            <w:r>
              <w:rPr>
                <w:b/>
                <w:bCs/>
                <w:color w:val="auto"/>
                <w:kern w:val="0"/>
              </w:rPr>
              <w:t>生产工艺流程图</w:t>
            </w:r>
            <w:r>
              <w:rPr>
                <w:rFonts w:hint="eastAsia"/>
                <w:b/>
                <w:bCs/>
                <w:color w:val="auto"/>
                <w:kern w:val="0"/>
              </w:rPr>
              <w:t>如下</w:t>
            </w:r>
            <w:r>
              <w:rPr>
                <w:b/>
                <w:bCs/>
                <w:color w:val="auto"/>
                <w:kern w:val="0"/>
              </w:rPr>
              <w:t>：</w:t>
            </w:r>
          </w:p>
          <w:p w14:paraId="3A84F94F">
            <w:pPr>
              <w:adjustRightInd w:val="0"/>
              <w:snapToGrid w:val="0"/>
              <w:jc w:val="center"/>
              <w:rPr>
                <w:rFonts w:cs="宋体"/>
                <w:b/>
                <w:color w:val="auto"/>
              </w:rPr>
            </w:pPr>
            <w:r>
              <w:rPr>
                <w:rFonts w:cs="宋体"/>
                <w:b/>
                <w:color w:val="auto"/>
              </w:rPr>
              <w:object>
                <v:shape id="_x0000_i1027" o:spt="75" type="#_x0000_t75" style="height:573pt;width:289.5pt;" o:ole="t" filled="f" o:preferrelative="t" stroked="f" coordsize="21600,21600">
                  <v:path/>
                  <v:fill on="f" focussize="0,0"/>
                  <v:stroke on="f" joinstyle="miter"/>
                  <v:imagedata r:id="rId15" o:title=""/>
                  <o:lock v:ext="edit" aspectratio="f"/>
                  <w10:wrap type="none"/>
                  <w10:anchorlock/>
                </v:shape>
                <o:OLEObject Type="Embed" ProgID="Visio.Drawing.11" ShapeID="_x0000_i1027" DrawAspect="Content" ObjectID="_1468075727" r:id="rId14">
                  <o:LockedField>false</o:LockedField>
                </o:OLEObject>
              </w:object>
            </w:r>
          </w:p>
          <w:p w14:paraId="3A84F950">
            <w:pPr>
              <w:adjustRightInd w:val="0"/>
              <w:snapToGrid w:val="0"/>
              <w:spacing w:line="360" w:lineRule="auto"/>
              <w:jc w:val="center"/>
              <w:rPr>
                <w:rFonts w:cs="宋体"/>
                <w:b/>
                <w:color w:val="auto"/>
              </w:rPr>
            </w:pPr>
            <w:r>
              <w:rPr>
                <w:rFonts w:hint="eastAsia" w:cs="宋体"/>
                <w:b/>
                <w:color w:val="auto"/>
              </w:rPr>
              <w:t xml:space="preserve">图2-3   </w:t>
            </w:r>
            <w:r>
              <w:rPr>
                <w:rFonts w:hint="eastAsia"/>
                <w:b/>
                <w:bCs/>
                <w:color w:val="auto"/>
                <w:kern w:val="0"/>
              </w:rPr>
              <w:t>PF双极气体发生器</w:t>
            </w:r>
            <w:r>
              <w:rPr>
                <w:rFonts w:hint="eastAsia" w:cs="宋体"/>
                <w:b/>
                <w:color w:val="auto"/>
              </w:rPr>
              <w:t>生产工艺流程图</w:t>
            </w:r>
          </w:p>
          <w:p w14:paraId="3A84F951">
            <w:pPr>
              <w:adjustRightInd w:val="0"/>
              <w:snapToGrid w:val="0"/>
              <w:spacing w:line="360" w:lineRule="auto"/>
              <w:ind w:firstLine="422" w:firstLineChars="200"/>
              <w:rPr>
                <w:b/>
                <w:color w:val="auto"/>
                <w:kern w:val="0"/>
              </w:rPr>
            </w:pPr>
            <w:r>
              <w:rPr>
                <w:rFonts w:hint="eastAsia"/>
                <w:b/>
                <w:color w:val="auto"/>
                <w:kern w:val="0"/>
              </w:rPr>
              <w:t>具体工艺简述如下：</w:t>
            </w:r>
          </w:p>
          <w:p w14:paraId="3A84F952">
            <w:pPr>
              <w:adjustRightInd w:val="0"/>
              <w:snapToGrid w:val="0"/>
              <w:spacing w:line="360" w:lineRule="auto"/>
              <w:ind w:firstLine="422" w:firstLineChars="200"/>
              <w:rPr>
                <w:bCs/>
                <w:color w:val="auto"/>
                <w:kern w:val="0"/>
              </w:rPr>
            </w:pPr>
            <w:r>
              <w:rPr>
                <w:rFonts w:hint="eastAsia"/>
                <w:b/>
                <w:color w:val="auto"/>
                <w:kern w:val="0"/>
              </w:rPr>
              <w:t>（1）贴标签：</w:t>
            </w:r>
            <w:r>
              <w:rPr>
                <w:rFonts w:hint="eastAsia"/>
                <w:bCs/>
                <w:color w:val="auto"/>
                <w:kern w:val="0"/>
              </w:rPr>
              <w:t>通过标签机自动在基板上贴标签；</w:t>
            </w:r>
          </w:p>
          <w:p w14:paraId="3A84F953">
            <w:pPr>
              <w:adjustRightInd w:val="0"/>
              <w:snapToGrid w:val="0"/>
              <w:spacing w:line="360" w:lineRule="auto"/>
              <w:ind w:firstLine="422" w:firstLineChars="200"/>
              <w:rPr>
                <w:rFonts w:hint="default" w:eastAsia="宋体"/>
                <w:bCs/>
                <w:color w:val="auto"/>
                <w:kern w:val="0"/>
                <w:lang w:val="en-US" w:eastAsia="zh-CN"/>
              </w:rPr>
            </w:pPr>
            <w:r>
              <w:rPr>
                <w:rFonts w:hint="eastAsia"/>
                <w:b/>
                <w:color w:val="auto"/>
                <w:kern w:val="0"/>
              </w:rPr>
              <w:t>（2）电阻焊焊接：</w:t>
            </w:r>
            <w:r>
              <w:rPr>
                <w:rFonts w:hint="eastAsia"/>
                <w:bCs/>
                <w:color w:val="auto"/>
                <w:kern w:val="0"/>
              </w:rPr>
              <w:t>通过电阻焊焊接机把适配器焊接到基板上通过电极对工件供电，利用电流通过工件所产生的焦耳热将两工件之间的接触表面熔化。在熔化后，施加适当的焊接压力，使熔化后的液体金属填充满焊接面，使洁净的塑性金属紧密接触</w:t>
            </w:r>
            <w:r>
              <w:rPr>
                <w:rFonts w:hint="eastAsia"/>
                <w:bCs/>
                <w:color w:val="auto"/>
                <w:kern w:val="0"/>
                <w:lang w:eastAsia="zh-CN"/>
              </w:rPr>
              <w:t>，焊点区域产生一定的塑性变形，以促进再结晶的进行，形成共同晶粒，从而获得优良的焊点‌</w:t>
            </w:r>
            <w:r>
              <w:rPr>
                <w:rFonts w:hint="eastAsia"/>
                <w:bCs/>
                <w:color w:val="auto"/>
                <w:kern w:val="0"/>
              </w:rPr>
              <w:t>；</w:t>
            </w:r>
            <w:r>
              <w:rPr>
                <w:rFonts w:hint="eastAsia"/>
                <w:bCs/>
                <w:color w:val="auto"/>
                <w:kern w:val="0"/>
                <w:lang w:val="en-US" w:eastAsia="zh-CN"/>
              </w:rPr>
              <w:t>焊接过程中不使用母材，因此电阻焊焊接基本无焊接烟尘产生；</w:t>
            </w:r>
          </w:p>
          <w:p w14:paraId="3A84F954">
            <w:pPr>
              <w:adjustRightInd w:val="0"/>
              <w:snapToGrid w:val="0"/>
              <w:spacing w:line="360" w:lineRule="auto"/>
              <w:ind w:firstLine="422" w:firstLineChars="200"/>
              <w:rPr>
                <w:b/>
                <w:color w:val="auto"/>
                <w:kern w:val="0"/>
              </w:rPr>
            </w:pPr>
            <w:r>
              <w:rPr>
                <w:rFonts w:hint="eastAsia"/>
                <w:b/>
                <w:color w:val="auto"/>
                <w:kern w:val="0"/>
              </w:rPr>
              <w:t>（3）基座成型：</w:t>
            </w:r>
            <w:r>
              <w:rPr>
                <w:rFonts w:hint="eastAsia"/>
                <w:bCs/>
                <w:color w:val="auto"/>
                <w:kern w:val="0"/>
              </w:rPr>
              <w:t>通过人工</w:t>
            </w:r>
            <w:r>
              <w:rPr>
                <w:rFonts w:hint="eastAsia"/>
                <w:bCs/>
                <w:color w:val="auto"/>
                <w:kern w:val="0"/>
                <w:lang w:val="en-US" w:eastAsia="zh-CN"/>
              </w:rPr>
              <w:t>和</w:t>
            </w:r>
            <w:r>
              <w:rPr>
                <w:rFonts w:hint="eastAsia"/>
                <w:bCs/>
                <w:color w:val="auto"/>
                <w:kern w:val="0"/>
              </w:rPr>
              <w:t>自动机械手把密封圈和引爆器装到基板上，形成基座；</w:t>
            </w:r>
          </w:p>
          <w:p w14:paraId="3A84F955">
            <w:pPr>
              <w:adjustRightInd w:val="0"/>
              <w:snapToGrid w:val="0"/>
              <w:spacing w:line="360" w:lineRule="auto"/>
              <w:ind w:firstLine="422" w:firstLineChars="200"/>
              <w:rPr>
                <w:b/>
                <w:color w:val="auto"/>
                <w:kern w:val="0"/>
              </w:rPr>
            </w:pPr>
            <w:r>
              <w:rPr>
                <w:rFonts w:hint="eastAsia"/>
                <w:b/>
                <w:color w:val="auto"/>
                <w:kern w:val="0"/>
              </w:rPr>
              <w:t>（4）点火管组装：</w:t>
            </w:r>
            <w:r>
              <w:rPr>
                <w:rFonts w:hint="eastAsia"/>
                <w:bCs/>
                <w:color w:val="auto"/>
                <w:kern w:val="0"/>
              </w:rPr>
              <w:t>通过人工</w:t>
            </w:r>
            <w:r>
              <w:rPr>
                <w:rFonts w:hint="eastAsia"/>
                <w:bCs/>
                <w:color w:val="auto"/>
                <w:kern w:val="0"/>
                <w:lang w:val="en-US" w:eastAsia="zh-CN"/>
              </w:rPr>
              <w:t>和</w:t>
            </w:r>
            <w:r>
              <w:rPr>
                <w:rFonts w:hint="eastAsia"/>
                <w:bCs/>
                <w:color w:val="auto"/>
                <w:kern w:val="0"/>
              </w:rPr>
              <w:t>自动机械手把金属管、固定环、点火芯组装成点火管；</w:t>
            </w:r>
          </w:p>
          <w:p w14:paraId="3A84F956">
            <w:pPr>
              <w:adjustRightInd w:val="0"/>
              <w:snapToGrid w:val="0"/>
              <w:spacing w:line="360" w:lineRule="auto"/>
              <w:ind w:firstLine="422" w:firstLineChars="200"/>
              <w:rPr>
                <w:b/>
                <w:color w:val="auto"/>
                <w:kern w:val="0"/>
              </w:rPr>
            </w:pPr>
            <w:r>
              <w:rPr>
                <w:rFonts w:hint="eastAsia"/>
                <w:b/>
                <w:color w:val="auto"/>
                <w:kern w:val="0"/>
              </w:rPr>
              <w:t>（5）点火管压接：</w:t>
            </w:r>
            <w:r>
              <w:rPr>
                <w:rFonts w:hint="eastAsia"/>
                <w:bCs/>
                <w:color w:val="auto"/>
                <w:kern w:val="0"/>
              </w:rPr>
              <w:t>通过压接机把点火管、过滤棉、缓冲网和基座压接在一起；</w:t>
            </w:r>
          </w:p>
          <w:p w14:paraId="3A84F957">
            <w:pPr>
              <w:adjustRightInd w:val="0"/>
              <w:snapToGrid w:val="0"/>
              <w:spacing w:line="360" w:lineRule="auto"/>
              <w:ind w:firstLine="422" w:firstLineChars="200"/>
              <w:rPr>
                <w:b/>
                <w:color w:val="auto"/>
                <w:kern w:val="0"/>
              </w:rPr>
            </w:pPr>
            <w:r>
              <w:rPr>
                <w:rFonts w:hint="eastAsia"/>
                <w:b/>
                <w:color w:val="auto"/>
                <w:kern w:val="0"/>
              </w:rPr>
              <w:t>（6）装产气药：</w:t>
            </w:r>
            <w:r>
              <w:rPr>
                <w:rFonts w:hint="eastAsia"/>
                <w:bCs/>
                <w:color w:val="auto"/>
                <w:kern w:val="0"/>
              </w:rPr>
              <w:t>通过充药机自动称量产气药，然后把产气药填充到上一工序工件内，再安装固定盖板；</w:t>
            </w:r>
          </w:p>
          <w:p w14:paraId="3A84F958">
            <w:pPr>
              <w:adjustRightInd w:val="0"/>
              <w:snapToGrid w:val="0"/>
              <w:spacing w:line="360" w:lineRule="auto"/>
              <w:ind w:firstLine="422" w:firstLineChars="200"/>
              <w:rPr>
                <w:bCs/>
                <w:color w:val="auto"/>
                <w:kern w:val="0"/>
              </w:rPr>
            </w:pPr>
            <w:r>
              <w:rPr>
                <w:rFonts w:hint="eastAsia"/>
                <w:b/>
                <w:color w:val="auto"/>
                <w:kern w:val="0"/>
              </w:rPr>
              <w:t>（7）惯性焊接：</w:t>
            </w:r>
            <w:r>
              <w:rPr>
                <w:rFonts w:hint="eastAsia"/>
                <w:bCs/>
                <w:color w:val="auto"/>
                <w:kern w:val="0"/>
              </w:rPr>
              <w:t>惯性焊接分为人工和人工+自动。人工：人工把扩散体放入振动盘，振动盘抖动抖出扩散体，把扩散体通过惯性焊焊接到工件上；人工+自动：人工手动把扩散体放入传送流道，通过机器人，把扩散体通过惯性焊焊接到工件上；惯性焊接原理是通过待焊材料之间摩擦产生热量，在顶锻力的作用下使材料发生塑性变形与流动，进而连接待焊材料，焊接过程中不使用母材，因此</w:t>
            </w:r>
            <w:r>
              <w:rPr>
                <w:rFonts w:hint="eastAsia"/>
                <w:bCs/>
                <w:color w:val="auto"/>
                <w:kern w:val="0"/>
                <w:lang w:val="en-US" w:eastAsia="zh-CN"/>
              </w:rPr>
              <w:t>惯性焊接</w:t>
            </w:r>
            <w:r>
              <w:rPr>
                <w:rFonts w:hint="eastAsia"/>
                <w:bCs/>
                <w:color w:val="auto"/>
                <w:kern w:val="0"/>
              </w:rPr>
              <w:t>基本无焊接烟尘产生；</w:t>
            </w:r>
          </w:p>
          <w:p w14:paraId="3A84F959">
            <w:pPr>
              <w:adjustRightInd w:val="0"/>
              <w:snapToGrid w:val="0"/>
              <w:spacing w:line="360" w:lineRule="auto"/>
              <w:ind w:firstLine="422" w:firstLineChars="200"/>
              <w:rPr>
                <w:b/>
                <w:color w:val="auto"/>
              </w:rPr>
            </w:pPr>
            <w:r>
              <w:rPr>
                <w:rFonts w:hint="eastAsia"/>
                <w:b/>
                <w:color w:val="auto"/>
              </w:rPr>
              <w:t>（8）泄漏检测：</w:t>
            </w:r>
            <w:r>
              <w:rPr>
                <w:rFonts w:hint="eastAsia"/>
                <w:bCs/>
                <w:color w:val="auto"/>
                <w:kern w:val="0"/>
              </w:rPr>
              <w:t>通过气密检测仪检测工件的气密性，此工序产生不合格品S1-1；</w:t>
            </w:r>
          </w:p>
          <w:p w14:paraId="3A84F95A">
            <w:pPr>
              <w:adjustRightInd w:val="0"/>
              <w:snapToGrid w:val="0"/>
              <w:spacing w:line="360" w:lineRule="auto"/>
              <w:ind w:firstLine="422" w:firstLineChars="200"/>
              <w:rPr>
                <w:bCs/>
                <w:color w:val="auto"/>
              </w:rPr>
            </w:pPr>
            <w:r>
              <w:rPr>
                <w:rFonts w:hint="eastAsia"/>
                <w:b/>
                <w:color w:val="auto"/>
              </w:rPr>
              <w:t>（9）电子检测：</w:t>
            </w:r>
            <w:r>
              <w:rPr>
                <w:rFonts w:hint="eastAsia"/>
                <w:bCs/>
                <w:color w:val="auto"/>
              </w:rPr>
              <w:t>人工或机器人装入短路片通过电子检测仪检测电阻等特性，此工序产生不合格品S1-2；</w:t>
            </w:r>
          </w:p>
          <w:p w14:paraId="3A84F95B">
            <w:pPr>
              <w:adjustRightInd w:val="0"/>
              <w:snapToGrid w:val="0"/>
              <w:spacing w:line="360" w:lineRule="auto"/>
              <w:ind w:firstLine="422" w:firstLineChars="200"/>
              <w:rPr>
                <w:bCs/>
                <w:color w:val="auto"/>
              </w:rPr>
            </w:pPr>
            <w:r>
              <w:rPr>
                <w:rFonts w:hint="eastAsia"/>
                <w:b/>
                <w:color w:val="auto"/>
              </w:rPr>
              <w:t>（10）螺钉压接：</w:t>
            </w:r>
            <w:r>
              <w:rPr>
                <w:rFonts w:hint="eastAsia"/>
                <w:bCs/>
                <w:color w:val="auto"/>
              </w:rPr>
              <w:t>把螺钉通过压接机压到工件上，压接后的成品包装入库。</w:t>
            </w:r>
          </w:p>
          <w:p w14:paraId="3A84F95C">
            <w:pPr>
              <w:adjustRightInd w:val="0"/>
              <w:snapToGrid w:val="0"/>
              <w:spacing w:line="360" w:lineRule="auto"/>
              <w:ind w:firstLine="422" w:firstLineChars="200"/>
              <w:rPr>
                <w:b/>
                <w:color w:val="auto"/>
              </w:rPr>
            </w:pPr>
            <w:r>
              <w:rPr>
                <w:rFonts w:hint="eastAsia"/>
                <w:b/>
                <w:color w:val="auto"/>
              </w:rPr>
              <w:t>②PF单级气体发生器生产工艺流程图如下：</w:t>
            </w:r>
          </w:p>
          <w:p w14:paraId="3A84F95D">
            <w:pPr>
              <w:adjustRightInd w:val="0"/>
              <w:snapToGrid w:val="0"/>
              <w:jc w:val="center"/>
              <w:rPr>
                <w:b/>
                <w:bCs/>
                <w:color w:val="auto"/>
              </w:rPr>
            </w:pPr>
            <w:r>
              <w:rPr>
                <w:b/>
                <w:bCs/>
                <w:color w:val="auto"/>
              </w:rPr>
              <w:object>
                <v:shape id="_x0000_i1028" o:spt="75" type="#_x0000_t75" style="height:459.75pt;width:289.5pt;" o:ole="t" filled="f" o:preferrelative="t" stroked="f" coordsize="21600,21600">
                  <v:path/>
                  <v:fill on="f" focussize="0,0"/>
                  <v:stroke on="f" joinstyle="miter"/>
                  <v:imagedata r:id="rId17" o:title=""/>
                  <o:lock v:ext="edit" aspectratio="f"/>
                  <w10:wrap type="none"/>
                  <w10:anchorlock/>
                </v:shape>
                <o:OLEObject Type="Embed" ProgID="Visio.Drawing.11" ShapeID="_x0000_i1028" DrawAspect="Content" ObjectID="_1468075728" r:id="rId16">
                  <o:LockedField>false</o:LockedField>
                </o:OLEObject>
              </w:object>
            </w:r>
          </w:p>
          <w:p w14:paraId="3A84F95E">
            <w:pPr>
              <w:adjustRightInd w:val="0"/>
              <w:snapToGrid w:val="0"/>
              <w:spacing w:line="360" w:lineRule="auto"/>
              <w:jc w:val="center"/>
              <w:rPr>
                <w:b/>
                <w:bCs/>
                <w:color w:val="auto"/>
              </w:rPr>
            </w:pPr>
            <w:r>
              <w:rPr>
                <w:rFonts w:hint="eastAsia"/>
                <w:b/>
                <w:bCs/>
                <w:color w:val="auto"/>
              </w:rPr>
              <w:t xml:space="preserve">图2-4   </w:t>
            </w:r>
            <w:r>
              <w:rPr>
                <w:rFonts w:hint="eastAsia"/>
                <w:b/>
                <w:color w:val="auto"/>
              </w:rPr>
              <w:t>PF单级气体发生器</w:t>
            </w:r>
            <w:r>
              <w:rPr>
                <w:rFonts w:hint="eastAsia"/>
                <w:b/>
                <w:bCs/>
                <w:color w:val="auto"/>
              </w:rPr>
              <w:t>生产工艺流程图</w:t>
            </w:r>
          </w:p>
          <w:p w14:paraId="3A84F95F">
            <w:pPr>
              <w:spacing w:line="360" w:lineRule="auto"/>
              <w:ind w:firstLine="422" w:firstLineChars="200"/>
              <w:rPr>
                <w:b/>
                <w:bCs/>
                <w:color w:val="auto"/>
              </w:rPr>
            </w:pPr>
            <w:r>
              <w:rPr>
                <w:rFonts w:hint="eastAsia"/>
                <w:b/>
                <w:bCs/>
                <w:color w:val="auto"/>
              </w:rPr>
              <w:t>具体工艺简述如下：</w:t>
            </w:r>
          </w:p>
          <w:p w14:paraId="3A84F960">
            <w:pPr>
              <w:adjustRightInd w:val="0"/>
              <w:snapToGrid w:val="0"/>
              <w:spacing w:line="360" w:lineRule="auto"/>
              <w:ind w:firstLine="422" w:firstLineChars="200"/>
              <w:rPr>
                <w:bCs/>
                <w:color w:val="auto"/>
                <w:kern w:val="0"/>
              </w:rPr>
            </w:pPr>
            <w:r>
              <w:rPr>
                <w:rFonts w:hint="eastAsia"/>
                <w:b/>
                <w:color w:val="auto"/>
                <w:kern w:val="0"/>
              </w:rPr>
              <w:t>（1）贴标签：</w:t>
            </w:r>
            <w:r>
              <w:rPr>
                <w:rFonts w:hint="eastAsia"/>
                <w:bCs/>
                <w:color w:val="auto"/>
                <w:kern w:val="0"/>
              </w:rPr>
              <w:t>通过标签机自动在基板上贴标签；</w:t>
            </w:r>
          </w:p>
          <w:p w14:paraId="3A84F961">
            <w:pPr>
              <w:adjustRightInd w:val="0"/>
              <w:snapToGrid w:val="0"/>
              <w:spacing w:line="360" w:lineRule="auto"/>
              <w:ind w:firstLine="422" w:firstLineChars="200"/>
              <w:rPr>
                <w:b/>
                <w:color w:val="auto"/>
                <w:kern w:val="0"/>
              </w:rPr>
            </w:pPr>
            <w:r>
              <w:rPr>
                <w:rFonts w:hint="eastAsia"/>
                <w:b/>
                <w:color w:val="auto"/>
                <w:kern w:val="0"/>
              </w:rPr>
              <w:t>（2）点火管组装：</w:t>
            </w:r>
            <w:r>
              <w:rPr>
                <w:rFonts w:hint="eastAsia"/>
                <w:bCs/>
                <w:color w:val="auto"/>
                <w:kern w:val="0"/>
              </w:rPr>
              <w:t>通过人工</w:t>
            </w:r>
            <w:r>
              <w:rPr>
                <w:rFonts w:hint="eastAsia"/>
                <w:bCs/>
                <w:color w:val="auto"/>
                <w:kern w:val="0"/>
                <w:lang w:val="en-US" w:eastAsia="zh-CN"/>
              </w:rPr>
              <w:t>和</w:t>
            </w:r>
            <w:r>
              <w:rPr>
                <w:rFonts w:hint="eastAsia"/>
                <w:bCs/>
                <w:color w:val="auto"/>
                <w:kern w:val="0"/>
              </w:rPr>
              <w:t>自动机械手把金属管、固定环、点火芯组装成点火管；</w:t>
            </w:r>
          </w:p>
          <w:p w14:paraId="3A84F962">
            <w:pPr>
              <w:adjustRightInd w:val="0"/>
              <w:snapToGrid w:val="0"/>
              <w:spacing w:line="360" w:lineRule="auto"/>
              <w:ind w:firstLine="422" w:firstLineChars="200"/>
              <w:rPr>
                <w:b/>
                <w:color w:val="auto"/>
                <w:kern w:val="0"/>
              </w:rPr>
            </w:pPr>
            <w:r>
              <w:rPr>
                <w:rFonts w:hint="eastAsia"/>
                <w:b/>
                <w:color w:val="auto"/>
                <w:kern w:val="0"/>
              </w:rPr>
              <w:t>（3）点火管压接：</w:t>
            </w:r>
            <w:r>
              <w:rPr>
                <w:rFonts w:hint="eastAsia"/>
                <w:bCs/>
                <w:color w:val="auto"/>
                <w:kern w:val="0"/>
              </w:rPr>
              <w:t>通过压接机把点火管、过滤棉、缓冲网和基座压接在一起；</w:t>
            </w:r>
          </w:p>
          <w:p w14:paraId="3A84F963">
            <w:pPr>
              <w:adjustRightInd w:val="0"/>
              <w:snapToGrid w:val="0"/>
              <w:spacing w:line="360" w:lineRule="auto"/>
              <w:ind w:firstLine="422" w:firstLineChars="200"/>
              <w:rPr>
                <w:b/>
                <w:color w:val="auto"/>
                <w:kern w:val="0"/>
              </w:rPr>
            </w:pPr>
            <w:r>
              <w:rPr>
                <w:rFonts w:hint="eastAsia"/>
                <w:b/>
                <w:color w:val="auto"/>
                <w:kern w:val="0"/>
              </w:rPr>
              <w:t>（4）装产气药：</w:t>
            </w:r>
            <w:r>
              <w:rPr>
                <w:rFonts w:hint="eastAsia"/>
                <w:bCs/>
                <w:color w:val="auto"/>
                <w:kern w:val="0"/>
              </w:rPr>
              <w:t>通过充药机自动称量产气药，然后把产气药填充到上一工序工件内，再安装固定盖板；</w:t>
            </w:r>
          </w:p>
          <w:p w14:paraId="3A84F964">
            <w:pPr>
              <w:adjustRightInd w:val="0"/>
              <w:snapToGrid w:val="0"/>
              <w:spacing w:line="360" w:lineRule="auto"/>
              <w:ind w:firstLine="422" w:firstLineChars="200"/>
              <w:rPr>
                <w:rFonts w:hint="default" w:eastAsia="宋体"/>
                <w:bCs/>
                <w:color w:val="auto"/>
                <w:kern w:val="0"/>
                <w:lang w:val="en-US" w:eastAsia="zh-CN"/>
              </w:rPr>
            </w:pPr>
            <w:r>
              <w:rPr>
                <w:rFonts w:hint="eastAsia"/>
                <w:b/>
                <w:color w:val="auto"/>
                <w:kern w:val="0"/>
              </w:rPr>
              <w:t>（5）惯性焊接：</w:t>
            </w:r>
            <w:r>
              <w:rPr>
                <w:rFonts w:hint="eastAsia"/>
                <w:bCs/>
                <w:color w:val="auto"/>
                <w:kern w:val="0"/>
              </w:rPr>
              <w:t>惯性焊接分为人工和人工+自动。人工：人工把扩散体放入振动盘，振动盘抖动抖出扩散体，把扩散体通过惯性焊焊接到工件上；人工+自动：人工手动把扩散体放入传送流道，通过机器人，把扩散体通过惯性焊焊接到工件上；</w:t>
            </w:r>
            <w:r>
              <w:rPr>
                <w:rFonts w:hint="eastAsia"/>
                <w:bCs/>
                <w:color w:val="auto"/>
                <w:kern w:val="0"/>
                <w:lang w:val="en-US" w:eastAsia="zh-CN"/>
              </w:rPr>
              <w:t>惯性焊接原理是通过待焊材料之间摩擦产生热量，在顶锻力的作用下使材料发生塑性变形与流动，进而连接待焊材料，焊接过程中不使用母材，因此惯性焊接基本无焊接烟尘产生；‌</w:t>
            </w:r>
          </w:p>
          <w:p w14:paraId="3A84F965">
            <w:pPr>
              <w:adjustRightInd w:val="0"/>
              <w:snapToGrid w:val="0"/>
              <w:spacing w:line="360" w:lineRule="auto"/>
              <w:ind w:firstLine="422" w:firstLineChars="200"/>
              <w:rPr>
                <w:b/>
                <w:color w:val="auto"/>
              </w:rPr>
            </w:pPr>
            <w:r>
              <w:rPr>
                <w:rFonts w:hint="eastAsia"/>
                <w:b/>
                <w:color w:val="auto"/>
              </w:rPr>
              <w:t>（6）泄漏检测：</w:t>
            </w:r>
            <w:r>
              <w:rPr>
                <w:rFonts w:hint="eastAsia"/>
                <w:bCs/>
                <w:color w:val="auto"/>
                <w:kern w:val="0"/>
              </w:rPr>
              <w:t>通过气密检测仪检测工件的气密性，此工序产生不合格品S2-1；</w:t>
            </w:r>
          </w:p>
          <w:p w14:paraId="3A84F966">
            <w:pPr>
              <w:adjustRightInd w:val="0"/>
              <w:snapToGrid w:val="0"/>
              <w:spacing w:line="360" w:lineRule="auto"/>
              <w:ind w:firstLine="422" w:firstLineChars="200"/>
              <w:rPr>
                <w:bCs/>
                <w:color w:val="auto"/>
              </w:rPr>
            </w:pPr>
            <w:r>
              <w:rPr>
                <w:rFonts w:hint="eastAsia"/>
                <w:b/>
                <w:color w:val="auto"/>
              </w:rPr>
              <w:t>（7）电子检测：</w:t>
            </w:r>
            <w:r>
              <w:rPr>
                <w:rFonts w:hint="eastAsia"/>
                <w:bCs/>
                <w:color w:val="auto"/>
              </w:rPr>
              <w:t>人工或机器人装入短路片通过电子检测仪检测电阻等特性，此工序产生不合格品S2-2；</w:t>
            </w:r>
          </w:p>
          <w:p w14:paraId="3A84F967">
            <w:pPr>
              <w:adjustRightInd w:val="0"/>
              <w:snapToGrid w:val="0"/>
              <w:spacing w:line="360" w:lineRule="auto"/>
              <w:ind w:firstLine="422" w:firstLineChars="200"/>
              <w:rPr>
                <w:bCs/>
                <w:color w:val="auto"/>
              </w:rPr>
            </w:pPr>
            <w:r>
              <w:rPr>
                <w:rFonts w:hint="eastAsia"/>
                <w:b/>
                <w:color w:val="auto"/>
              </w:rPr>
              <w:t>（8）螺钉压接：</w:t>
            </w:r>
            <w:r>
              <w:rPr>
                <w:rFonts w:hint="eastAsia"/>
                <w:bCs/>
                <w:color w:val="auto"/>
              </w:rPr>
              <w:t>把螺钉通过压接机压到工件上，压接后的成品包装入库。</w:t>
            </w:r>
          </w:p>
          <w:p w14:paraId="3A84F968">
            <w:pPr>
              <w:adjustRightInd w:val="0"/>
              <w:snapToGrid w:val="0"/>
              <w:spacing w:line="360" w:lineRule="auto"/>
              <w:jc w:val="left"/>
              <w:rPr>
                <w:color w:val="auto"/>
              </w:rPr>
            </w:pPr>
          </w:p>
        </w:tc>
      </w:tr>
      <w:tr w14:paraId="3A84F9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426" w:hRule="atLeast"/>
          <w:jc w:val="center"/>
        </w:trPr>
        <w:tc>
          <w:tcPr>
            <w:tcW w:w="521" w:type="dxa"/>
            <w:vAlign w:val="center"/>
          </w:tcPr>
          <w:p w14:paraId="3A84F96A">
            <w:pPr>
              <w:pStyle w:val="55"/>
              <w:rPr>
                <w:color w:val="auto"/>
                <w:sz w:val="21"/>
                <w:szCs w:val="21"/>
              </w:rPr>
            </w:pPr>
            <w:r>
              <w:rPr>
                <w:color w:val="auto"/>
                <w:sz w:val="21"/>
                <w:szCs w:val="21"/>
              </w:rPr>
              <w:t>与项目有关的原有环境污染问题</w:t>
            </w:r>
          </w:p>
        </w:tc>
        <w:tc>
          <w:tcPr>
            <w:tcW w:w="8765" w:type="dxa"/>
          </w:tcPr>
          <w:p w14:paraId="3A84F96B">
            <w:pPr>
              <w:spacing w:line="360" w:lineRule="auto"/>
              <w:jc w:val="left"/>
              <w:rPr>
                <w:b/>
                <w:bCs/>
                <w:color w:val="auto"/>
                <w:kern w:val="0"/>
                <w:lang w:bidi="ar"/>
              </w:rPr>
            </w:pPr>
            <w:r>
              <w:rPr>
                <w:rFonts w:hint="eastAsia"/>
                <w:b/>
                <w:bCs/>
                <w:color w:val="auto"/>
                <w:kern w:val="0"/>
                <w:lang w:bidi="ar"/>
              </w:rPr>
              <w:t>1、现有项目概况</w:t>
            </w:r>
          </w:p>
          <w:p w14:paraId="3A84F96C">
            <w:pPr>
              <w:adjustRightInd w:val="0"/>
              <w:snapToGrid w:val="0"/>
              <w:spacing w:line="360" w:lineRule="auto"/>
              <w:ind w:firstLine="420" w:firstLineChars="200"/>
              <w:rPr>
                <w:rFonts w:cs="宋体"/>
                <w:color w:val="auto"/>
              </w:rPr>
            </w:pPr>
            <w:r>
              <w:rPr>
                <w:rFonts w:hint="eastAsia" w:cs="新宋体"/>
                <w:color w:val="auto"/>
                <w:kern w:val="0"/>
                <w:lang w:bidi="ar"/>
              </w:rPr>
              <w:t>奥托立夫（江苏）汽车安全零部件有限公司</w:t>
            </w:r>
            <w:r>
              <w:rPr>
                <w:rFonts w:hint="eastAsia" w:cs="宋体"/>
                <w:color w:val="auto"/>
              </w:rPr>
              <w:t>位于</w:t>
            </w:r>
            <w:r>
              <w:rPr>
                <w:rFonts w:hint="eastAsia"/>
                <w:color w:val="auto"/>
              </w:rPr>
              <w:t>江苏省常州市金坛区薛埠镇奥托立夫大道1号</w:t>
            </w:r>
            <w:r>
              <w:rPr>
                <w:rFonts w:hint="eastAsia" w:cs="宋体"/>
                <w:color w:val="auto"/>
              </w:rPr>
              <w:t>，成立于2012年01月21日。</w:t>
            </w:r>
          </w:p>
          <w:p w14:paraId="154B00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eastAsia"/>
                <w:color w:val="auto"/>
                <w:lang w:val="en-US" w:eastAsia="zh-CN"/>
              </w:rPr>
              <w:t>企业现有</w:t>
            </w:r>
            <w:r>
              <w:rPr>
                <w:rFonts w:hint="eastAsia" w:cs="Times New Roman"/>
                <w:b w:val="0"/>
                <w:bCs/>
                <w:color w:val="auto"/>
                <w:sz w:val="21"/>
                <w:szCs w:val="21"/>
                <w:highlight w:val="none"/>
                <w:lang w:val="en-US" w:eastAsia="zh-CN"/>
              </w:rPr>
              <w:t>“</w:t>
            </w:r>
            <w:r>
              <w:rPr>
                <w:color w:val="auto"/>
              </w:rPr>
              <w:t>奥托立夫（中国）汽车安全零部件有限公司气体发生器生产线建设项目环境影响报告书</w:t>
            </w:r>
            <w:r>
              <w:rPr>
                <w:rFonts w:hint="eastAsia" w:cs="Times New Roman"/>
                <w:b w:val="0"/>
                <w:bCs/>
                <w:color w:val="auto"/>
                <w:sz w:val="21"/>
                <w:szCs w:val="21"/>
                <w:highlight w:val="none"/>
                <w:lang w:val="en-US" w:eastAsia="zh-CN"/>
              </w:rPr>
              <w:t>”</w:t>
            </w:r>
            <w:r>
              <w:rPr>
                <w:rFonts w:hint="eastAsia" w:ascii="Times New Roman" w:hAnsi="Times New Roman" w:cs="Times New Roman"/>
                <w:color w:val="auto"/>
                <w:sz w:val="21"/>
                <w:szCs w:val="21"/>
                <w:lang w:val="en-US" w:eastAsia="zh-CN"/>
              </w:rPr>
              <w:t>于</w:t>
            </w:r>
            <w:r>
              <w:rPr>
                <w:rFonts w:hint="default" w:ascii="Times New Roman" w:hAnsi="Times New Roman" w:cs="Times New Roman"/>
                <w:color w:val="auto"/>
                <w:sz w:val="21"/>
                <w:szCs w:val="21"/>
              </w:rPr>
              <w:t>20</w:t>
            </w: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2</w:t>
            </w:r>
            <w:r>
              <w:rPr>
                <w:rFonts w:hint="default" w:ascii="Times New Roman" w:hAnsi="Times New Roman" w:cs="Times New Roman"/>
                <w:color w:val="auto"/>
                <w:sz w:val="21"/>
                <w:szCs w:val="21"/>
              </w:rPr>
              <w:t>年</w:t>
            </w:r>
            <w:r>
              <w:rPr>
                <w:rFonts w:hint="eastAsia" w:cs="Times New Roman"/>
                <w:color w:val="auto"/>
                <w:sz w:val="21"/>
                <w:szCs w:val="21"/>
                <w:lang w:val="en-US" w:eastAsia="zh-CN"/>
              </w:rPr>
              <w:t>4</w:t>
            </w:r>
            <w:r>
              <w:rPr>
                <w:rFonts w:hint="default" w:ascii="Times New Roman" w:hAnsi="Times New Roman" w:cs="Times New Roman"/>
                <w:color w:val="auto"/>
                <w:sz w:val="21"/>
                <w:szCs w:val="21"/>
              </w:rPr>
              <w:t>月</w:t>
            </w:r>
            <w:r>
              <w:rPr>
                <w:rFonts w:hint="eastAsia" w:cs="Times New Roman"/>
                <w:color w:val="auto"/>
                <w:sz w:val="21"/>
                <w:szCs w:val="21"/>
                <w:lang w:val="en-US" w:eastAsia="zh-CN"/>
              </w:rPr>
              <w:t>20</w:t>
            </w:r>
            <w:r>
              <w:rPr>
                <w:rFonts w:hint="default" w:ascii="Times New Roman" w:hAnsi="Times New Roman" w:cs="Times New Roman"/>
                <w:color w:val="auto"/>
                <w:sz w:val="21"/>
                <w:szCs w:val="21"/>
              </w:rPr>
              <w:t>日通过</w:t>
            </w:r>
            <w:r>
              <w:rPr>
                <w:rFonts w:hint="eastAsia" w:cs="Times New Roman"/>
                <w:color w:val="auto"/>
                <w:sz w:val="21"/>
                <w:szCs w:val="21"/>
                <w:lang w:val="en-US" w:eastAsia="zh-CN"/>
              </w:rPr>
              <w:t>原</w:t>
            </w:r>
            <w:r>
              <w:rPr>
                <w:rFonts w:hint="eastAsia" w:ascii="Times New Roman" w:hAnsi="Times New Roman" w:cs="Times New Roman"/>
                <w:color w:val="auto"/>
                <w:sz w:val="21"/>
                <w:szCs w:val="21"/>
                <w:lang w:val="en-US" w:eastAsia="zh-CN"/>
              </w:rPr>
              <w:t>金坛</w:t>
            </w:r>
            <w:r>
              <w:rPr>
                <w:rFonts w:hint="eastAsia" w:cs="Times New Roman"/>
                <w:color w:val="auto"/>
                <w:sz w:val="21"/>
                <w:szCs w:val="21"/>
                <w:lang w:val="en-US" w:eastAsia="zh-CN"/>
              </w:rPr>
              <w:t>市</w:t>
            </w:r>
            <w:r>
              <w:rPr>
                <w:rFonts w:hint="eastAsia" w:ascii="Times New Roman" w:hAnsi="Times New Roman" w:cs="Times New Roman"/>
                <w:color w:val="auto"/>
                <w:sz w:val="21"/>
                <w:szCs w:val="21"/>
                <w:lang w:val="en-US" w:eastAsia="zh-CN"/>
              </w:rPr>
              <w:t>环境保护局审批</w:t>
            </w:r>
            <w:r>
              <w:rPr>
                <w:rFonts w:hint="eastAsia" w:cs="Times New Roman"/>
                <w:color w:val="auto"/>
                <w:sz w:val="21"/>
                <w:szCs w:val="21"/>
                <w:lang w:val="en-US" w:eastAsia="zh-CN"/>
              </w:rPr>
              <w:t>，并于2018年6月1日完成项目竣工环保自主验收；“奥托立夫（江苏）汽车安全零部件有限公司气体发生器生产线建设项目环境影响评价修编报告”</w:t>
            </w:r>
            <w:r>
              <w:rPr>
                <w:rFonts w:hint="eastAsia" w:ascii="Times New Roman" w:hAnsi="Times New Roman" w:cs="Times New Roman"/>
                <w:color w:val="auto"/>
                <w:sz w:val="21"/>
                <w:szCs w:val="21"/>
                <w:lang w:val="en-US" w:eastAsia="zh-CN"/>
              </w:rPr>
              <w:t>于</w:t>
            </w:r>
            <w:r>
              <w:rPr>
                <w:rFonts w:hint="default" w:ascii="Times New Roman" w:hAnsi="Times New Roman" w:cs="Times New Roman"/>
                <w:color w:val="auto"/>
                <w:sz w:val="21"/>
                <w:szCs w:val="21"/>
              </w:rPr>
              <w:t>20</w:t>
            </w: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3</w:t>
            </w:r>
            <w:r>
              <w:rPr>
                <w:rFonts w:hint="default" w:ascii="Times New Roman" w:hAnsi="Times New Roman" w:cs="Times New Roman"/>
                <w:color w:val="auto"/>
                <w:sz w:val="21"/>
                <w:szCs w:val="21"/>
              </w:rPr>
              <w:t>年</w:t>
            </w:r>
            <w:r>
              <w:rPr>
                <w:rFonts w:hint="eastAsia" w:cs="Times New Roman"/>
                <w:color w:val="auto"/>
                <w:sz w:val="21"/>
                <w:szCs w:val="21"/>
                <w:lang w:val="en-US" w:eastAsia="zh-CN"/>
              </w:rPr>
              <w:t>4</w:t>
            </w:r>
            <w:r>
              <w:rPr>
                <w:rFonts w:hint="default" w:ascii="Times New Roman" w:hAnsi="Times New Roman" w:cs="Times New Roman"/>
                <w:color w:val="auto"/>
                <w:sz w:val="21"/>
                <w:szCs w:val="21"/>
              </w:rPr>
              <w:t>月</w:t>
            </w:r>
            <w:r>
              <w:rPr>
                <w:rFonts w:hint="eastAsia" w:cs="Times New Roman"/>
                <w:color w:val="auto"/>
                <w:sz w:val="21"/>
                <w:szCs w:val="21"/>
                <w:lang w:val="en-US" w:eastAsia="zh-CN"/>
              </w:rPr>
              <w:t>19</w:t>
            </w:r>
            <w:r>
              <w:rPr>
                <w:rFonts w:hint="default" w:ascii="Times New Roman" w:hAnsi="Times New Roman" w:cs="Times New Roman"/>
                <w:color w:val="auto"/>
                <w:sz w:val="21"/>
                <w:szCs w:val="21"/>
              </w:rPr>
              <w:t>日通过</w:t>
            </w:r>
            <w:r>
              <w:rPr>
                <w:rFonts w:hint="eastAsia" w:cs="Times New Roman"/>
                <w:color w:val="auto"/>
                <w:sz w:val="21"/>
                <w:szCs w:val="21"/>
                <w:lang w:val="en-US" w:eastAsia="zh-CN"/>
              </w:rPr>
              <w:t>原</w:t>
            </w:r>
            <w:r>
              <w:rPr>
                <w:rFonts w:hint="eastAsia" w:ascii="Times New Roman" w:hAnsi="Times New Roman" w:cs="Times New Roman"/>
                <w:color w:val="auto"/>
                <w:sz w:val="21"/>
                <w:szCs w:val="21"/>
                <w:lang w:val="en-US" w:eastAsia="zh-CN"/>
              </w:rPr>
              <w:t>金坛</w:t>
            </w:r>
            <w:r>
              <w:rPr>
                <w:rFonts w:hint="eastAsia" w:cs="Times New Roman"/>
                <w:color w:val="auto"/>
                <w:sz w:val="21"/>
                <w:szCs w:val="21"/>
                <w:lang w:val="en-US" w:eastAsia="zh-CN"/>
              </w:rPr>
              <w:t>市</w:t>
            </w:r>
            <w:r>
              <w:rPr>
                <w:rFonts w:hint="eastAsia" w:ascii="Times New Roman" w:hAnsi="Times New Roman" w:cs="Times New Roman"/>
                <w:color w:val="auto"/>
                <w:sz w:val="21"/>
                <w:szCs w:val="21"/>
                <w:lang w:val="en-US" w:eastAsia="zh-CN"/>
              </w:rPr>
              <w:t>环境保护局审批</w:t>
            </w:r>
            <w:r>
              <w:rPr>
                <w:rFonts w:hint="eastAsia" w:cs="Times New Roman"/>
                <w:color w:val="auto"/>
                <w:sz w:val="21"/>
                <w:szCs w:val="21"/>
                <w:lang w:val="en-US" w:eastAsia="zh-CN"/>
              </w:rPr>
              <w:t>、“</w:t>
            </w:r>
            <w:r>
              <w:rPr>
                <w:color w:val="auto"/>
              </w:rPr>
              <w:t>奥托立夫（江苏）汽车安全零部件有限公司气体发生器生产线建设项目环境影响评价二次修编报告</w:t>
            </w:r>
            <w:r>
              <w:rPr>
                <w:rFonts w:hint="eastAsia" w:cs="Times New Roman"/>
                <w:color w:val="auto"/>
                <w:sz w:val="21"/>
                <w:szCs w:val="21"/>
                <w:lang w:val="en-US" w:eastAsia="zh-CN"/>
              </w:rPr>
              <w:t>”于2014年11月17日通过原金坛市环境保护局审批，并于2017年5月2日完成项目竣工环保自主验收；“</w:t>
            </w:r>
            <w:r>
              <w:rPr>
                <w:color w:val="auto"/>
              </w:rPr>
              <w:t>新建生产汽车安全气囊气体发生器点火具、汽车安全带预紧器MGG用点火具项目环境影响报告书</w:t>
            </w:r>
            <w:r>
              <w:rPr>
                <w:rFonts w:hint="eastAsia" w:cs="Times New Roman"/>
                <w:color w:val="auto"/>
                <w:sz w:val="21"/>
                <w:szCs w:val="21"/>
                <w:lang w:val="en-US" w:eastAsia="zh-CN"/>
              </w:rPr>
              <w:t>”于2015年12月16日通过原常州市金坛区环境保护局审批，并于2016年8月10日、2017年4月13日分别通过竣工验收；“</w:t>
            </w:r>
            <w:r>
              <w:rPr>
                <w:color w:val="auto"/>
              </w:rPr>
              <w:t>奥托立夫（江苏）汽车安全零部件有限公司安全气囊用气体发生器壳体清洗工序项目环境影响报告表</w:t>
            </w:r>
            <w:r>
              <w:rPr>
                <w:rFonts w:hint="eastAsia" w:cs="Times New Roman"/>
                <w:color w:val="auto"/>
                <w:sz w:val="21"/>
                <w:szCs w:val="21"/>
                <w:lang w:val="en-US" w:eastAsia="zh-CN"/>
              </w:rPr>
              <w:t>”于2017年10月12日通过原常州市金坛区环境保护局审批，并于2018年10月20日完成项目竣工环保自主验收；“</w:t>
            </w:r>
            <w:r>
              <w:rPr>
                <w:color w:val="auto"/>
              </w:rPr>
              <w:t>2017综合技术改造项目环境影响报告书</w:t>
            </w:r>
            <w:r>
              <w:rPr>
                <w:rFonts w:hint="eastAsia" w:cs="Times New Roman"/>
                <w:color w:val="auto"/>
                <w:sz w:val="21"/>
                <w:szCs w:val="21"/>
                <w:lang w:val="en-US" w:eastAsia="zh-CN"/>
              </w:rPr>
              <w:t>”于2018年3月28日通过原常州市环境保护局审批，并于2021年5月28日通过部分自主验收；“</w:t>
            </w:r>
            <w:r>
              <w:rPr>
                <w:color w:val="auto"/>
              </w:rPr>
              <w:t>奥托立夫（江苏）汽车安全零部件有限公司年产4700万件气体发生器生产配套项目环境影响报告书</w:t>
            </w:r>
            <w:r>
              <w:rPr>
                <w:rFonts w:hint="eastAsia" w:cs="Times New Roman"/>
                <w:color w:val="auto"/>
                <w:sz w:val="21"/>
                <w:szCs w:val="21"/>
                <w:lang w:val="en-US" w:eastAsia="zh-CN"/>
              </w:rPr>
              <w:t>”于2023年2月27日通过常州市生态环境局审批，并于2024年8月15日完成项目竣工环保自主验收。</w:t>
            </w:r>
          </w:p>
          <w:p w14:paraId="3A84F96D">
            <w:pPr>
              <w:adjustRightInd w:val="0"/>
              <w:snapToGrid w:val="0"/>
              <w:spacing w:line="360" w:lineRule="auto"/>
              <w:ind w:firstLine="420" w:firstLineChars="200"/>
              <w:rPr>
                <w:color w:val="auto"/>
              </w:rPr>
            </w:pPr>
            <w:r>
              <w:rPr>
                <w:rFonts w:hint="eastAsia"/>
                <w:color w:val="auto"/>
              </w:rPr>
              <w:t>企业于2</w:t>
            </w:r>
            <w:r>
              <w:rPr>
                <w:color w:val="auto"/>
              </w:rPr>
              <w:t>0</w:t>
            </w:r>
            <w:r>
              <w:rPr>
                <w:rFonts w:hint="eastAsia"/>
                <w:color w:val="auto"/>
              </w:rPr>
              <w:t>24年06月07日申请排污许可证，证书编号：9132041358845730XQ001C。于2022年12月05日</w:t>
            </w:r>
            <w:r>
              <w:rPr>
                <w:color w:val="auto"/>
              </w:rPr>
              <w:t>取得突发环境事件应急预案备案表（备案号：320482-202</w:t>
            </w:r>
            <w:r>
              <w:rPr>
                <w:rFonts w:hint="eastAsia"/>
                <w:color w:val="auto"/>
              </w:rPr>
              <w:t>2</w:t>
            </w:r>
            <w:r>
              <w:rPr>
                <w:color w:val="auto"/>
              </w:rPr>
              <w:t>-</w:t>
            </w:r>
            <w:r>
              <w:rPr>
                <w:rFonts w:hint="eastAsia"/>
                <w:color w:val="auto"/>
              </w:rPr>
              <w:t>305</w:t>
            </w:r>
            <w:r>
              <w:rPr>
                <w:color w:val="auto"/>
              </w:rPr>
              <w:t>L）</w:t>
            </w:r>
            <w:r>
              <w:rPr>
                <w:rFonts w:hint="eastAsia"/>
                <w:color w:val="auto"/>
              </w:rPr>
              <w:t>。</w:t>
            </w:r>
          </w:p>
          <w:p w14:paraId="3A84F96E">
            <w:pPr>
              <w:pStyle w:val="72"/>
              <w:adjustRightInd w:val="0"/>
              <w:snapToGrid w:val="0"/>
              <w:spacing w:line="240" w:lineRule="auto"/>
              <w:jc w:val="center"/>
              <w:rPr>
                <w:b/>
                <w:bCs/>
                <w:color w:val="auto"/>
              </w:rPr>
            </w:pPr>
            <w:r>
              <w:rPr>
                <w:rFonts w:hint="eastAsia"/>
                <w:b/>
                <w:bCs/>
                <w:color w:val="auto"/>
              </w:rPr>
              <w:t>表2-6   现有项目环保手续一览表</w:t>
            </w:r>
          </w:p>
          <w:tbl>
            <w:tblPr>
              <w:tblStyle w:val="60"/>
              <w:tblW w:w="8549" w:type="dxa"/>
              <w:tblInd w:w="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966"/>
              <w:gridCol w:w="1654"/>
              <w:gridCol w:w="1528"/>
              <w:gridCol w:w="686"/>
              <w:gridCol w:w="1056"/>
              <w:gridCol w:w="1659"/>
            </w:tblGrid>
            <w:tr w14:paraId="3A84F97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2" w:hRule="atLeast"/>
              </w:trPr>
              <w:tc>
                <w:tcPr>
                  <w:tcW w:w="1966" w:type="dxa"/>
                  <w:vMerge w:val="restart"/>
                  <w:tcBorders>
                    <w:tl2br w:val="nil"/>
                    <w:tr2bl w:val="nil"/>
                  </w:tcBorders>
                  <w:vAlign w:val="center"/>
                </w:tcPr>
                <w:p w14:paraId="3A84F96F">
                  <w:pPr>
                    <w:pStyle w:val="72"/>
                    <w:adjustRightInd w:val="0"/>
                    <w:snapToGrid w:val="0"/>
                    <w:spacing w:line="240" w:lineRule="auto"/>
                    <w:jc w:val="center"/>
                    <w:rPr>
                      <w:b/>
                      <w:bCs/>
                      <w:color w:val="auto"/>
                    </w:rPr>
                  </w:pPr>
                  <w:r>
                    <w:rPr>
                      <w:rFonts w:hint="eastAsia"/>
                      <w:b/>
                      <w:bCs/>
                      <w:color w:val="auto"/>
                    </w:rPr>
                    <w:t>项目名称</w:t>
                  </w:r>
                </w:p>
              </w:tc>
              <w:tc>
                <w:tcPr>
                  <w:tcW w:w="1654" w:type="dxa"/>
                  <w:vMerge w:val="restart"/>
                  <w:tcBorders>
                    <w:tl2br w:val="nil"/>
                    <w:tr2bl w:val="nil"/>
                  </w:tcBorders>
                  <w:vAlign w:val="center"/>
                </w:tcPr>
                <w:p w14:paraId="3A84F970">
                  <w:pPr>
                    <w:pStyle w:val="72"/>
                    <w:adjustRightInd w:val="0"/>
                    <w:snapToGrid w:val="0"/>
                    <w:spacing w:line="240" w:lineRule="auto"/>
                    <w:jc w:val="center"/>
                    <w:rPr>
                      <w:b/>
                      <w:bCs/>
                      <w:color w:val="auto"/>
                    </w:rPr>
                  </w:pPr>
                  <w:r>
                    <w:rPr>
                      <w:rFonts w:hint="eastAsia"/>
                      <w:b/>
                      <w:bCs/>
                      <w:color w:val="auto"/>
                    </w:rPr>
                    <w:t>环评批复文号及时间</w:t>
                  </w:r>
                </w:p>
              </w:tc>
              <w:tc>
                <w:tcPr>
                  <w:tcW w:w="3270" w:type="dxa"/>
                  <w:gridSpan w:val="3"/>
                  <w:tcBorders>
                    <w:tl2br w:val="nil"/>
                    <w:tr2bl w:val="nil"/>
                  </w:tcBorders>
                  <w:vAlign w:val="center"/>
                </w:tcPr>
                <w:p w14:paraId="3A84F971">
                  <w:pPr>
                    <w:pStyle w:val="72"/>
                    <w:adjustRightInd w:val="0"/>
                    <w:snapToGrid w:val="0"/>
                    <w:spacing w:line="240" w:lineRule="auto"/>
                    <w:jc w:val="center"/>
                    <w:rPr>
                      <w:b/>
                      <w:bCs/>
                      <w:color w:val="auto"/>
                    </w:rPr>
                  </w:pPr>
                  <w:r>
                    <w:rPr>
                      <w:rFonts w:hint="eastAsia"/>
                      <w:b/>
                      <w:bCs/>
                      <w:color w:val="auto"/>
                    </w:rPr>
                    <w:t>生产能力</w:t>
                  </w:r>
                </w:p>
              </w:tc>
              <w:tc>
                <w:tcPr>
                  <w:tcW w:w="1659" w:type="dxa"/>
                  <w:vMerge w:val="restart"/>
                  <w:tcBorders>
                    <w:tl2br w:val="nil"/>
                    <w:tr2bl w:val="nil"/>
                  </w:tcBorders>
                  <w:vAlign w:val="center"/>
                </w:tcPr>
                <w:p w14:paraId="3A84F972">
                  <w:pPr>
                    <w:pStyle w:val="72"/>
                    <w:adjustRightInd w:val="0"/>
                    <w:snapToGrid w:val="0"/>
                    <w:spacing w:line="240" w:lineRule="auto"/>
                    <w:jc w:val="center"/>
                    <w:rPr>
                      <w:b/>
                      <w:bCs/>
                      <w:color w:val="auto"/>
                    </w:rPr>
                  </w:pPr>
                  <w:r>
                    <w:rPr>
                      <w:rFonts w:hint="eastAsia"/>
                      <w:b/>
                      <w:bCs/>
                      <w:color w:val="auto"/>
                    </w:rPr>
                    <w:t>环保验收情况</w:t>
                  </w:r>
                </w:p>
              </w:tc>
            </w:tr>
            <w:tr w14:paraId="3A84F97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2" w:hRule="atLeast"/>
              </w:trPr>
              <w:tc>
                <w:tcPr>
                  <w:tcW w:w="1966" w:type="dxa"/>
                  <w:vMerge w:val="continue"/>
                  <w:tcBorders>
                    <w:tl2br w:val="nil"/>
                    <w:tr2bl w:val="nil"/>
                  </w:tcBorders>
                  <w:vAlign w:val="center"/>
                </w:tcPr>
                <w:p w14:paraId="3A84F974">
                  <w:pPr>
                    <w:pStyle w:val="72"/>
                    <w:adjustRightInd w:val="0"/>
                    <w:snapToGrid w:val="0"/>
                    <w:spacing w:line="240" w:lineRule="auto"/>
                    <w:jc w:val="center"/>
                    <w:rPr>
                      <w:color w:val="auto"/>
                    </w:rPr>
                  </w:pPr>
                </w:p>
              </w:tc>
              <w:tc>
                <w:tcPr>
                  <w:tcW w:w="1654" w:type="dxa"/>
                  <w:vMerge w:val="continue"/>
                  <w:tcBorders>
                    <w:tl2br w:val="nil"/>
                    <w:tr2bl w:val="nil"/>
                  </w:tcBorders>
                  <w:vAlign w:val="center"/>
                </w:tcPr>
                <w:p w14:paraId="3A84F975">
                  <w:pPr>
                    <w:pStyle w:val="72"/>
                    <w:adjustRightInd w:val="0"/>
                    <w:snapToGrid w:val="0"/>
                    <w:spacing w:line="240" w:lineRule="auto"/>
                    <w:jc w:val="center"/>
                    <w:rPr>
                      <w:color w:val="auto"/>
                    </w:rPr>
                  </w:pPr>
                </w:p>
              </w:tc>
              <w:tc>
                <w:tcPr>
                  <w:tcW w:w="1528" w:type="dxa"/>
                  <w:tcBorders>
                    <w:tl2br w:val="nil"/>
                    <w:tr2bl w:val="nil"/>
                  </w:tcBorders>
                  <w:vAlign w:val="center"/>
                </w:tcPr>
                <w:p w14:paraId="3A84F976">
                  <w:pPr>
                    <w:pStyle w:val="72"/>
                    <w:adjustRightInd w:val="0"/>
                    <w:snapToGrid w:val="0"/>
                    <w:spacing w:line="240" w:lineRule="auto"/>
                    <w:jc w:val="center"/>
                    <w:rPr>
                      <w:b/>
                      <w:bCs/>
                      <w:color w:val="auto"/>
                    </w:rPr>
                  </w:pPr>
                  <w:r>
                    <w:rPr>
                      <w:rFonts w:hint="eastAsia"/>
                      <w:b/>
                      <w:bCs/>
                      <w:color w:val="auto"/>
                    </w:rPr>
                    <w:t>批复</w:t>
                  </w:r>
                </w:p>
              </w:tc>
              <w:tc>
                <w:tcPr>
                  <w:tcW w:w="1742" w:type="dxa"/>
                  <w:gridSpan w:val="2"/>
                  <w:tcBorders>
                    <w:tl2br w:val="nil"/>
                    <w:tr2bl w:val="nil"/>
                  </w:tcBorders>
                  <w:vAlign w:val="center"/>
                </w:tcPr>
                <w:p w14:paraId="3A84F977">
                  <w:pPr>
                    <w:pStyle w:val="72"/>
                    <w:adjustRightInd w:val="0"/>
                    <w:snapToGrid w:val="0"/>
                    <w:spacing w:line="240" w:lineRule="auto"/>
                    <w:jc w:val="center"/>
                    <w:rPr>
                      <w:b/>
                      <w:bCs/>
                      <w:color w:val="auto"/>
                    </w:rPr>
                  </w:pPr>
                  <w:r>
                    <w:rPr>
                      <w:rFonts w:hint="eastAsia"/>
                      <w:b/>
                      <w:bCs/>
                      <w:color w:val="auto"/>
                    </w:rPr>
                    <w:t>实际建设</w:t>
                  </w:r>
                </w:p>
              </w:tc>
              <w:tc>
                <w:tcPr>
                  <w:tcW w:w="1659" w:type="dxa"/>
                  <w:vMerge w:val="continue"/>
                  <w:tcBorders>
                    <w:tl2br w:val="nil"/>
                    <w:tr2bl w:val="nil"/>
                  </w:tcBorders>
                  <w:vAlign w:val="center"/>
                </w:tcPr>
                <w:p w14:paraId="3A84F978">
                  <w:pPr>
                    <w:pStyle w:val="72"/>
                    <w:adjustRightInd w:val="0"/>
                    <w:snapToGrid w:val="0"/>
                    <w:spacing w:line="240" w:lineRule="auto"/>
                    <w:jc w:val="center"/>
                    <w:rPr>
                      <w:b/>
                      <w:bCs/>
                      <w:color w:val="auto"/>
                    </w:rPr>
                  </w:pPr>
                </w:p>
              </w:tc>
            </w:tr>
            <w:tr w14:paraId="3A84F9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966" w:type="dxa"/>
                  <w:tcBorders>
                    <w:tl2br w:val="nil"/>
                    <w:tr2bl w:val="nil"/>
                  </w:tcBorders>
                  <w:vAlign w:val="center"/>
                </w:tcPr>
                <w:p w14:paraId="3A84F97A">
                  <w:pPr>
                    <w:pStyle w:val="72"/>
                    <w:adjustRightInd w:val="0"/>
                    <w:snapToGrid w:val="0"/>
                    <w:spacing w:line="240" w:lineRule="auto"/>
                    <w:jc w:val="center"/>
                    <w:rPr>
                      <w:color w:val="auto"/>
                    </w:rPr>
                  </w:pPr>
                  <w:r>
                    <w:rPr>
                      <w:color w:val="auto"/>
                    </w:rPr>
                    <w:t>奥托立夫（中国）汽车安全零部件有限公司气体发生器生产线建设项目环境影响报告书</w:t>
                  </w:r>
                </w:p>
              </w:tc>
              <w:tc>
                <w:tcPr>
                  <w:tcW w:w="1654" w:type="dxa"/>
                  <w:tcBorders>
                    <w:tl2br w:val="nil"/>
                    <w:tr2bl w:val="nil"/>
                  </w:tcBorders>
                  <w:vAlign w:val="center"/>
                </w:tcPr>
                <w:p w14:paraId="3A84F97B">
                  <w:pPr>
                    <w:pStyle w:val="72"/>
                    <w:adjustRightInd w:val="0"/>
                    <w:snapToGrid w:val="0"/>
                    <w:spacing w:line="240" w:lineRule="auto"/>
                    <w:jc w:val="center"/>
                    <w:rPr>
                      <w:color w:val="auto"/>
                    </w:rPr>
                  </w:pPr>
                  <w:r>
                    <w:rPr>
                      <w:rFonts w:hint="eastAsia"/>
                      <w:color w:val="auto"/>
                    </w:rPr>
                    <w:t>坛环审〔2012〕61号，2012.04.20</w:t>
                  </w:r>
                </w:p>
              </w:tc>
              <w:tc>
                <w:tcPr>
                  <w:tcW w:w="1528" w:type="dxa"/>
                  <w:vMerge w:val="restart"/>
                  <w:tcBorders>
                    <w:tl2br w:val="nil"/>
                    <w:tr2bl w:val="nil"/>
                  </w:tcBorders>
                  <w:vAlign w:val="center"/>
                </w:tcPr>
                <w:p w14:paraId="3A84F97C">
                  <w:pPr>
                    <w:pStyle w:val="72"/>
                    <w:adjustRightInd w:val="0"/>
                    <w:snapToGrid w:val="0"/>
                    <w:spacing w:line="240" w:lineRule="auto"/>
                    <w:jc w:val="center"/>
                    <w:rPr>
                      <w:color w:val="auto"/>
                    </w:rPr>
                  </w:pPr>
                  <w:r>
                    <w:rPr>
                      <w:color w:val="auto"/>
                    </w:rPr>
                    <w:t>气体发生器4300万个/年，MGG安全带预紧器3200万个/年，产气药2750t/a</w:t>
                  </w:r>
                </w:p>
              </w:tc>
              <w:tc>
                <w:tcPr>
                  <w:tcW w:w="686" w:type="dxa"/>
                  <w:tcBorders>
                    <w:tl2br w:val="nil"/>
                    <w:tr2bl w:val="nil"/>
                  </w:tcBorders>
                  <w:vAlign w:val="center"/>
                </w:tcPr>
                <w:p w14:paraId="3A84F97D">
                  <w:pPr>
                    <w:pStyle w:val="72"/>
                    <w:adjustRightInd w:val="0"/>
                    <w:snapToGrid w:val="0"/>
                    <w:spacing w:line="240" w:lineRule="auto"/>
                    <w:jc w:val="center"/>
                    <w:rPr>
                      <w:color w:val="auto"/>
                    </w:rPr>
                  </w:pPr>
                  <w:r>
                    <w:rPr>
                      <w:rFonts w:hint="eastAsia"/>
                      <w:color w:val="auto"/>
                    </w:rPr>
                    <w:t>一期</w:t>
                  </w:r>
                </w:p>
              </w:tc>
              <w:tc>
                <w:tcPr>
                  <w:tcW w:w="1056" w:type="dxa"/>
                  <w:tcBorders>
                    <w:tl2br w:val="nil"/>
                    <w:tr2bl w:val="nil"/>
                  </w:tcBorders>
                  <w:vAlign w:val="center"/>
                </w:tcPr>
                <w:p w14:paraId="3A84F97E">
                  <w:pPr>
                    <w:pStyle w:val="72"/>
                    <w:adjustRightInd w:val="0"/>
                    <w:snapToGrid w:val="0"/>
                    <w:spacing w:line="240" w:lineRule="auto"/>
                    <w:jc w:val="center"/>
                    <w:rPr>
                      <w:color w:val="auto"/>
                    </w:rPr>
                  </w:pPr>
                  <w:r>
                    <w:rPr>
                      <w:rFonts w:hint="eastAsia"/>
                      <w:color w:val="auto"/>
                    </w:rPr>
                    <w:t>产气药1100t/a</w:t>
                  </w:r>
                </w:p>
              </w:tc>
              <w:tc>
                <w:tcPr>
                  <w:tcW w:w="1659" w:type="dxa"/>
                  <w:tcBorders>
                    <w:tl2br w:val="nil"/>
                    <w:tr2bl w:val="nil"/>
                  </w:tcBorders>
                  <w:vAlign w:val="center"/>
                </w:tcPr>
                <w:p w14:paraId="3A84F97F">
                  <w:pPr>
                    <w:pStyle w:val="72"/>
                    <w:adjustRightInd w:val="0"/>
                    <w:snapToGrid w:val="0"/>
                    <w:spacing w:line="240" w:lineRule="auto"/>
                    <w:jc w:val="center"/>
                    <w:rPr>
                      <w:color w:val="auto"/>
                    </w:rPr>
                  </w:pPr>
                  <w:r>
                    <w:rPr>
                      <w:rFonts w:hint="eastAsia"/>
                      <w:color w:val="auto"/>
                    </w:rPr>
                    <w:t>2018年6月1日</w:t>
                  </w:r>
                  <w:r>
                    <w:rPr>
                      <w:color w:val="auto"/>
                    </w:rPr>
                    <w:t>完成项目竣工环保自主验收</w:t>
                  </w:r>
                </w:p>
              </w:tc>
            </w:tr>
            <w:tr w14:paraId="3A84F98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966" w:type="dxa"/>
                  <w:tcBorders>
                    <w:tl2br w:val="nil"/>
                    <w:tr2bl w:val="nil"/>
                  </w:tcBorders>
                  <w:vAlign w:val="center"/>
                </w:tcPr>
                <w:p w14:paraId="3A84F981">
                  <w:pPr>
                    <w:pStyle w:val="72"/>
                    <w:adjustRightInd w:val="0"/>
                    <w:snapToGrid w:val="0"/>
                    <w:spacing w:line="240" w:lineRule="auto"/>
                    <w:jc w:val="center"/>
                    <w:rPr>
                      <w:color w:val="auto"/>
                    </w:rPr>
                  </w:pPr>
                  <w:r>
                    <w:rPr>
                      <w:color w:val="auto"/>
                    </w:rPr>
                    <w:t>奥托立夫（江苏）汽车安全零部件有限公司气体发生器生产线建设项目环境影响评价修编报告</w:t>
                  </w:r>
                </w:p>
              </w:tc>
              <w:tc>
                <w:tcPr>
                  <w:tcW w:w="1654" w:type="dxa"/>
                  <w:tcBorders>
                    <w:tl2br w:val="nil"/>
                    <w:tr2bl w:val="nil"/>
                  </w:tcBorders>
                  <w:vAlign w:val="center"/>
                </w:tcPr>
                <w:p w14:paraId="3A84F982">
                  <w:pPr>
                    <w:pStyle w:val="72"/>
                    <w:adjustRightInd w:val="0"/>
                    <w:snapToGrid w:val="0"/>
                    <w:spacing w:line="240" w:lineRule="auto"/>
                    <w:jc w:val="center"/>
                    <w:rPr>
                      <w:color w:val="auto"/>
                    </w:rPr>
                  </w:pPr>
                  <w:r>
                    <w:rPr>
                      <w:rFonts w:hint="eastAsia"/>
                      <w:color w:val="auto"/>
                    </w:rPr>
                    <w:t>坛环服复〔2013〕13号，2013.04.19</w:t>
                  </w:r>
                </w:p>
              </w:tc>
              <w:tc>
                <w:tcPr>
                  <w:tcW w:w="1528" w:type="dxa"/>
                  <w:vMerge w:val="continue"/>
                  <w:tcBorders>
                    <w:tl2br w:val="nil"/>
                    <w:tr2bl w:val="nil"/>
                  </w:tcBorders>
                  <w:vAlign w:val="center"/>
                </w:tcPr>
                <w:p w14:paraId="3A84F983">
                  <w:pPr>
                    <w:pStyle w:val="72"/>
                    <w:adjustRightInd w:val="0"/>
                    <w:snapToGrid w:val="0"/>
                    <w:spacing w:line="240" w:lineRule="auto"/>
                    <w:jc w:val="center"/>
                    <w:rPr>
                      <w:color w:val="auto"/>
                    </w:rPr>
                  </w:pPr>
                </w:p>
              </w:tc>
              <w:tc>
                <w:tcPr>
                  <w:tcW w:w="686" w:type="dxa"/>
                  <w:vMerge w:val="restart"/>
                  <w:tcBorders>
                    <w:tl2br w:val="nil"/>
                    <w:tr2bl w:val="nil"/>
                  </w:tcBorders>
                  <w:vAlign w:val="center"/>
                </w:tcPr>
                <w:p w14:paraId="3A84F984">
                  <w:pPr>
                    <w:pStyle w:val="72"/>
                    <w:adjustRightInd w:val="0"/>
                    <w:snapToGrid w:val="0"/>
                    <w:spacing w:line="240" w:lineRule="auto"/>
                    <w:jc w:val="center"/>
                    <w:rPr>
                      <w:color w:val="auto"/>
                    </w:rPr>
                  </w:pPr>
                  <w:r>
                    <w:rPr>
                      <w:rFonts w:hint="eastAsia"/>
                      <w:color w:val="auto"/>
                    </w:rPr>
                    <w:t>二期</w:t>
                  </w:r>
                </w:p>
              </w:tc>
              <w:tc>
                <w:tcPr>
                  <w:tcW w:w="1056" w:type="dxa"/>
                  <w:vMerge w:val="restart"/>
                  <w:tcBorders>
                    <w:tl2br w:val="nil"/>
                    <w:tr2bl w:val="nil"/>
                  </w:tcBorders>
                  <w:vAlign w:val="center"/>
                </w:tcPr>
                <w:p w14:paraId="3A84F985">
                  <w:pPr>
                    <w:pStyle w:val="72"/>
                    <w:adjustRightInd w:val="0"/>
                    <w:snapToGrid w:val="0"/>
                    <w:spacing w:line="240" w:lineRule="auto"/>
                    <w:jc w:val="center"/>
                    <w:rPr>
                      <w:color w:val="auto"/>
                    </w:rPr>
                  </w:pPr>
                  <w:r>
                    <w:rPr>
                      <w:rFonts w:hint="eastAsia"/>
                      <w:color w:val="auto"/>
                    </w:rPr>
                    <w:t>产气药1650t/a，气体发生器4300万个/年</w:t>
                  </w:r>
                </w:p>
              </w:tc>
              <w:tc>
                <w:tcPr>
                  <w:tcW w:w="1659" w:type="dxa"/>
                  <w:vMerge w:val="restart"/>
                  <w:tcBorders>
                    <w:tl2br w:val="nil"/>
                    <w:tr2bl w:val="nil"/>
                  </w:tcBorders>
                  <w:vAlign w:val="center"/>
                </w:tcPr>
                <w:p w14:paraId="3A84F986">
                  <w:pPr>
                    <w:pStyle w:val="72"/>
                    <w:adjustRightInd w:val="0"/>
                    <w:snapToGrid w:val="0"/>
                    <w:spacing w:line="240" w:lineRule="auto"/>
                    <w:jc w:val="center"/>
                    <w:rPr>
                      <w:color w:val="auto"/>
                    </w:rPr>
                  </w:pPr>
                  <w:r>
                    <w:rPr>
                      <w:rFonts w:hint="eastAsia"/>
                      <w:color w:val="auto"/>
                    </w:rPr>
                    <w:t>二期年产1650t产气药、4300万个气体发生器已验收，坛环验〔2017〕14号；2017.05.02；年产3200万个MGG安全带预紧器未建设</w:t>
                  </w:r>
                </w:p>
              </w:tc>
            </w:tr>
            <w:tr w14:paraId="3A84F9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966" w:type="dxa"/>
                  <w:tcBorders>
                    <w:tl2br w:val="nil"/>
                    <w:tr2bl w:val="nil"/>
                  </w:tcBorders>
                  <w:vAlign w:val="center"/>
                </w:tcPr>
                <w:p w14:paraId="3A84F988">
                  <w:pPr>
                    <w:pStyle w:val="72"/>
                    <w:adjustRightInd w:val="0"/>
                    <w:snapToGrid w:val="0"/>
                    <w:spacing w:line="240" w:lineRule="auto"/>
                    <w:jc w:val="center"/>
                    <w:rPr>
                      <w:color w:val="auto"/>
                    </w:rPr>
                  </w:pPr>
                  <w:r>
                    <w:rPr>
                      <w:color w:val="auto"/>
                    </w:rPr>
                    <w:t>奥托立夫（江苏）汽车安全零部件有限公司气体发生器生产线建设项目环境影响评价二次修编报告</w:t>
                  </w:r>
                </w:p>
              </w:tc>
              <w:tc>
                <w:tcPr>
                  <w:tcW w:w="1654" w:type="dxa"/>
                  <w:tcBorders>
                    <w:tl2br w:val="nil"/>
                    <w:tr2bl w:val="nil"/>
                  </w:tcBorders>
                  <w:vAlign w:val="center"/>
                </w:tcPr>
                <w:p w14:paraId="3A84F989">
                  <w:pPr>
                    <w:pStyle w:val="72"/>
                    <w:adjustRightInd w:val="0"/>
                    <w:snapToGrid w:val="0"/>
                    <w:spacing w:line="240" w:lineRule="auto"/>
                    <w:jc w:val="center"/>
                    <w:rPr>
                      <w:color w:val="auto"/>
                    </w:rPr>
                  </w:pPr>
                  <w:r>
                    <w:rPr>
                      <w:rFonts w:hint="eastAsia"/>
                      <w:color w:val="auto"/>
                    </w:rPr>
                    <w:t>坛环服函〔2014〕25号，2014.11.17</w:t>
                  </w:r>
                </w:p>
              </w:tc>
              <w:tc>
                <w:tcPr>
                  <w:tcW w:w="1528" w:type="dxa"/>
                  <w:vMerge w:val="continue"/>
                  <w:tcBorders>
                    <w:tl2br w:val="nil"/>
                    <w:tr2bl w:val="nil"/>
                  </w:tcBorders>
                  <w:vAlign w:val="center"/>
                </w:tcPr>
                <w:p w14:paraId="3A84F98A">
                  <w:pPr>
                    <w:pStyle w:val="72"/>
                    <w:adjustRightInd w:val="0"/>
                    <w:snapToGrid w:val="0"/>
                    <w:spacing w:line="240" w:lineRule="auto"/>
                    <w:jc w:val="center"/>
                    <w:rPr>
                      <w:color w:val="auto"/>
                    </w:rPr>
                  </w:pPr>
                </w:p>
              </w:tc>
              <w:tc>
                <w:tcPr>
                  <w:tcW w:w="686" w:type="dxa"/>
                  <w:vMerge w:val="continue"/>
                  <w:tcBorders>
                    <w:tl2br w:val="nil"/>
                    <w:tr2bl w:val="nil"/>
                  </w:tcBorders>
                  <w:vAlign w:val="center"/>
                </w:tcPr>
                <w:p w14:paraId="3A84F98B">
                  <w:pPr>
                    <w:pStyle w:val="72"/>
                    <w:adjustRightInd w:val="0"/>
                    <w:snapToGrid w:val="0"/>
                    <w:spacing w:line="240" w:lineRule="auto"/>
                    <w:jc w:val="center"/>
                    <w:rPr>
                      <w:color w:val="auto"/>
                    </w:rPr>
                  </w:pPr>
                </w:p>
              </w:tc>
              <w:tc>
                <w:tcPr>
                  <w:tcW w:w="1056" w:type="dxa"/>
                  <w:vMerge w:val="continue"/>
                  <w:tcBorders>
                    <w:tl2br w:val="nil"/>
                    <w:tr2bl w:val="nil"/>
                  </w:tcBorders>
                  <w:vAlign w:val="center"/>
                </w:tcPr>
                <w:p w14:paraId="3A84F98C">
                  <w:pPr>
                    <w:pStyle w:val="72"/>
                    <w:adjustRightInd w:val="0"/>
                    <w:snapToGrid w:val="0"/>
                    <w:spacing w:line="240" w:lineRule="auto"/>
                    <w:jc w:val="center"/>
                    <w:rPr>
                      <w:color w:val="auto"/>
                    </w:rPr>
                  </w:pPr>
                </w:p>
              </w:tc>
              <w:tc>
                <w:tcPr>
                  <w:tcW w:w="1659" w:type="dxa"/>
                  <w:vMerge w:val="continue"/>
                  <w:tcBorders>
                    <w:tl2br w:val="nil"/>
                    <w:tr2bl w:val="nil"/>
                  </w:tcBorders>
                  <w:vAlign w:val="center"/>
                </w:tcPr>
                <w:p w14:paraId="3A84F98D">
                  <w:pPr>
                    <w:pStyle w:val="72"/>
                    <w:adjustRightInd w:val="0"/>
                    <w:snapToGrid w:val="0"/>
                    <w:spacing w:line="240" w:lineRule="auto"/>
                    <w:jc w:val="center"/>
                    <w:rPr>
                      <w:color w:val="auto"/>
                    </w:rPr>
                  </w:pPr>
                </w:p>
              </w:tc>
            </w:tr>
            <w:tr w14:paraId="3A84F9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226" w:hRule="atLeast"/>
              </w:trPr>
              <w:tc>
                <w:tcPr>
                  <w:tcW w:w="1966" w:type="dxa"/>
                  <w:vMerge w:val="restart"/>
                  <w:tcBorders>
                    <w:tl2br w:val="nil"/>
                    <w:tr2bl w:val="nil"/>
                  </w:tcBorders>
                  <w:vAlign w:val="center"/>
                </w:tcPr>
                <w:p w14:paraId="3A84F98F">
                  <w:pPr>
                    <w:pStyle w:val="72"/>
                    <w:adjustRightInd w:val="0"/>
                    <w:snapToGrid w:val="0"/>
                    <w:spacing w:line="240" w:lineRule="auto"/>
                    <w:jc w:val="center"/>
                    <w:rPr>
                      <w:color w:val="auto"/>
                    </w:rPr>
                  </w:pPr>
                  <w:r>
                    <w:rPr>
                      <w:color w:val="auto"/>
                    </w:rPr>
                    <w:t>新建生产汽车安全气囊气体发生器点火具、汽车安全带预紧器MGG用点火具项目环境影响报告书</w:t>
                  </w:r>
                </w:p>
              </w:tc>
              <w:tc>
                <w:tcPr>
                  <w:tcW w:w="1654" w:type="dxa"/>
                  <w:vMerge w:val="restart"/>
                  <w:tcBorders>
                    <w:tl2br w:val="nil"/>
                    <w:tr2bl w:val="nil"/>
                  </w:tcBorders>
                  <w:vAlign w:val="center"/>
                </w:tcPr>
                <w:p w14:paraId="3A84F990">
                  <w:pPr>
                    <w:pStyle w:val="72"/>
                    <w:adjustRightInd w:val="0"/>
                    <w:snapToGrid w:val="0"/>
                    <w:spacing w:line="240" w:lineRule="auto"/>
                    <w:jc w:val="center"/>
                    <w:rPr>
                      <w:color w:val="auto"/>
                    </w:rPr>
                  </w:pPr>
                  <w:r>
                    <w:rPr>
                      <w:rFonts w:hint="eastAsia"/>
                      <w:color w:val="auto"/>
                    </w:rPr>
                    <w:t>坛环审〔2015〕143号；2015.12.16</w:t>
                  </w:r>
                </w:p>
              </w:tc>
              <w:tc>
                <w:tcPr>
                  <w:tcW w:w="1528" w:type="dxa"/>
                  <w:vMerge w:val="restart"/>
                  <w:tcBorders>
                    <w:tl2br w:val="nil"/>
                    <w:tr2bl w:val="nil"/>
                  </w:tcBorders>
                  <w:vAlign w:val="center"/>
                </w:tcPr>
                <w:p w14:paraId="3A84F991">
                  <w:pPr>
                    <w:pStyle w:val="72"/>
                    <w:adjustRightInd w:val="0"/>
                    <w:snapToGrid w:val="0"/>
                    <w:spacing w:line="240" w:lineRule="auto"/>
                    <w:jc w:val="center"/>
                    <w:rPr>
                      <w:color w:val="auto"/>
                    </w:rPr>
                  </w:pPr>
                  <w:r>
                    <w:rPr>
                      <w:color w:val="auto"/>
                    </w:rPr>
                    <w:t>汽车安全气囊气体发生器点火具1000万件/年、汽车安全气囊气体发生器点火具3000万件/年、汽车安全带预紧器MGG用点火具3000万件/年</w:t>
                  </w:r>
                </w:p>
              </w:tc>
              <w:tc>
                <w:tcPr>
                  <w:tcW w:w="686" w:type="dxa"/>
                  <w:tcBorders>
                    <w:tl2br w:val="nil"/>
                    <w:tr2bl w:val="nil"/>
                  </w:tcBorders>
                  <w:vAlign w:val="center"/>
                </w:tcPr>
                <w:p w14:paraId="3A84F992">
                  <w:pPr>
                    <w:pStyle w:val="72"/>
                    <w:adjustRightInd w:val="0"/>
                    <w:snapToGrid w:val="0"/>
                    <w:spacing w:line="240" w:lineRule="auto"/>
                    <w:jc w:val="center"/>
                    <w:rPr>
                      <w:color w:val="auto"/>
                    </w:rPr>
                  </w:pPr>
                  <w:r>
                    <w:rPr>
                      <w:rFonts w:hint="eastAsia"/>
                      <w:color w:val="auto"/>
                    </w:rPr>
                    <w:t>一期</w:t>
                  </w:r>
                </w:p>
              </w:tc>
              <w:tc>
                <w:tcPr>
                  <w:tcW w:w="1056" w:type="dxa"/>
                  <w:tcBorders>
                    <w:tl2br w:val="nil"/>
                    <w:tr2bl w:val="nil"/>
                  </w:tcBorders>
                  <w:vAlign w:val="center"/>
                </w:tcPr>
                <w:p w14:paraId="3A84F993">
                  <w:pPr>
                    <w:pStyle w:val="72"/>
                    <w:adjustRightInd w:val="0"/>
                    <w:snapToGrid w:val="0"/>
                    <w:spacing w:line="240" w:lineRule="auto"/>
                    <w:jc w:val="center"/>
                    <w:rPr>
                      <w:color w:val="auto"/>
                    </w:rPr>
                  </w:pPr>
                  <w:r>
                    <w:rPr>
                      <w:rFonts w:hint="eastAsia"/>
                      <w:color w:val="auto"/>
                    </w:rPr>
                    <w:t>年产汽车安全气囊气体发生器点火具1000万件</w:t>
                  </w:r>
                </w:p>
              </w:tc>
              <w:tc>
                <w:tcPr>
                  <w:tcW w:w="1659" w:type="dxa"/>
                  <w:tcBorders>
                    <w:tl2br w:val="nil"/>
                    <w:tr2bl w:val="nil"/>
                  </w:tcBorders>
                  <w:vAlign w:val="center"/>
                </w:tcPr>
                <w:p w14:paraId="3A84F994">
                  <w:pPr>
                    <w:pStyle w:val="72"/>
                    <w:adjustRightInd w:val="0"/>
                    <w:snapToGrid w:val="0"/>
                    <w:spacing w:line="240" w:lineRule="auto"/>
                    <w:jc w:val="center"/>
                    <w:rPr>
                      <w:color w:val="auto"/>
                    </w:rPr>
                  </w:pPr>
                  <w:r>
                    <w:rPr>
                      <w:rFonts w:hint="eastAsia"/>
                      <w:color w:val="auto"/>
                    </w:rPr>
                    <w:t>年产汽车安全气囊气体发生器点火具1000万件已验收，坛环验〔2016〕050号，2016.08.10</w:t>
                  </w:r>
                </w:p>
              </w:tc>
            </w:tr>
            <w:tr w14:paraId="3A84F99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966" w:type="dxa"/>
                  <w:vMerge w:val="continue"/>
                  <w:tcBorders>
                    <w:tl2br w:val="nil"/>
                    <w:tr2bl w:val="nil"/>
                  </w:tcBorders>
                  <w:vAlign w:val="center"/>
                </w:tcPr>
                <w:p w14:paraId="3A84F996">
                  <w:pPr>
                    <w:pStyle w:val="72"/>
                    <w:adjustRightInd w:val="0"/>
                    <w:snapToGrid w:val="0"/>
                    <w:spacing w:line="240" w:lineRule="auto"/>
                    <w:jc w:val="center"/>
                    <w:rPr>
                      <w:color w:val="auto"/>
                    </w:rPr>
                  </w:pPr>
                </w:p>
              </w:tc>
              <w:tc>
                <w:tcPr>
                  <w:tcW w:w="1654" w:type="dxa"/>
                  <w:vMerge w:val="continue"/>
                  <w:tcBorders>
                    <w:tl2br w:val="nil"/>
                    <w:tr2bl w:val="nil"/>
                  </w:tcBorders>
                  <w:vAlign w:val="center"/>
                </w:tcPr>
                <w:p w14:paraId="3A84F997">
                  <w:pPr>
                    <w:pStyle w:val="72"/>
                    <w:adjustRightInd w:val="0"/>
                    <w:snapToGrid w:val="0"/>
                    <w:spacing w:line="240" w:lineRule="auto"/>
                    <w:jc w:val="center"/>
                    <w:rPr>
                      <w:color w:val="auto"/>
                    </w:rPr>
                  </w:pPr>
                </w:p>
              </w:tc>
              <w:tc>
                <w:tcPr>
                  <w:tcW w:w="1528" w:type="dxa"/>
                  <w:vMerge w:val="continue"/>
                  <w:tcBorders>
                    <w:tl2br w:val="nil"/>
                    <w:tr2bl w:val="nil"/>
                  </w:tcBorders>
                  <w:vAlign w:val="center"/>
                </w:tcPr>
                <w:p w14:paraId="3A84F998">
                  <w:pPr>
                    <w:pStyle w:val="72"/>
                    <w:adjustRightInd w:val="0"/>
                    <w:snapToGrid w:val="0"/>
                    <w:spacing w:line="240" w:lineRule="auto"/>
                    <w:jc w:val="center"/>
                    <w:rPr>
                      <w:color w:val="auto"/>
                    </w:rPr>
                  </w:pPr>
                </w:p>
              </w:tc>
              <w:tc>
                <w:tcPr>
                  <w:tcW w:w="686" w:type="dxa"/>
                  <w:tcBorders>
                    <w:tl2br w:val="nil"/>
                    <w:tr2bl w:val="nil"/>
                  </w:tcBorders>
                  <w:vAlign w:val="center"/>
                </w:tcPr>
                <w:p w14:paraId="3A84F999">
                  <w:pPr>
                    <w:pStyle w:val="72"/>
                    <w:adjustRightInd w:val="0"/>
                    <w:snapToGrid w:val="0"/>
                    <w:spacing w:line="240" w:lineRule="auto"/>
                    <w:jc w:val="center"/>
                    <w:rPr>
                      <w:color w:val="auto"/>
                    </w:rPr>
                  </w:pPr>
                  <w:r>
                    <w:rPr>
                      <w:rFonts w:hint="eastAsia"/>
                      <w:color w:val="auto"/>
                    </w:rPr>
                    <w:t>二期</w:t>
                  </w:r>
                </w:p>
              </w:tc>
              <w:tc>
                <w:tcPr>
                  <w:tcW w:w="1056" w:type="dxa"/>
                  <w:tcBorders>
                    <w:tl2br w:val="nil"/>
                    <w:tr2bl w:val="nil"/>
                  </w:tcBorders>
                  <w:vAlign w:val="center"/>
                </w:tcPr>
                <w:p w14:paraId="3A84F99A">
                  <w:pPr>
                    <w:pStyle w:val="72"/>
                    <w:adjustRightInd w:val="0"/>
                    <w:snapToGrid w:val="0"/>
                    <w:spacing w:line="240" w:lineRule="auto"/>
                    <w:jc w:val="center"/>
                    <w:rPr>
                      <w:color w:val="auto"/>
                    </w:rPr>
                  </w:pPr>
                  <w:r>
                    <w:rPr>
                      <w:rFonts w:hint="eastAsia"/>
                      <w:color w:val="auto"/>
                    </w:rPr>
                    <w:t>年产3000万件汽车安全气囊气体发生器点火具</w:t>
                  </w:r>
                </w:p>
              </w:tc>
              <w:tc>
                <w:tcPr>
                  <w:tcW w:w="1659" w:type="dxa"/>
                  <w:tcBorders>
                    <w:tl2br w:val="nil"/>
                    <w:tr2bl w:val="nil"/>
                  </w:tcBorders>
                  <w:vAlign w:val="center"/>
                </w:tcPr>
                <w:p w14:paraId="3A84F99B">
                  <w:pPr>
                    <w:pStyle w:val="72"/>
                    <w:adjustRightInd w:val="0"/>
                    <w:snapToGrid w:val="0"/>
                    <w:spacing w:line="240" w:lineRule="auto"/>
                    <w:jc w:val="center"/>
                    <w:rPr>
                      <w:color w:val="auto"/>
                    </w:rPr>
                  </w:pPr>
                  <w:r>
                    <w:rPr>
                      <w:rFonts w:hint="eastAsia"/>
                      <w:color w:val="auto"/>
                    </w:rPr>
                    <w:t>年产3000万件汽车安全气囊气体发生器点火具已验收，坛环验〔2017〕15号，2017.04.13；年产3000万件MGG用点火具未建设</w:t>
                  </w:r>
                </w:p>
              </w:tc>
            </w:tr>
            <w:tr w14:paraId="3A84F9A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966" w:type="dxa"/>
                  <w:tcBorders>
                    <w:tl2br w:val="nil"/>
                    <w:tr2bl w:val="nil"/>
                  </w:tcBorders>
                  <w:vAlign w:val="center"/>
                </w:tcPr>
                <w:p w14:paraId="3A84F99D">
                  <w:pPr>
                    <w:pStyle w:val="72"/>
                    <w:adjustRightInd w:val="0"/>
                    <w:snapToGrid w:val="0"/>
                    <w:spacing w:line="240" w:lineRule="auto"/>
                    <w:jc w:val="center"/>
                    <w:rPr>
                      <w:color w:val="auto"/>
                    </w:rPr>
                  </w:pPr>
                  <w:r>
                    <w:rPr>
                      <w:color w:val="auto"/>
                    </w:rPr>
                    <w:t>奥托立夫（江苏）汽车安全零部件有限公司安全气囊用气体发生器壳体清洗工序项目环境影响报告表</w:t>
                  </w:r>
                </w:p>
              </w:tc>
              <w:tc>
                <w:tcPr>
                  <w:tcW w:w="1654" w:type="dxa"/>
                  <w:tcBorders>
                    <w:tl2br w:val="nil"/>
                    <w:tr2bl w:val="nil"/>
                  </w:tcBorders>
                  <w:vAlign w:val="center"/>
                </w:tcPr>
                <w:p w14:paraId="3A84F99E">
                  <w:pPr>
                    <w:pStyle w:val="72"/>
                    <w:adjustRightInd w:val="0"/>
                    <w:snapToGrid w:val="0"/>
                    <w:spacing w:line="240" w:lineRule="auto"/>
                    <w:jc w:val="center"/>
                    <w:rPr>
                      <w:color w:val="auto"/>
                    </w:rPr>
                  </w:pPr>
                  <w:r>
                    <w:rPr>
                      <w:rFonts w:hint="eastAsia"/>
                      <w:color w:val="auto"/>
                    </w:rPr>
                    <w:t>坛环审〔2017〕80号；2017.10.12</w:t>
                  </w:r>
                </w:p>
              </w:tc>
              <w:tc>
                <w:tcPr>
                  <w:tcW w:w="1528" w:type="dxa"/>
                  <w:tcBorders>
                    <w:tl2br w:val="nil"/>
                    <w:tr2bl w:val="nil"/>
                  </w:tcBorders>
                  <w:vAlign w:val="center"/>
                </w:tcPr>
                <w:p w14:paraId="3A84F99F">
                  <w:pPr>
                    <w:pStyle w:val="72"/>
                    <w:adjustRightInd w:val="0"/>
                    <w:snapToGrid w:val="0"/>
                    <w:spacing w:line="240" w:lineRule="auto"/>
                    <w:jc w:val="center"/>
                    <w:rPr>
                      <w:color w:val="auto"/>
                    </w:rPr>
                  </w:pPr>
                  <w:r>
                    <w:rPr>
                      <w:color w:val="auto"/>
                    </w:rPr>
                    <w:t>年清洗气体发生器外壳4500万个</w:t>
                  </w:r>
                </w:p>
              </w:tc>
              <w:tc>
                <w:tcPr>
                  <w:tcW w:w="1742" w:type="dxa"/>
                  <w:gridSpan w:val="2"/>
                  <w:tcBorders>
                    <w:tl2br w:val="nil"/>
                    <w:tr2bl w:val="nil"/>
                  </w:tcBorders>
                  <w:vAlign w:val="center"/>
                </w:tcPr>
                <w:p w14:paraId="3A84F9A0">
                  <w:pPr>
                    <w:pStyle w:val="72"/>
                    <w:adjustRightInd w:val="0"/>
                    <w:snapToGrid w:val="0"/>
                    <w:spacing w:line="240" w:lineRule="auto"/>
                    <w:jc w:val="center"/>
                    <w:rPr>
                      <w:color w:val="auto"/>
                    </w:rPr>
                  </w:pPr>
                  <w:r>
                    <w:rPr>
                      <w:color w:val="auto"/>
                    </w:rPr>
                    <w:t>年清洗气体发生器外壳4500万个</w:t>
                  </w:r>
                </w:p>
              </w:tc>
              <w:tc>
                <w:tcPr>
                  <w:tcW w:w="1659" w:type="dxa"/>
                  <w:tcBorders>
                    <w:tl2br w:val="nil"/>
                    <w:tr2bl w:val="nil"/>
                  </w:tcBorders>
                  <w:vAlign w:val="center"/>
                </w:tcPr>
                <w:p w14:paraId="3A84F9A1">
                  <w:pPr>
                    <w:pStyle w:val="72"/>
                    <w:adjustRightInd w:val="0"/>
                    <w:snapToGrid w:val="0"/>
                    <w:spacing w:line="240" w:lineRule="auto"/>
                    <w:jc w:val="center"/>
                    <w:rPr>
                      <w:color w:val="auto"/>
                    </w:rPr>
                  </w:pPr>
                  <w:r>
                    <w:rPr>
                      <w:rFonts w:hint="eastAsia"/>
                      <w:color w:val="auto"/>
                    </w:rPr>
                    <w:t>已通过自主验收，2018.10.20；通过固废验收，常环金验〔2020〕30号，2020.02.05</w:t>
                  </w:r>
                </w:p>
              </w:tc>
            </w:tr>
            <w:tr w14:paraId="3A84F9A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966" w:type="dxa"/>
                  <w:tcBorders>
                    <w:tl2br w:val="nil"/>
                    <w:tr2bl w:val="nil"/>
                  </w:tcBorders>
                  <w:vAlign w:val="center"/>
                </w:tcPr>
                <w:p w14:paraId="3A84F9A3">
                  <w:pPr>
                    <w:pStyle w:val="72"/>
                    <w:adjustRightInd w:val="0"/>
                    <w:snapToGrid w:val="0"/>
                    <w:spacing w:line="240" w:lineRule="auto"/>
                    <w:jc w:val="center"/>
                    <w:rPr>
                      <w:color w:val="auto"/>
                    </w:rPr>
                  </w:pPr>
                  <w:r>
                    <w:rPr>
                      <w:color w:val="auto"/>
                    </w:rPr>
                    <w:t>2017综合技术改造项目环境影响报告书</w:t>
                  </w:r>
                </w:p>
              </w:tc>
              <w:tc>
                <w:tcPr>
                  <w:tcW w:w="1654" w:type="dxa"/>
                  <w:tcBorders>
                    <w:tl2br w:val="nil"/>
                    <w:tr2bl w:val="nil"/>
                  </w:tcBorders>
                  <w:vAlign w:val="center"/>
                </w:tcPr>
                <w:p w14:paraId="3A84F9A4">
                  <w:pPr>
                    <w:pStyle w:val="72"/>
                    <w:adjustRightInd w:val="0"/>
                    <w:snapToGrid w:val="0"/>
                    <w:spacing w:line="240" w:lineRule="auto"/>
                    <w:jc w:val="center"/>
                    <w:rPr>
                      <w:color w:val="auto"/>
                    </w:rPr>
                  </w:pPr>
                  <w:r>
                    <w:rPr>
                      <w:rFonts w:hint="eastAsia"/>
                      <w:color w:val="auto"/>
                    </w:rPr>
                    <w:t>常坛环审〔2018〕63号</w:t>
                  </w:r>
                </w:p>
              </w:tc>
              <w:tc>
                <w:tcPr>
                  <w:tcW w:w="1528" w:type="dxa"/>
                  <w:tcBorders>
                    <w:tl2br w:val="nil"/>
                    <w:tr2bl w:val="nil"/>
                  </w:tcBorders>
                  <w:vAlign w:val="center"/>
                </w:tcPr>
                <w:p w14:paraId="3A84F9A5">
                  <w:pPr>
                    <w:pStyle w:val="72"/>
                    <w:adjustRightInd w:val="0"/>
                    <w:snapToGrid w:val="0"/>
                    <w:spacing w:line="240" w:lineRule="auto"/>
                    <w:jc w:val="center"/>
                    <w:rPr>
                      <w:color w:val="auto"/>
                    </w:rPr>
                  </w:pPr>
                  <w:r>
                    <w:rPr>
                      <w:color w:val="auto"/>
                    </w:rPr>
                    <w:t>年产APG气体发生器360万个/年、气体发生器点火具</w:t>
                  </w:r>
                  <w:r>
                    <w:rPr>
                      <w:rFonts w:hint="eastAsia"/>
                      <w:color w:val="auto"/>
                    </w:rPr>
                    <w:t>6000万个/年</w:t>
                  </w:r>
                </w:p>
              </w:tc>
              <w:tc>
                <w:tcPr>
                  <w:tcW w:w="1742" w:type="dxa"/>
                  <w:gridSpan w:val="2"/>
                  <w:tcBorders>
                    <w:tl2br w:val="nil"/>
                    <w:tr2bl w:val="nil"/>
                  </w:tcBorders>
                  <w:vAlign w:val="center"/>
                </w:tcPr>
                <w:p w14:paraId="3A84F9A6">
                  <w:pPr>
                    <w:pStyle w:val="72"/>
                    <w:adjustRightInd w:val="0"/>
                    <w:snapToGrid w:val="0"/>
                    <w:spacing w:line="240" w:lineRule="auto"/>
                    <w:jc w:val="center"/>
                    <w:rPr>
                      <w:color w:val="auto"/>
                    </w:rPr>
                  </w:pPr>
                  <w:r>
                    <w:rPr>
                      <w:color w:val="auto"/>
                    </w:rPr>
                    <w:t>验收产能为APG气体发生器360万个/年、气体发生器点火具5000万个/年</w:t>
                  </w:r>
                </w:p>
              </w:tc>
              <w:tc>
                <w:tcPr>
                  <w:tcW w:w="1659" w:type="dxa"/>
                  <w:tcBorders>
                    <w:tl2br w:val="nil"/>
                    <w:tr2bl w:val="nil"/>
                  </w:tcBorders>
                  <w:vAlign w:val="center"/>
                </w:tcPr>
                <w:p w14:paraId="3A84F9A7">
                  <w:pPr>
                    <w:pStyle w:val="72"/>
                    <w:adjustRightInd w:val="0"/>
                    <w:snapToGrid w:val="0"/>
                    <w:spacing w:line="240" w:lineRule="auto"/>
                    <w:jc w:val="center"/>
                    <w:rPr>
                      <w:color w:val="auto"/>
                    </w:rPr>
                  </w:pPr>
                  <w:r>
                    <w:rPr>
                      <w:rFonts w:hint="eastAsia"/>
                      <w:color w:val="auto"/>
                    </w:rPr>
                    <w:t>验收产能为APG气体发生器360万个/年、气体发生器点火具5000万个/年，2021年5月28日通过部分自主验收</w:t>
                  </w:r>
                </w:p>
              </w:tc>
            </w:tr>
            <w:tr w14:paraId="3A84F9A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966" w:type="dxa"/>
                  <w:tcBorders>
                    <w:tl2br w:val="nil"/>
                    <w:tr2bl w:val="nil"/>
                  </w:tcBorders>
                  <w:vAlign w:val="center"/>
                </w:tcPr>
                <w:p w14:paraId="3A84F9A9">
                  <w:pPr>
                    <w:pStyle w:val="72"/>
                    <w:adjustRightInd w:val="0"/>
                    <w:snapToGrid w:val="0"/>
                    <w:spacing w:line="240" w:lineRule="auto"/>
                    <w:jc w:val="center"/>
                    <w:rPr>
                      <w:color w:val="auto"/>
                    </w:rPr>
                  </w:pPr>
                  <w:r>
                    <w:rPr>
                      <w:color w:val="auto"/>
                    </w:rPr>
                    <w:t>奥托立夫（江苏）汽车安全零部件有限公司年产4700万件气体发生器生产配套项目环境影响报告书</w:t>
                  </w:r>
                </w:p>
              </w:tc>
              <w:tc>
                <w:tcPr>
                  <w:tcW w:w="1654" w:type="dxa"/>
                  <w:tcBorders>
                    <w:tl2br w:val="nil"/>
                    <w:tr2bl w:val="nil"/>
                  </w:tcBorders>
                  <w:vAlign w:val="center"/>
                </w:tcPr>
                <w:p w14:paraId="3A84F9AA">
                  <w:pPr>
                    <w:pStyle w:val="72"/>
                    <w:adjustRightInd w:val="0"/>
                    <w:snapToGrid w:val="0"/>
                    <w:spacing w:line="240" w:lineRule="auto"/>
                    <w:jc w:val="center"/>
                    <w:rPr>
                      <w:color w:val="auto"/>
                    </w:rPr>
                  </w:pPr>
                  <w:r>
                    <w:rPr>
                      <w:rFonts w:hint="eastAsia"/>
                      <w:color w:val="auto"/>
                    </w:rPr>
                    <w:t>常</w:t>
                  </w:r>
                  <w:r>
                    <w:rPr>
                      <w:rFonts w:hint="eastAsia"/>
                      <w:color w:val="auto"/>
                      <w:lang w:val="en-US" w:eastAsia="zh-CN"/>
                    </w:rPr>
                    <w:t>金</w:t>
                  </w:r>
                  <w:r>
                    <w:rPr>
                      <w:rFonts w:hint="eastAsia"/>
                      <w:color w:val="auto"/>
                    </w:rPr>
                    <w:t>环审〔20</w:t>
                  </w:r>
                  <w:r>
                    <w:rPr>
                      <w:rFonts w:hint="eastAsia"/>
                      <w:color w:val="auto"/>
                      <w:lang w:val="en-US" w:eastAsia="zh-CN"/>
                    </w:rPr>
                    <w:t>23</w:t>
                  </w:r>
                  <w:r>
                    <w:rPr>
                      <w:rFonts w:hint="eastAsia"/>
                      <w:color w:val="auto"/>
                    </w:rPr>
                    <w:t>〕</w:t>
                  </w:r>
                  <w:r>
                    <w:rPr>
                      <w:rFonts w:hint="eastAsia"/>
                      <w:color w:val="auto"/>
                      <w:lang w:val="en-US" w:eastAsia="zh-CN"/>
                    </w:rPr>
                    <w:t>16</w:t>
                  </w:r>
                  <w:r>
                    <w:rPr>
                      <w:rFonts w:hint="eastAsia"/>
                      <w:color w:val="auto"/>
                    </w:rPr>
                    <w:t>号</w:t>
                  </w:r>
                </w:p>
              </w:tc>
              <w:tc>
                <w:tcPr>
                  <w:tcW w:w="1528" w:type="dxa"/>
                  <w:tcBorders>
                    <w:tl2br w:val="nil"/>
                    <w:tr2bl w:val="nil"/>
                  </w:tcBorders>
                  <w:vAlign w:val="center"/>
                </w:tcPr>
                <w:p w14:paraId="3A84F9AB">
                  <w:pPr>
                    <w:pStyle w:val="72"/>
                    <w:adjustRightInd w:val="0"/>
                    <w:snapToGrid w:val="0"/>
                    <w:spacing w:line="240" w:lineRule="auto"/>
                    <w:jc w:val="center"/>
                    <w:rPr>
                      <w:color w:val="auto"/>
                    </w:rPr>
                  </w:pPr>
                  <w:r>
                    <w:rPr>
                      <w:color w:val="auto"/>
                    </w:rPr>
                    <w:t>年产4700万件气体发生器</w:t>
                  </w:r>
                </w:p>
              </w:tc>
              <w:tc>
                <w:tcPr>
                  <w:tcW w:w="1742" w:type="dxa"/>
                  <w:gridSpan w:val="2"/>
                  <w:tcBorders>
                    <w:tl2br w:val="nil"/>
                    <w:tr2bl w:val="nil"/>
                  </w:tcBorders>
                  <w:vAlign w:val="center"/>
                </w:tcPr>
                <w:p w14:paraId="3A84F9AC">
                  <w:pPr>
                    <w:pStyle w:val="72"/>
                    <w:adjustRightInd w:val="0"/>
                    <w:snapToGrid w:val="0"/>
                    <w:spacing w:line="240" w:lineRule="auto"/>
                    <w:jc w:val="center"/>
                    <w:rPr>
                      <w:color w:val="auto"/>
                    </w:rPr>
                  </w:pPr>
                  <w:r>
                    <w:rPr>
                      <w:color w:val="auto"/>
                    </w:rPr>
                    <w:t>年产4700万件气体发生器</w:t>
                  </w:r>
                </w:p>
              </w:tc>
              <w:tc>
                <w:tcPr>
                  <w:tcW w:w="1659" w:type="dxa"/>
                  <w:tcBorders>
                    <w:tl2br w:val="nil"/>
                    <w:tr2bl w:val="nil"/>
                  </w:tcBorders>
                  <w:vAlign w:val="center"/>
                </w:tcPr>
                <w:p w14:paraId="3A84F9AD">
                  <w:pPr>
                    <w:pStyle w:val="72"/>
                    <w:adjustRightInd w:val="0"/>
                    <w:snapToGrid w:val="0"/>
                    <w:spacing w:line="240" w:lineRule="auto"/>
                    <w:jc w:val="center"/>
                    <w:rPr>
                      <w:rFonts w:hint="default" w:eastAsia="宋体"/>
                      <w:color w:val="auto"/>
                      <w:lang w:val="en-US" w:eastAsia="zh-CN"/>
                    </w:rPr>
                  </w:pPr>
                  <w:r>
                    <w:rPr>
                      <w:rFonts w:hint="eastAsia"/>
                      <w:color w:val="auto"/>
                      <w:lang w:val="en-US" w:eastAsia="zh-CN"/>
                    </w:rPr>
                    <w:t>2024年8月15日通过自主验收</w:t>
                  </w:r>
                </w:p>
              </w:tc>
            </w:tr>
            <w:tr w14:paraId="3A84F9B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966" w:type="dxa"/>
                  <w:tcBorders>
                    <w:tl2br w:val="nil"/>
                    <w:tr2bl w:val="nil"/>
                  </w:tcBorders>
                  <w:vAlign w:val="center"/>
                </w:tcPr>
                <w:p w14:paraId="3A84F9AF">
                  <w:pPr>
                    <w:pStyle w:val="72"/>
                    <w:adjustRightInd w:val="0"/>
                    <w:snapToGrid w:val="0"/>
                    <w:spacing w:line="240" w:lineRule="auto"/>
                    <w:jc w:val="center"/>
                    <w:rPr>
                      <w:color w:val="auto"/>
                    </w:rPr>
                  </w:pPr>
                  <w:r>
                    <w:rPr>
                      <w:color w:val="auto"/>
                    </w:rPr>
                    <w:t>突发环境事件应急预案</w:t>
                  </w:r>
                </w:p>
              </w:tc>
              <w:tc>
                <w:tcPr>
                  <w:tcW w:w="6583" w:type="dxa"/>
                  <w:gridSpan w:val="5"/>
                  <w:tcBorders>
                    <w:tl2br w:val="nil"/>
                    <w:tr2bl w:val="nil"/>
                  </w:tcBorders>
                  <w:vAlign w:val="center"/>
                </w:tcPr>
                <w:p w14:paraId="3A84F9B0">
                  <w:pPr>
                    <w:pStyle w:val="72"/>
                    <w:adjustRightInd w:val="0"/>
                    <w:snapToGrid w:val="0"/>
                    <w:spacing w:line="240" w:lineRule="auto"/>
                    <w:jc w:val="center"/>
                    <w:rPr>
                      <w:color w:val="auto"/>
                    </w:rPr>
                  </w:pPr>
                  <w:r>
                    <w:rPr>
                      <w:rFonts w:hint="eastAsia"/>
                      <w:color w:val="auto"/>
                    </w:rPr>
                    <w:t>备案编号：320482-2022-305L</w:t>
                  </w:r>
                </w:p>
                <w:p w14:paraId="3A84F9B1">
                  <w:pPr>
                    <w:pStyle w:val="72"/>
                    <w:adjustRightInd w:val="0"/>
                    <w:snapToGrid w:val="0"/>
                    <w:spacing w:line="240" w:lineRule="auto"/>
                    <w:jc w:val="center"/>
                    <w:rPr>
                      <w:color w:val="auto"/>
                    </w:rPr>
                  </w:pPr>
                  <w:r>
                    <w:rPr>
                      <w:rFonts w:hint="eastAsia"/>
                      <w:color w:val="auto"/>
                    </w:rPr>
                    <w:t>风险级别：一般[一般-大气-（Q0）+一般-水-（Q0）]</w:t>
                  </w:r>
                </w:p>
              </w:tc>
            </w:tr>
            <w:tr w14:paraId="3A84F9B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966" w:type="dxa"/>
                  <w:tcBorders>
                    <w:tl2br w:val="nil"/>
                    <w:tr2bl w:val="nil"/>
                  </w:tcBorders>
                  <w:vAlign w:val="center"/>
                </w:tcPr>
                <w:p w14:paraId="3A84F9B3">
                  <w:pPr>
                    <w:pStyle w:val="72"/>
                    <w:adjustRightInd w:val="0"/>
                    <w:snapToGrid w:val="0"/>
                    <w:spacing w:line="240" w:lineRule="auto"/>
                    <w:jc w:val="center"/>
                    <w:rPr>
                      <w:color w:val="auto"/>
                    </w:rPr>
                  </w:pPr>
                  <w:r>
                    <w:rPr>
                      <w:rFonts w:hint="eastAsia"/>
                      <w:color w:val="auto"/>
                    </w:rPr>
                    <w:t>排污许可证</w:t>
                  </w:r>
                </w:p>
              </w:tc>
              <w:tc>
                <w:tcPr>
                  <w:tcW w:w="6583" w:type="dxa"/>
                  <w:gridSpan w:val="5"/>
                  <w:tcBorders>
                    <w:tl2br w:val="nil"/>
                    <w:tr2bl w:val="nil"/>
                  </w:tcBorders>
                  <w:vAlign w:val="center"/>
                </w:tcPr>
                <w:p w14:paraId="3A84F9B4">
                  <w:pPr>
                    <w:pStyle w:val="72"/>
                    <w:adjustRightInd w:val="0"/>
                    <w:snapToGrid w:val="0"/>
                    <w:spacing w:line="240" w:lineRule="auto"/>
                    <w:jc w:val="center"/>
                    <w:rPr>
                      <w:color w:val="auto"/>
                    </w:rPr>
                  </w:pPr>
                  <w:r>
                    <w:rPr>
                      <w:rFonts w:hint="eastAsia"/>
                      <w:color w:val="auto"/>
                    </w:rPr>
                    <w:t>证书编号：9132041358845730XQ001C</w:t>
                  </w:r>
                </w:p>
              </w:tc>
            </w:tr>
          </w:tbl>
          <w:p w14:paraId="3A84F9B6">
            <w:pPr>
              <w:pStyle w:val="72"/>
              <w:spacing w:line="360" w:lineRule="auto"/>
              <w:rPr>
                <w:b/>
                <w:bCs/>
                <w:color w:val="auto"/>
                <w:kern w:val="0"/>
                <w:lang w:bidi="ar"/>
              </w:rPr>
            </w:pPr>
            <w:r>
              <w:rPr>
                <w:rFonts w:hint="eastAsia"/>
                <w:b/>
                <w:bCs/>
                <w:color w:val="auto"/>
                <w:kern w:val="0"/>
                <w:lang w:bidi="ar"/>
              </w:rPr>
              <w:t>2、</w:t>
            </w:r>
            <w:r>
              <w:rPr>
                <w:b/>
                <w:bCs/>
                <w:color w:val="auto"/>
                <w:kern w:val="0"/>
                <w:lang w:bidi="ar"/>
              </w:rPr>
              <w:t>现有项目生产工艺及产排污环节</w:t>
            </w:r>
          </w:p>
          <w:p w14:paraId="3A84F9B7">
            <w:pPr>
              <w:adjustRightInd w:val="0"/>
              <w:snapToGrid w:val="0"/>
              <w:spacing w:line="360" w:lineRule="auto"/>
              <w:ind w:firstLine="422" w:firstLineChars="200"/>
              <w:rPr>
                <w:b/>
                <w:bCs/>
                <w:color w:val="auto"/>
                <w:kern w:val="0"/>
              </w:rPr>
            </w:pPr>
            <w:r>
              <w:rPr>
                <w:rFonts w:hint="eastAsia"/>
                <w:b/>
                <w:bCs/>
                <w:color w:val="auto"/>
                <w:kern w:val="0"/>
              </w:rPr>
              <w:t>①产气药</w:t>
            </w:r>
          </w:p>
          <w:p w14:paraId="3A84F9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r>
              <w:rPr>
                <w:rFonts w:hint="eastAsia"/>
                <w:color w:val="auto"/>
              </w:rPr>
              <w:object>
                <v:shape id="_x0000_i1029" o:spt="75" type="#_x0000_t75" style="height:455.05pt;width:420.7pt;" o:ole="t" filled="f" o:preferrelative="t" stroked="f" coordsize="21600,21600">
                  <v:path/>
                  <v:fill on="f" focussize="0,0"/>
                  <v:stroke on="f"/>
                  <v:imagedata r:id="rId19" o:title=""/>
                  <o:lock v:ext="edit" aspectratio="t"/>
                  <w10:wrap type="none"/>
                  <w10:anchorlock/>
                </v:shape>
                <o:OLEObject Type="Embed" ProgID="Visio.Drawing.11" ShapeID="_x0000_i1029" DrawAspect="Content" ObjectID="_1468075729" r:id="rId18">
                  <o:LockedField>false</o:LockedField>
                </o:OLEObject>
              </w:object>
            </w:r>
          </w:p>
          <w:p w14:paraId="1BAD9300">
            <w:pPr>
              <w:adjustRightInd w:val="0"/>
              <w:snapToGrid w:val="0"/>
              <w:spacing w:line="360" w:lineRule="auto"/>
              <w:jc w:val="center"/>
              <w:rPr>
                <w:b/>
                <w:bCs/>
                <w:color w:val="auto"/>
                <w:kern w:val="0"/>
              </w:rPr>
            </w:pPr>
            <w:r>
              <w:rPr>
                <w:rFonts w:hint="eastAsia"/>
                <w:b/>
                <w:bCs/>
                <w:color w:val="auto"/>
                <w:kern w:val="0"/>
              </w:rPr>
              <w:t>图2-</w:t>
            </w:r>
            <w:r>
              <w:rPr>
                <w:rFonts w:hint="eastAsia"/>
                <w:b/>
                <w:bCs/>
                <w:color w:val="auto"/>
                <w:kern w:val="0"/>
                <w:lang w:val="en-US" w:eastAsia="zh-CN"/>
              </w:rPr>
              <w:t>5</w:t>
            </w:r>
            <w:r>
              <w:rPr>
                <w:rFonts w:hint="eastAsia"/>
                <w:b/>
                <w:bCs/>
                <w:color w:val="auto"/>
                <w:kern w:val="0"/>
              </w:rPr>
              <w:t xml:space="preserve">   产气药生产工艺流程图</w:t>
            </w:r>
          </w:p>
          <w:p w14:paraId="017C6177">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kern w:val="0"/>
                <w:lang w:val="en-US" w:eastAsia="zh-CN"/>
              </w:rPr>
            </w:pPr>
            <w:r>
              <w:rPr>
                <w:rFonts w:hint="default" w:ascii="Times New Roman" w:hAnsi="Times New Roman" w:cs="Times New Roman"/>
                <w:b/>
                <w:bCs/>
                <w:color w:val="auto"/>
                <w:kern w:val="0"/>
                <w:lang w:val="en-US" w:eastAsia="zh-CN"/>
              </w:rPr>
              <w:t>生产工艺说明：</w:t>
            </w:r>
          </w:p>
          <w:p w14:paraId="25B52FB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①产气药车间</w:t>
            </w:r>
          </w:p>
          <w:p w14:paraId="274E2E3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硝酸胍、碱式硝酸铜通过气流输送至称重料斗（硝酸胍、碱式硝酸铜原料为固体颗粒，较为洁净，此工序不考虑原料输送粉尘），经过称量后加入产品混合罐，热水经过计量后加入产品混合罐，添加剂称量后直接加入产品混合罐。然后进行搅拌、加热（75℃-80℃），同时用泵循环，混合搅拌1小时。</w:t>
            </w:r>
          </w:p>
          <w:p w14:paraId="6F2FD95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搅拌均匀后，将产气药药浆用泵送至加料喷枪，从喷雾干燥器的底部向上呈雾状喷射，同时将空气加热至170℃从顶端送入喷雾干燥器。产气药药浆遇到热空气迅速于燥，于燥后的药粉和热空气沿着喷雾干燥器内壁向下流出，由管道进入药粉分离器。</w:t>
            </w:r>
          </w:p>
          <w:p w14:paraId="1973CDB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药粉分离器上部通入干燥空气，利用药粉分离器中滤网的阻隔将药粉压至分离器底部进行分离收集，废气通过位于药粉分离器上方的高效袋式除尘器除尘后经排气筒排放。药粉分离器下部的药粉进入产品收集器，收集的药粉存贮在储存柜中，送入中转库暂存。</w:t>
            </w:r>
          </w:p>
          <w:p w14:paraId="700F491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②压片车间</w:t>
            </w:r>
          </w:p>
          <w:p w14:paraId="4866367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将药粉储存柜送至压片工序，通过提升机送至药粉混合机，混合均匀的药粉通过喂料系统送入压片机，进行压片。压片机不密封，压片过程产生压片粉尘，压片机上部设置便携式滤袋收集器，收集后的药粉送入污水处理站进行压滤，未被收集的粉尘散落至地面，由地面冲洗后进入压片工房废水沉淀池，沉淀残渣送入污水处理站进行压滤。然后收集药片，气流输送至分装区域。抽样进行测试，测试药片的厚度、重量、粉碎强度及脆弱性，合格后，进行分装，装入防静电桶内，称重10kg/桶，贴标签后入库暂存。成品包装工序产生微量粉尘，粉尘经集气罩收集后送入湿式除尘器处理</w:t>
            </w:r>
            <w:r>
              <w:rPr>
                <w:rFonts w:hint="eastAsia" w:ascii="Times New Roman" w:hAnsi="Times New Roman" w:cs="Times New Roman"/>
                <w:b w:val="0"/>
                <w:bCs w:val="0"/>
                <w:color w:val="auto"/>
                <w:kern w:val="0"/>
                <w:lang w:val="en-US" w:eastAsia="zh-CN"/>
              </w:rPr>
              <w:t>。</w:t>
            </w:r>
          </w:p>
          <w:p w14:paraId="3A84F9B9">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b/>
                <w:bCs/>
                <w:color w:val="auto"/>
                <w:kern w:val="0"/>
                <w:lang w:val="en-US" w:eastAsia="zh-CN"/>
              </w:rPr>
            </w:pPr>
            <w:r>
              <w:rPr>
                <w:rFonts w:hint="eastAsia"/>
                <w:b/>
                <w:bCs/>
                <w:color w:val="auto"/>
                <w:kern w:val="0"/>
                <w:lang w:val="en-US" w:eastAsia="zh-CN"/>
              </w:rPr>
              <w:t>②气体发生器</w:t>
            </w:r>
          </w:p>
          <w:p w14:paraId="71E00D9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lang w:val="en-US" w:eastAsia="zh-CN"/>
              </w:rPr>
            </w:pPr>
            <w:r>
              <w:rPr>
                <w:rFonts w:hint="eastAsia"/>
                <w:color w:val="auto"/>
                <w:kern w:val="0"/>
                <w:lang w:val="en-US" w:eastAsia="zh-CN"/>
              </w:rPr>
              <w:t>产品方案内的ADP驾驶员用发生器、ADPS乘客用发生器、ASP-2侧气囊气体发生器，APG气体发生器（乘客用发生器）均适用气体发生器生产工艺流程。</w:t>
            </w:r>
          </w:p>
          <w:p w14:paraId="7BBF39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lang w:val="en-US" w:eastAsia="zh-CN"/>
              </w:rPr>
            </w:pPr>
            <w:r>
              <w:rPr>
                <w:rFonts w:hint="eastAsia"/>
                <w:color w:val="auto"/>
                <w:kern w:val="0"/>
                <w:lang w:val="en-US" w:eastAsia="zh-CN"/>
              </w:rPr>
              <w:object>
                <v:shape id="_x0000_i1030" o:spt="75" type="#_x0000_t75" style="height:544.5pt;width:147.75pt;" o:ole="t" filled="f" o:preferrelative="t" stroked="f" coordsize="21600,21600">
                  <v:path/>
                  <v:fill on="f" focussize="0,0"/>
                  <v:stroke on="f"/>
                  <v:imagedata r:id="rId21" o:title=""/>
                  <o:lock v:ext="edit" aspectratio="f"/>
                  <w10:wrap type="none"/>
                  <w10:anchorlock/>
                </v:shape>
                <o:OLEObject Type="Embed" ProgID="Visio.Drawing.11" ShapeID="_x0000_i1030" DrawAspect="Content" ObjectID="_1468075730" r:id="rId20">
                  <o:LockedField>false</o:LockedField>
                </o:OLEObject>
              </w:object>
            </w:r>
          </w:p>
          <w:p w14:paraId="063FED8E">
            <w:pPr>
              <w:adjustRightInd w:val="0"/>
              <w:snapToGrid w:val="0"/>
              <w:spacing w:line="360" w:lineRule="auto"/>
              <w:jc w:val="center"/>
              <w:rPr>
                <w:rFonts w:hint="default"/>
                <w:b/>
                <w:bCs/>
                <w:color w:val="auto"/>
                <w:kern w:val="0"/>
                <w:lang w:val="en-US" w:eastAsia="zh-CN"/>
              </w:rPr>
            </w:pPr>
            <w:r>
              <w:rPr>
                <w:rFonts w:hint="eastAsia"/>
                <w:b/>
                <w:bCs/>
                <w:color w:val="auto"/>
                <w:kern w:val="0"/>
                <w:lang w:val="en-US" w:eastAsia="zh-CN"/>
              </w:rPr>
              <w:t>图2-6   气体发生器生产工艺流程图</w:t>
            </w:r>
          </w:p>
          <w:p w14:paraId="456FC5C9">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kern w:val="0"/>
                <w:lang w:val="en-US" w:eastAsia="zh-CN"/>
              </w:rPr>
            </w:pPr>
            <w:r>
              <w:rPr>
                <w:rFonts w:hint="default" w:ascii="Times New Roman" w:hAnsi="Times New Roman" w:cs="Times New Roman"/>
                <w:b/>
                <w:bCs/>
                <w:color w:val="auto"/>
                <w:kern w:val="0"/>
                <w:lang w:val="en-US" w:eastAsia="zh-CN"/>
              </w:rPr>
              <w:t>生产工艺说明：</w:t>
            </w:r>
          </w:p>
          <w:p w14:paraId="762B94C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气体发生器壳体贴标签，部分零部件进行凸焊，然后与点火具装配在一起，组成基座。然后装过滤网、缓冲垫板、传火管，然后装产气药药片。盖缓冲垫板，与扩散器惯性焊接在一起，进行泄漏检测，检测合格后贴警示标签，进行通路检测，检测合格后包装暂存。</w:t>
            </w:r>
          </w:p>
          <w:p w14:paraId="2E1F45C3">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b/>
                <w:bCs/>
                <w:color w:val="auto"/>
                <w:kern w:val="0"/>
                <w:lang w:val="en-US" w:eastAsia="zh-CN"/>
              </w:rPr>
            </w:pPr>
            <w:r>
              <w:rPr>
                <w:rFonts w:hint="eastAsia"/>
                <w:b/>
                <w:bCs/>
                <w:color w:val="auto"/>
                <w:kern w:val="0"/>
                <w:lang w:val="en-US" w:eastAsia="zh-CN"/>
              </w:rPr>
              <w:t>③点火具</w:t>
            </w:r>
          </w:p>
          <w:p w14:paraId="1EC3BDC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lang w:val="en-US" w:eastAsia="zh-CN"/>
              </w:rPr>
            </w:pPr>
            <w:r>
              <w:rPr>
                <w:rFonts w:hint="eastAsia"/>
                <w:color w:val="auto"/>
                <w:kern w:val="0"/>
                <w:lang w:val="en-US" w:eastAsia="zh-CN"/>
              </w:rPr>
              <w:t>点火具生产主要工序包括药浆制备、装药装配等。项目点火具共需使用四种药浆ZR、PP、BKNO</w:t>
            </w:r>
            <w:r>
              <w:rPr>
                <w:rFonts w:hint="eastAsia"/>
                <w:color w:val="auto"/>
                <w:kern w:val="0"/>
                <w:vertAlign w:val="subscript"/>
                <w:lang w:val="en-US" w:eastAsia="zh-CN"/>
              </w:rPr>
              <w:t>3</w:t>
            </w:r>
            <w:r>
              <w:rPr>
                <w:rFonts w:hint="eastAsia"/>
                <w:color w:val="auto"/>
                <w:kern w:val="0"/>
                <w:lang w:val="en-US" w:eastAsia="zh-CN"/>
              </w:rPr>
              <w:t>、THPP，四种药浆制备所需的原料如下：</w:t>
            </w:r>
          </w:p>
          <w:p w14:paraId="553BF1E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lang w:val="en-US" w:eastAsia="zh-CN"/>
              </w:rPr>
            </w:pPr>
            <w:r>
              <w:rPr>
                <w:rFonts w:hint="eastAsia"/>
                <w:color w:val="auto"/>
                <w:kern w:val="0"/>
                <w:lang w:val="en-US" w:eastAsia="zh-CN"/>
              </w:rPr>
              <w:t>ZR药浆原料：锆，HPC，正丙醇，去离子水，ATEC，EC；</w:t>
            </w:r>
          </w:p>
          <w:p w14:paraId="55F2E48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lang w:val="en-US" w:eastAsia="zh-CN"/>
              </w:rPr>
            </w:pPr>
            <w:r>
              <w:rPr>
                <w:rFonts w:hint="eastAsia"/>
                <w:color w:val="auto"/>
                <w:kern w:val="0"/>
                <w:lang w:val="en-US" w:eastAsia="zh-CN"/>
              </w:rPr>
              <w:t>PP药浆原料：高氯酸钾，HPC，正丙醇，去离子水，ATEC，EC；</w:t>
            </w:r>
          </w:p>
          <w:p w14:paraId="059FA63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lang w:val="en-US" w:eastAsia="zh-CN"/>
              </w:rPr>
            </w:pPr>
            <w:r>
              <w:rPr>
                <w:rFonts w:hint="eastAsia"/>
                <w:color w:val="auto"/>
                <w:kern w:val="0"/>
                <w:lang w:val="en-US" w:eastAsia="zh-CN"/>
              </w:rPr>
              <w:t>BKNO</w:t>
            </w:r>
            <w:r>
              <w:rPr>
                <w:rFonts w:hint="eastAsia"/>
                <w:color w:val="auto"/>
                <w:kern w:val="0"/>
                <w:vertAlign w:val="subscript"/>
                <w:lang w:val="en-US" w:eastAsia="zh-CN"/>
              </w:rPr>
              <w:t>3</w:t>
            </w:r>
            <w:r>
              <w:rPr>
                <w:rFonts w:hint="eastAsia"/>
                <w:color w:val="auto"/>
                <w:kern w:val="0"/>
                <w:lang w:val="en-US" w:eastAsia="zh-CN"/>
              </w:rPr>
              <w:t>药浆原料：KNO3，硼，HPC，正丙醇，去离子水；</w:t>
            </w:r>
          </w:p>
          <w:p w14:paraId="686AF20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lang w:val="en-US" w:eastAsia="zh-CN"/>
              </w:rPr>
            </w:pPr>
            <w:r>
              <w:rPr>
                <w:rFonts w:hint="eastAsia"/>
                <w:color w:val="auto"/>
                <w:kern w:val="0"/>
                <w:lang w:val="en-US" w:eastAsia="zh-CN"/>
              </w:rPr>
              <w:t>THPP药浆原料：氢化钛，HPC，正丙醇，去离子水，高氯酸钾。</w:t>
            </w:r>
          </w:p>
          <w:p w14:paraId="38F9CF5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kern w:val="0"/>
                <w:lang w:val="en-US" w:eastAsia="zh-CN"/>
              </w:rPr>
            </w:pPr>
            <w:r>
              <w:rPr>
                <w:rFonts w:hint="eastAsia"/>
                <w:color w:val="auto"/>
                <w:kern w:val="0"/>
                <w:lang w:val="en-US" w:eastAsia="zh-CN"/>
              </w:rPr>
              <w:t>（1）药浆制备</w:t>
            </w:r>
          </w:p>
          <w:p w14:paraId="35C61C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lang w:val="en-US" w:eastAsia="zh-CN"/>
              </w:rPr>
            </w:pPr>
            <w:r>
              <w:rPr>
                <w:rFonts w:hint="eastAsia"/>
                <w:color w:val="auto"/>
                <w:kern w:val="0"/>
                <w:lang w:val="en-US" w:eastAsia="zh-CN"/>
              </w:rPr>
              <w:object>
                <v:shape id="_x0000_i1031" o:spt="75" type="#_x0000_t75" style="height:232.5pt;width:332.25pt;" o:ole="t" filled="f" o:preferrelative="t" stroked="f" coordsize="21600,21600">
                  <v:path/>
                  <v:fill on="f" focussize="0,0"/>
                  <v:stroke on="f"/>
                  <v:imagedata r:id="rId23" o:title=""/>
                  <o:lock v:ext="edit" aspectratio="f"/>
                  <w10:wrap type="none"/>
                  <w10:anchorlock/>
                </v:shape>
                <o:OLEObject Type="Embed" ProgID="Visio.Drawing.11" ShapeID="_x0000_i1031" DrawAspect="Content" ObjectID="_1468075731" r:id="rId22">
                  <o:LockedField>false</o:LockedField>
                </o:OLEObject>
              </w:object>
            </w:r>
          </w:p>
          <w:p w14:paraId="44664DCC">
            <w:pPr>
              <w:adjustRightInd w:val="0"/>
              <w:snapToGrid w:val="0"/>
              <w:spacing w:line="360" w:lineRule="auto"/>
              <w:jc w:val="center"/>
              <w:rPr>
                <w:rFonts w:hint="default"/>
                <w:b/>
                <w:bCs/>
                <w:color w:val="auto"/>
                <w:kern w:val="0"/>
                <w:lang w:val="en-US" w:eastAsia="zh-CN"/>
              </w:rPr>
            </w:pPr>
            <w:r>
              <w:rPr>
                <w:rFonts w:hint="eastAsia"/>
                <w:b/>
                <w:bCs/>
                <w:color w:val="auto"/>
                <w:kern w:val="0"/>
                <w:lang w:val="en-US" w:eastAsia="zh-CN"/>
              </w:rPr>
              <w:t>图2-7.1   ZR药浆生产工艺流程图</w:t>
            </w:r>
          </w:p>
          <w:p w14:paraId="074C93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lang w:val="en-US" w:eastAsia="zh-CN"/>
              </w:rPr>
            </w:pPr>
            <w:r>
              <w:rPr>
                <w:rFonts w:hint="eastAsia"/>
                <w:color w:val="auto"/>
                <w:kern w:val="0"/>
                <w:lang w:val="en-US" w:eastAsia="zh-CN"/>
              </w:rPr>
              <w:object>
                <v:shape id="_x0000_i1032" o:spt="75" type="#_x0000_t75" style="height:232.5pt;width:332.25pt;" o:ole="t" filled="f" o:preferrelative="t" stroked="f" coordsize="21600,21600">
                  <v:path/>
                  <v:fill on="f" focussize="0,0"/>
                  <v:stroke on="f"/>
                  <v:imagedata r:id="rId25" o:title=""/>
                  <o:lock v:ext="edit" aspectratio="f"/>
                  <w10:wrap type="none"/>
                  <w10:anchorlock/>
                </v:shape>
                <o:OLEObject Type="Embed" ProgID="Visio.Drawing.11" ShapeID="_x0000_i1032" DrawAspect="Content" ObjectID="_1468075732" r:id="rId24">
                  <o:LockedField>false</o:LockedField>
                </o:OLEObject>
              </w:object>
            </w:r>
          </w:p>
          <w:p w14:paraId="5062DB7B">
            <w:pPr>
              <w:adjustRightInd w:val="0"/>
              <w:snapToGrid w:val="0"/>
              <w:spacing w:line="360" w:lineRule="auto"/>
              <w:jc w:val="center"/>
              <w:rPr>
                <w:rFonts w:hint="default"/>
                <w:b/>
                <w:bCs/>
                <w:color w:val="auto"/>
                <w:kern w:val="0"/>
                <w:lang w:val="en-US" w:eastAsia="zh-CN"/>
              </w:rPr>
            </w:pPr>
            <w:r>
              <w:rPr>
                <w:rFonts w:hint="eastAsia"/>
                <w:b/>
                <w:bCs/>
                <w:color w:val="auto"/>
                <w:kern w:val="0"/>
                <w:lang w:val="en-US" w:eastAsia="zh-CN"/>
              </w:rPr>
              <w:t>图2.7.2   PP药浆生产工艺流程图</w:t>
            </w:r>
          </w:p>
          <w:p w14:paraId="6E9170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lang w:val="en-US" w:eastAsia="zh-CN"/>
              </w:rPr>
            </w:pPr>
            <w:r>
              <w:rPr>
                <w:rFonts w:hint="eastAsia"/>
                <w:color w:val="auto"/>
                <w:kern w:val="0"/>
                <w:lang w:val="en-US" w:eastAsia="zh-CN"/>
              </w:rPr>
              <w:object>
                <v:shape id="_x0000_i1033" o:spt="75" type="#_x0000_t75" style="height:176.25pt;width:275.25pt;" o:ole="t" filled="f" o:preferrelative="t" stroked="f" coordsize="21600,21600">
                  <v:path/>
                  <v:fill on="f" focussize="0,0"/>
                  <v:stroke on="f"/>
                  <v:imagedata r:id="rId27" o:title=""/>
                  <o:lock v:ext="edit" aspectratio="f"/>
                  <w10:wrap type="none"/>
                  <w10:anchorlock/>
                </v:shape>
                <o:OLEObject Type="Embed" ProgID="Visio.Drawing.11" ShapeID="_x0000_i1033" DrawAspect="Content" ObjectID="_1468075733" r:id="rId26">
                  <o:LockedField>false</o:LockedField>
                </o:OLEObject>
              </w:object>
            </w:r>
          </w:p>
          <w:p w14:paraId="28ACB51A">
            <w:pPr>
              <w:adjustRightInd w:val="0"/>
              <w:snapToGrid w:val="0"/>
              <w:spacing w:line="360" w:lineRule="auto"/>
              <w:jc w:val="center"/>
              <w:rPr>
                <w:rFonts w:hint="default"/>
                <w:b/>
                <w:bCs/>
                <w:color w:val="auto"/>
                <w:kern w:val="0"/>
                <w:lang w:val="en-US" w:eastAsia="zh-CN"/>
              </w:rPr>
            </w:pPr>
            <w:r>
              <w:rPr>
                <w:rFonts w:hint="eastAsia"/>
                <w:b/>
                <w:bCs/>
                <w:color w:val="auto"/>
                <w:kern w:val="0"/>
                <w:lang w:val="en-US" w:eastAsia="zh-CN"/>
              </w:rPr>
              <w:t>图2-7.3   BKNO</w:t>
            </w:r>
            <w:r>
              <w:rPr>
                <w:rFonts w:hint="eastAsia"/>
                <w:b/>
                <w:bCs/>
                <w:color w:val="auto"/>
                <w:kern w:val="0"/>
                <w:vertAlign w:val="subscript"/>
                <w:lang w:val="en-US" w:eastAsia="zh-CN"/>
              </w:rPr>
              <w:t>3</w:t>
            </w:r>
            <w:r>
              <w:rPr>
                <w:rFonts w:hint="eastAsia"/>
                <w:b/>
                <w:bCs/>
                <w:color w:val="auto"/>
                <w:kern w:val="0"/>
                <w:lang w:val="en-US" w:eastAsia="zh-CN"/>
              </w:rPr>
              <w:t>药浆生产工艺流程图</w:t>
            </w:r>
          </w:p>
          <w:p w14:paraId="026D21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lang w:val="en-US" w:eastAsia="zh-CN"/>
              </w:rPr>
            </w:pPr>
            <w:r>
              <w:rPr>
                <w:rFonts w:hint="eastAsia"/>
                <w:color w:val="auto"/>
                <w:kern w:val="0"/>
                <w:lang w:val="en-US" w:eastAsia="zh-CN"/>
              </w:rPr>
              <w:object>
                <v:shape id="_x0000_i1034" o:spt="75" type="#_x0000_t75" style="height:232.5pt;width:275.25pt;" o:ole="t" filled="f" o:preferrelative="t" stroked="f" coordsize="21600,21600">
                  <v:path/>
                  <v:fill on="f" focussize="0,0"/>
                  <v:stroke on="f"/>
                  <v:imagedata r:id="rId29" o:title=""/>
                  <o:lock v:ext="edit" aspectratio="f"/>
                  <w10:wrap type="none"/>
                  <w10:anchorlock/>
                </v:shape>
                <o:OLEObject Type="Embed" ProgID="Visio.Drawing.11" ShapeID="_x0000_i1034" DrawAspect="Content" ObjectID="_1468075734" r:id="rId28">
                  <o:LockedField>false</o:LockedField>
                </o:OLEObject>
              </w:object>
            </w:r>
          </w:p>
          <w:p w14:paraId="3E997A3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b/>
                <w:bCs/>
                <w:color w:val="auto"/>
                <w:kern w:val="0"/>
                <w:lang w:val="en-US" w:eastAsia="zh-CN"/>
              </w:rPr>
            </w:pPr>
            <w:r>
              <w:rPr>
                <w:rFonts w:hint="eastAsia"/>
                <w:b/>
                <w:bCs/>
                <w:color w:val="auto"/>
                <w:kern w:val="0"/>
                <w:lang w:val="en-US" w:eastAsia="zh-CN"/>
              </w:rPr>
              <w:t>图2-7.4   THPP药浆生产工艺流程图</w:t>
            </w:r>
          </w:p>
          <w:p w14:paraId="1A25B7F1">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kern w:val="0"/>
                <w:lang w:val="en-US" w:eastAsia="zh-CN"/>
              </w:rPr>
            </w:pPr>
            <w:r>
              <w:rPr>
                <w:rFonts w:hint="default" w:ascii="Times New Roman" w:hAnsi="Times New Roman" w:cs="Times New Roman"/>
                <w:b/>
                <w:bCs/>
                <w:color w:val="auto"/>
                <w:kern w:val="0"/>
                <w:lang w:val="en-US" w:eastAsia="zh-CN"/>
              </w:rPr>
              <w:t>生产工艺说明：</w:t>
            </w:r>
          </w:p>
          <w:p w14:paraId="4B59D0A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上述四种药浆生产工艺相同，仅原料及其配比不同。工艺流程以THPP为例进行分析。</w:t>
            </w:r>
          </w:p>
          <w:p w14:paraId="1FA07D0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eastAsia" w:cs="Times New Roman"/>
                <w:b w:val="0"/>
                <w:bCs w:val="0"/>
                <w:color w:val="auto"/>
                <w:kern w:val="0"/>
                <w:lang w:val="en-US" w:eastAsia="zh-CN"/>
              </w:rPr>
              <w:t>①</w:t>
            </w:r>
            <w:r>
              <w:rPr>
                <w:rFonts w:hint="default" w:ascii="Times New Roman" w:hAnsi="Times New Roman" w:cs="Times New Roman"/>
                <w:b w:val="0"/>
                <w:bCs w:val="0"/>
                <w:color w:val="auto"/>
                <w:kern w:val="0"/>
                <w:lang w:val="en-US" w:eastAsia="zh-CN"/>
              </w:rPr>
              <w:t>溶液配制</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将称量好的HPC与计量好的正丙醇、去离子水通过输送泵加入溶液配制罐，搅拌，进行充分的混合，制成母液，配制过程约30min。配置过程一般在2min内完成，时间较短，有少量正丙醇挥发，Gu</w:t>
            </w:r>
            <w:r>
              <w:rPr>
                <w:rFonts w:hint="default" w:ascii="Times New Roman" w:hAnsi="Times New Roman" w:cs="Times New Roman"/>
                <w:b w:val="0"/>
                <w:bCs w:val="0"/>
                <w:color w:val="auto"/>
                <w:kern w:val="0"/>
                <w:vertAlign w:val="subscript"/>
                <w:lang w:val="en-US" w:eastAsia="zh-CN"/>
              </w:rPr>
              <w:t>1-4</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正丙醇</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w:t>
            </w:r>
          </w:p>
          <w:p w14:paraId="4A03256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②混合</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然后向母液中人工加入称量好的氢化钛、高氯酸钾，进行充分的密闭搅拌混合，混合过程1-3h。搅拌后的搅拌棍使用擦拭纸进行擦拭，产生废擦拭纸，氢化钛、高氯酸钾等固态物料每次加料量很少</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一般小于3kg</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，加料过程规范操作，且在加料口设置有通风设施，通风口设置有过滤器</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过滤网</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，因此加料过程基本不产生粉尘废气。</w:t>
            </w:r>
          </w:p>
          <w:p w14:paraId="28EDF21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③离心</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搅拌混合后药浆通过压装机注入塑胶管内，人工放入滚筒机、离心机内进行离心后暂存，离心过程5-10min，主要去除管内的空气。</w:t>
            </w:r>
          </w:p>
          <w:p w14:paraId="52F07C2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kern w:val="0"/>
                <w:lang w:val="en-US" w:eastAsia="zh-CN"/>
              </w:rPr>
            </w:pPr>
            <w:r>
              <w:rPr>
                <w:rFonts w:hint="eastAsia"/>
                <w:color w:val="auto"/>
                <w:kern w:val="0"/>
                <w:lang w:val="en-US" w:eastAsia="zh-CN"/>
              </w:rPr>
              <w:t>（2）点火具生产（装药装配）</w:t>
            </w:r>
          </w:p>
          <w:p w14:paraId="1DB603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lang w:val="en-US" w:eastAsia="zh-CN"/>
              </w:rPr>
            </w:pPr>
            <w:r>
              <w:rPr>
                <w:rFonts w:hint="eastAsia"/>
                <w:color w:val="auto"/>
                <w:kern w:val="0"/>
                <w:lang w:val="en-US" w:eastAsia="zh-CN"/>
              </w:rPr>
              <w:object>
                <v:shape id="_x0000_i1035" o:spt="75" type="#_x0000_t75" style="height:530.25pt;width:281.25pt;" o:ole="t" filled="f" o:preferrelative="t" stroked="f" coordsize="21600,21600">
                  <v:path/>
                  <v:fill on="f" focussize="0,0"/>
                  <v:stroke on="f"/>
                  <v:imagedata r:id="rId31" o:title=""/>
                  <o:lock v:ext="edit" aspectratio="f"/>
                  <w10:wrap type="none"/>
                  <w10:anchorlock/>
                </v:shape>
                <o:OLEObject Type="Embed" ProgID="Visio.Drawing.11" ShapeID="_x0000_i1035" DrawAspect="Content" ObjectID="_1468075735" r:id="rId30">
                  <o:LockedField>false</o:LockedField>
                </o:OLEObject>
              </w:object>
            </w:r>
          </w:p>
          <w:p w14:paraId="610D2775">
            <w:pPr>
              <w:adjustRightInd w:val="0"/>
              <w:snapToGrid w:val="0"/>
              <w:spacing w:line="360" w:lineRule="auto"/>
              <w:jc w:val="center"/>
              <w:rPr>
                <w:rFonts w:hint="default"/>
                <w:b/>
                <w:bCs/>
                <w:color w:val="auto"/>
                <w:kern w:val="0"/>
                <w:lang w:val="en-US" w:eastAsia="zh-CN"/>
              </w:rPr>
            </w:pPr>
            <w:r>
              <w:rPr>
                <w:rFonts w:hint="eastAsia"/>
                <w:b/>
                <w:bCs/>
                <w:color w:val="auto"/>
                <w:kern w:val="0"/>
                <w:lang w:val="en-US" w:eastAsia="zh-CN"/>
              </w:rPr>
              <w:t>图2-7.5   点火具生产工艺流程图</w:t>
            </w:r>
          </w:p>
          <w:p w14:paraId="5A75AA51">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kern w:val="0"/>
                <w:lang w:val="en-US" w:eastAsia="zh-CN"/>
              </w:rPr>
            </w:pPr>
            <w:r>
              <w:rPr>
                <w:rFonts w:hint="default" w:ascii="Times New Roman" w:hAnsi="Times New Roman" w:cs="Times New Roman"/>
                <w:b/>
                <w:bCs/>
                <w:color w:val="auto"/>
                <w:kern w:val="0"/>
                <w:lang w:val="en-US" w:eastAsia="zh-CN"/>
              </w:rPr>
              <w:t>生产工艺说明：</w:t>
            </w:r>
          </w:p>
          <w:p w14:paraId="29A403B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①焊接</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将外采购的壳体组件通过设备自带的激光焊机进行焊接形成点火具壳体。施焊过程是将激光聚焦到焊件，激光能转化为热能，局部熔化焊接。无需焊材、焊剂，有少量焊接烟尘产生。</w:t>
            </w:r>
          </w:p>
          <w:p w14:paraId="7274FA5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②装药</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然后将制备好的塑胶管</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药浆</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接入装药机，通过装药机计量并将药浆注入至点火具壳体。根据厂家要求生产不同的点火具，主要由三种类型</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1</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ZR+PP药浆，</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2</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ZR+PP+THPP药浆，</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3</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ZR+PP+BKNO</w:t>
            </w:r>
            <w:r>
              <w:rPr>
                <w:rFonts w:hint="eastAsia" w:cs="Times New Roman"/>
                <w:b w:val="0"/>
                <w:bCs w:val="0"/>
                <w:color w:val="auto"/>
                <w:kern w:val="0"/>
                <w:vertAlign w:val="subscript"/>
                <w:lang w:val="en-US" w:eastAsia="zh-CN"/>
              </w:rPr>
              <w:t>3</w:t>
            </w:r>
            <w:r>
              <w:rPr>
                <w:rFonts w:hint="eastAsia" w:cs="Times New Roman"/>
                <w:b w:val="0"/>
                <w:bCs w:val="0"/>
                <w:color w:val="auto"/>
                <w:kern w:val="0"/>
                <w:lang w:val="en-US" w:eastAsia="zh-CN"/>
              </w:rPr>
              <w:t>。</w:t>
            </w:r>
          </w:p>
          <w:p w14:paraId="4105372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val="0"/>
                <w:bCs w:val="0"/>
                <w:color w:val="auto"/>
                <w:kern w:val="0"/>
                <w:lang w:val="en-US" w:eastAsia="zh-CN"/>
              </w:rPr>
            </w:pPr>
            <w:r>
              <w:rPr>
                <w:rFonts w:hint="eastAsia"/>
                <w:b w:val="0"/>
                <w:bCs w:val="0"/>
                <w:color w:val="auto"/>
                <w:kern w:val="0"/>
                <w:lang w:val="en-US" w:eastAsia="zh-CN"/>
              </w:rPr>
              <w:t>③烘干：注入药浆的点火具通过电加热油炉（ZPP烘箱、THPP烘箱）进行烘干，去除水分；烘于合格的点火具通过风自然冷却。因烘干过程为密闭，且药浆至于基本成型的点火具壳体内，通过外部静态加热烘干，无粉尘产生，烘干过程产生烘干废气，主要成分为正丙醇、水蒸气，通过管道排出车间外处理后达标排放。</w:t>
            </w:r>
          </w:p>
          <w:p w14:paraId="3D06432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val="0"/>
                <w:bCs w:val="0"/>
                <w:color w:val="auto"/>
                <w:kern w:val="0"/>
                <w:lang w:val="en-US" w:eastAsia="zh-CN"/>
              </w:rPr>
            </w:pPr>
            <w:r>
              <w:rPr>
                <w:rFonts w:hint="eastAsia"/>
                <w:b w:val="0"/>
                <w:bCs w:val="0"/>
                <w:color w:val="auto"/>
                <w:kern w:val="0"/>
                <w:lang w:val="en-US" w:eastAsia="zh-CN"/>
              </w:rPr>
              <w:t>④焊接：通过激光焊机将壳体和火具筒体焊接。焊接过程中会产生焊接烟尘。</w:t>
            </w:r>
          </w:p>
          <w:p w14:paraId="16F811B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val="0"/>
                <w:bCs w:val="0"/>
                <w:color w:val="auto"/>
                <w:kern w:val="0"/>
                <w:lang w:val="en-US" w:eastAsia="zh-CN"/>
              </w:rPr>
            </w:pPr>
            <w:r>
              <w:rPr>
                <w:rFonts w:hint="eastAsia"/>
                <w:b w:val="0"/>
                <w:bCs w:val="0"/>
                <w:color w:val="auto"/>
                <w:kern w:val="0"/>
                <w:lang w:val="en-US" w:eastAsia="zh-CN"/>
              </w:rPr>
              <w:t>⑤封装：待点火具冷却至常温，依照不同产品要求，在点火具壳体外部套入不同颜色的塑料绝缘件，通过CAW单元压紧和组装完成封装过程。此过程会产生废塑料。</w:t>
            </w:r>
          </w:p>
          <w:p w14:paraId="6CB73AE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val="0"/>
                <w:bCs w:val="0"/>
                <w:color w:val="auto"/>
                <w:kern w:val="0"/>
                <w:lang w:val="en-US" w:eastAsia="zh-CN"/>
              </w:rPr>
            </w:pPr>
            <w:r>
              <w:rPr>
                <w:rFonts w:hint="eastAsia"/>
                <w:b w:val="0"/>
                <w:bCs w:val="0"/>
                <w:color w:val="auto"/>
                <w:kern w:val="0"/>
                <w:lang w:val="en-US" w:eastAsia="zh-CN"/>
              </w:rPr>
              <w:t>⑥检测、包装：封装完成后检测，主要检测产品有无泄漏缺陷等检测，检测合格产品包装外运。检测过程不合格产品送报废中心处置，产品废包装袋委外处置。</w:t>
            </w:r>
          </w:p>
          <w:p w14:paraId="101F114B">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b/>
                <w:bCs/>
                <w:color w:val="auto"/>
                <w:kern w:val="0"/>
                <w:lang w:val="en-US" w:eastAsia="zh-CN"/>
              </w:rPr>
            </w:pPr>
            <w:r>
              <w:rPr>
                <w:rFonts w:hint="eastAsia"/>
                <w:b/>
                <w:bCs/>
                <w:color w:val="auto"/>
                <w:kern w:val="0"/>
                <w:lang w:val="en-US" w:eastAsia="zh-CN"/>
              </w:rPr>
              <w:t>④APG</w:t>
            </w:r>
          </w:p>
          <w:p w14:paraId="740030F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lang w:val="en-US" w:eastAsia="zh-CN"/>
              </w:rPr>
            </w:pPr>
            <w:r>
              <w:rPr>
                <w:rFonts w:hint="eastAsia"/>
                <w:color w:val="auto"/>
                <w:kern w:val="0"/>
                <w:lang w:val="en-US" w:eastAsia="zh-CN"/>
              </w:rPr>
              <w:t>APG生产工艺分成两个部分，第一部分是气体混合及压缩，第二部分是填充。</w:t>
            </w:r>
          </w:p>
          <w:p w14:paraId="378D602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kern w:val="0"/>
                <w:lang w:val="en-US" w:eastAsia="zh-CN"/>
              </w:rPr>
            </w:pPr>
            <w:r>
              <w:rPr>
                <w:rFonts w:hint="eastAsia"/>
                <w:color w:val="auto"/>
                <w:kern w:val="0"/>
                <w:lang w:val="en-US" w:eastAsia="zh-CN"/>
              </w:rPr>
              <w:t>（1）供氢系统工艺流程</w:t>
            </w:r>
          </w:p>
          <w:p w14:paraId="6A0D2E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lang w:val="en-US" w:eastAsia="zh-CN"/>
              </w:rPr>
            </w:pPr>
            <w:r>
              <w:rPr>
                <w:rFonts w:hint="eastAsia"/>
                <w:color w:val="auto"/>
                <w:kern w:val="0"/>
                <w:lang w:val="en-US" w:eastAsia="zh-CN"/>
              </w:rPr>
              <w:object>
                <v:shape id="_x0000_i1036" o:spt="75" type="#_x0000_t75" style="height:232.5pt;width:119.25pt;" o:ole="t" filled="f" o:preferrelative="t" stroked="f" coordsize="21600,21600">
                  <v:path/>
                  <v:fill on="f" focussize="0,0"/>
                  <v:stroke on="f"/>
                  <v:imagedata r:id="rId33" o:title=""/>
                  <o:lock v:ext="edit" aspectratio="f"/>
                  <w10:wrap type="none"/>
                  <w10:anchorlock/>
                </v:shape>
                <o:OLEObject Type="Embed" ProgID="Visio.Drawing.11" ShapeID="_x0000_i1036" DrawAspect="Content" ObjectID="_1468075736" r:id="rId32">
                  <o:LockedField>false</o:LockedField>
                </o:OLEObject>
              </w:object>
            </w:r>
          </w:p>
          <w:p w14:paraId="351A242C">
            <w:pPr>
              <w:adjustRightInd w:val="0"/>
              <w:snapToGrid w:val="0"/>
              <w:spacing w:line="360" w:lineRule="auto"/>
              <w:jc w:val="center"/>
              <w:rPr>
                <w:rFonts w:hint="default"/>
                <w:b/>
                <w:bCs/>
                <w:color w:val="auto"/>
                <w:kern w:val="0"/>
                <w:lang w:val="en-US" w:eastAsia="zh-CN"/>
              </w:rPr>
            </w:pPr>
            <w:r>
              <w:rPr>
                <w:rFonts w:hint="eastAsia"/>
                <w:b/>
                <w:bCs/>
                <w:color w:val="auto"/>
                <w:kern w:val="0"/>
                <w:lang w:val="en-US" w:eastAsia="zh-CN"/>
              </w:rPr>
              <w:t>图2-8.1   供氢系统生产工艺流程图</w:t>
            </w:r>
          </w:p>
          <w:p w14:paraId="63BBABF7">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kern w:val="0"/>
                <w:lang w:val="en-US" w:eastAsia="zh-CN"/>
              </w:rPr>
            </w:pPr>
            <w:r>
              <w:rPr>
                <w:rFonts w:hint="default" w:ascii="Times New Roman" w:hAnsi="Times New Roman" w:cs="Times New Roman"/>
                <w:b/>
                <w:bCs/>
                <w:color w:val="auto"/>
                <w:kern w:val="0"/>
                <w:lang w:val="en-US" w:eastAsia="zh-CN"/>
              </w:rPr>
              <w:t>生产工艺说明：</w:t>
            </w:r>
          </w:p>
          <w:p w14:paraId="564D956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来自氢气鱼雷车的H</w:t>
            </w:r>
            <w:r>
              <w:rPr>
                <w:rFonts w:hint="eastAsia" w:cs="Times New Roman"/>
                <w:b w:val="0"/>
                <w:bCs w:val="0"/>
                <w:color w:val="auto"/>
                <w:kern w:val="0"/>
                <w:vertAlign w:val="subscript"/>
                <w:lang w:val="en-US" w:eastAsia="zh-CN"/>
              </w:rPr>
              <w:t>2</w:t>
            </w:r>
            <w:r>
              <w:rPr>
                <w:rFonts w:hint="default" w:ascii="Times New Roman" w:hAnsi="Times New Roman" w:cs="Times New Roman"/>
                <w:b w:val="0"/>
                <w:bCs w:val="0"/>
                <w:color w:val="auto"/>
                <w:kern w:val="0"/>
                <w:lang w:val="en-US" w:eastAsia="zh-CN"/>
              </w:rPr>
              <w:t>、氦气瓶集装格的He、液氩储罐的Ar，通过管道进入氢气混配集装箱进行混配</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控制进入混配集装箱的H</w:t>
            </w:r>
            <w:r>
              <w:rPr>
                <w:rFonts w:hint="eastAsia" w:cs="Times New Roman"/>
                <w:b w:val="0"/>
                <w:bCs w:val="0"/>
                <w:color w:val="auto"/>
                <w:kern w:val="0"/>
                <w:vertAlign w:val="subscript"/>
                <w:lang w:val="en-US" w:eastAsia="zh-CN"/>
              </w:rPr>
              <w:t>2</w:t>
            </w:r>
            <w:r>
              <w:rPr>
                <w:rFonts w:hint="default" w:ascii="Times New Roman" w:hAnsi="Times New Roman" w:cs="Times New Roman"/>
                <w:b w:val="0"/>
                <w:bCs w:val="0"/>
                <w:color w:val="auto"/>
                <w:kern w:val="0"/>
                <w:lang w:val="en-US" w:eastAsia="zh-CN"/>
              </w:rPr>
              <w:t>流量22Nm</w:t>
            </w:r>
            <w:r>
              <w:rPr>
                <w:rFonts w:hint="eastAsia" w:cs="Times New Roman"/>
                <w:b w:val="0"/>
                <w:bCs w:val="0"/>
                <w:color w:val="auto"/>
                <w:kern w:val="0"/>
                <w:vertAlign w:val="superscript"/>
                <w:lang w:val="en-US" w:eastAsia="zh-CN"/>
              </w:rPr>
              <w:t>3</w:t>
            </w:r>
            <w:r>
              <w:rPr>
                <w:rFonts w:hint="default" w:ascii="Times New Roman" w:hAnsi="Times New Roman" w:cs="Times New Roman"/>
                <w:b w:val="0"/>
                <w:bCs w:val="0"/>
                <w:color w:val="auto"/>
                <w:kern w:val="0"/>
                <w:lang w:val="en-US" w:eastAsia="zh-CN"/>
              </w:rPr>
              <w:t>/h，He流量3Nm</w:t>
            </w:r>
            <w:r>
              <w:rPr>
                <w:rFonts w:hint="default" w:ascii="Times New Roman" w:hAnsi="Times New Roman" w:cs="Times New Roman"/>
                <w:b w:val="0"/>
                <w:bCs w:val="0"/>
                <w:color w:val="auto"/>
                <w:kern w:val="0"/>
                <w:vertAlign w:val="superscript"/>
                <w:lang w:val="en-US" w:eastAsia="zh-CN"/>
              </w:rPr>
              <w:t>3</w:t>
            </w:r>
            <w:r>
              <w:rPr>
                <w:rFonts w:hint="default" w:ascii="Times New Roman" w:hAnsi="Times New Roman" w:cs="Times New Roman"/>
                <w:b w:val="0"/>
                <w:bCs w:val="0"/>
                <w:color w:val="auto"/>
                <w:kern w:val="0"/>
                <w:lang w:val="en-US" w:eastAsia="zh-CN"/>
              </w:rPr>
              <w:t>/h，Ar流量24Nm</w:t>
            </w:r>
            <w:r>
              <w:rPr>
                <w:rFonts w:hint="eastAsia" w:cs="Times New Roman"/>
                <w:b w:val="0"/>
                <w:bCs w:val="0"/>
                <w:color w:val="auto"/>
                <w:kern w:val="0"/>
                <w:vertAlign w:val="superscript"/>
                <w:lang w:val="en-US" w:eastAsia="zh-CN"/>
              </w:rPr>
              <w:t>3</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h，混合后的氢</w:t>
            </w:r>
            <w:r>
              <w:rPr>
                <w:rFonts w:hint="eastAsia" w:cs="Times New Roman"/>
                <w:b w:val="0"/>
                <w:bCs w:val="0"/>
                <w:color w:val="auto"/>
                <w:kern w:val="0"/>
                <w:lang w:val="en-US" w:eastAsia="zh-CN"/>
              </w:rPr>
              <w:t>氦</w:t>
            </w:r>
            <w:r>
              <w:rPr>
                <w:rFonts w:hint="default" w:ascii="Times New Roman" w:hAnsi="Times New Roman" w:cs="Times New Roman"/>
                <w:b w:val="0"/>
                <w:bCs w:val="0"/>
                <w:color w:val="auto"/>
                <w:kern w:val="0"/>
                <w:lang w:val="en-US" w:eastAsia="zh-CN"/>
              </w:rPr>
              <w:t>氩体积比控制在9</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1</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10。经过缓冲罐后，通过管道进入氢气压缩机间进行压缩，压缩至60MPa后的氢气混合气通过管道输送至301工房APG生产线使用。氢气压缩机间设置有两台压缩机，工作方式为一用一备。为保证气体供应，本项目还预购有混配好的H2、He、Ar混合气体瓶组，作为备用。</w:t>
            </w:r>
          </w:p>
          <w:p w14:paraId="400E460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kern w:val="0"/>
                <w:lang w:val="en-US" w:eastAsia="zh-CN"/>
              </w:rPr>
            </w:pPr>
            <w:r>
              <w:rPr>
                <w:rFonts w:hint="eastAsia"/>
                <w:color w:val="auto"/>
                <w:kern w:val="0"/>
                <w:lang w:val="en-US" w:eastAsia="zh-CN"/>
              </w:rPr>
              <w:t>（2）供氧系统工艺流程</w:t>
            </w:r>
          </w:p>
          <w:p w14:paraId="6A1EC9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lang w:val="en-US" w:eastAsia="zh-CN"/>
              </w:rPr>
            </w:pPr>
            <w:r>
              <w:rPr>
                <w:rFonts w:hint="eastAsia"/>
                <w:color w:val="auto"/>
                <w:kern w:val="0"/>
                <w:lang w:val="en-US" w:eastAsia="zh-CN"/>
              </w:rPr>
              <w:object>
                <v:shape id="_x0000_i1037" o:spt="75" type="#_x0000_t75" style="height:232.5pt;width:119.25pt;" o:ole="t" filled="f" o:preferrelative="t" stroked="f" coordsize="21600,21600">
                  <v:path/>
                  <v:fill on="f" focussize="0,0"/>
                  <v:stroke on="f"/>
                  <v:imagedata r:id="rId35" o:title=""/>
                  <o:lock v:ext="edit" aspectratio="f"/>
                  <w10:wrap type="none"/>
                  <w10:anchorlock/>
                </v:shape>
                <o:OLEObject Type="Embed" ProgID="Visio.Drawing.11" ShapeID="_x0000_i1037" DrawAspect="Content" ObjectID="_1468075737" r:id="rId34">
                  <o:LockedField>false</o:LockedField>
                </o:OLEObject>
              </w:object>
            </w:r>
          </w:p>
          <w:p w14:paraId="728E685C">
            <w:pPr>
              <w:adjustRightInd w:val="0"/>
              <w:snapToGrid w:val="0"/>
              <w:spacing w:line="360" w:lineRule="auto"/>
              <w:jc w:val="center"/>
              <w:rPr>
                <w:rFonts w:hint="default"/>
                <w:b/>
                <w:bCs/>
                <w:color w:val="auto"/>
                <w:kern w:val="0"/>
                <w:lang w:val="en-US" w:eastAsia="zh-CN"/>
              </w:rPr>
            </w:pPr>
            <w:r>
              <w:rPr>
                <w:rFonts w:hint="eastAsia"/>
                <w:b/>
                <w:bCs/>
                <w:color w:val="auto"/>
                <w:kern w:val="0"/>
                <w:lang w:val="en-US" w:eastAsia="zh-CN"/>
              </w:rPr>
              <w:t>图2-8.2   供氧系统生产工艺流程图</w:t>
            </w:r>
          </w:p>
          <w:p w14:paraId="68107E7C">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kern w:val="0"/>
                <w:lang w:val="en-US" w:eastAsia="zh-CN"/>
              </w:rPr>
            </w:pPr>
            <w:r>
              <w:rPr>
                <w:rFonts w:hint="eastAsia" w:cs="Times New Roman"/>
                <w:b/>
                <w:bCs/>
                <w:color w:val="auto"/>
                <w:kern w:val="0"/>
                <w:lang w:val="en-US" w:eastAsia="zh-CN"/>
              </w:rPr>
              <w:t>工艺流程</w:t>
            </w:r>
            <w:r>
              <w:rPr>
                <w:rFonts w:hint="default" w:ascii="Times New Roman" w:hAnsi="Times New Roman" w:cs="Times New Roman"/>
                <w:b/>
                <w:bCs/>
                <w:color w:val="auto"/>
                <w:kern w:val="0"/>
                <w:lang w:val="en-US" w:eastAsia="zh-CN"/>
              </w:rPr>
              <w:t>说明：</w:t>
            </w:r>
          </w:p>
          <w:p w14:paraId="012B7B5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来自</w:t>
            </w:r>
            <w:r>
              <w:rPr>
                <w:rFonts w:hint="eastAsia" w:cs="Times New Roman"/>
                <w:b w:val="0"/>
                <w:bCs w:val="0"/>
                <w:color w:val="auto"/>
                <w:kern w:val="0"/>
                <w:lang w:val="en-US" w:eastAsia="zh-CN"/>
              </w:rPr>
              <w:t>液氧储罐</w:t>
            </w:r>
            <w:r>
              <w:rPr>
                <w:rFonts w:hint="default" w:ascii="Times New Roman" w:hAnsi="Times New Roman" w:cs="Times New Roman"/>
                <w:b w:val="0"/>
                <w:bCs w:val="0"/>
                <w:color w:val="auto"/>
                <w:kern w:val="0"/>
                <w:lang w:val="en-US" w:eastAsia="zh-CN"/>
              </w:rPr>
              <w:t>的</w:t>
            </w:r>
            <w:r>
              <w:rPr>
                <w:rFonts w:hint="eastAsia" w:cs="Times New Roman"/>
                <w:b w:val="0"/>
                <w:bCs w:val="0"/>
                <w:color w:val="auto"/>
                <w:kern w:val="0"/>
                <w:lang w:val="en-US" w:eastAsia="zh-CN"/>
              </w:rPr>
              <w:t>O</w:t>
            </w:r>
            <w:r>
              <w:rPr>
                <w:rFonts w:hint="eastAsia" w:cs="Times New Roman"/>
                <w:b w:val="0"/>
                <w:bCs w:val="0"/>
                <w:color w:val="auto"/>
                <w:kern w:val="0"/>
                <w:vertAlign w:val="subscript"/>
                <w:lang w:val="en-US" w:eastAsia="zh-CN"/>
              </w:rPr>
              <w:t>2</w:t>
            </w:r>
            <w:r>
              <w:rPr>
                <w:rFonts w:hint="default" w:ascii="Times New Roman" w:hAnsi="Times New Roman" w:cs="Times New Roman"/>
                <w:b w:val="0"/>
                <w:bCs w:val="0"/>
                <w:color w:val="auto"/>
                <w:kern w:val="0"/>
                <w:lang w:val="en-US" w:eastAsia="zh-CN"/>
              </w:rPr>
              <w:t>、氦气瓶集装格的He、液氩储罐的Ar，通过管道进入</w:t>
            </w:r>
            <w:r>
              <w:rPr>
                <w:rFonts w:hint="eastAsia" w:cs="Times New Roman"/>
                <w:b w:val="0"/>
                <w:bCs w:val="0"/>
                <w:color w:val="auto"/>
                <w:kern w:val="0"/>
                <w:lang w:val="en-US" w:eastAsia="zh-CN"/>
              </w:rPr>
              <w:t>氧气</w:t>
            </w:r>
            <w:r>
              <w:rPr>
                <w:rFonts w:hint="default" w:ascii="Times New Roman" w:hAnsi="Times New Roman" w:cs="Times New Roman"/>
                <w:b w:val="0"/>
                <w:bCs w:val="0"/>
                <w:color w:val="auto"/>
                <w:kern w:val="0"/>
                <w:lang w:val="en-US" w:eastAsia="zh-CN"/>
              </w:rPr>
              <w:t>混配集装箱进行混配</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控制</w:t>
            </w:r>
            <w:r>
              <w:rPr>
                <w:rFonts w:hint="eastAsia" w:cs="Times New Roman"/>
                <w:b w:val="0"/>
                <w:bCs w:val="0"/>
                <w:color w:val="auto"/>
                <w:kern w:val="0"/>
                <w:lang w:val="en-US" w:eastAsia="zh-CN"/>
              </w:rPr>
              <w:t>O</w:t>
            </w:r>
            <w:r>
              <w:rPr>
                <w:rFonts w:hint="eastAsia" w:cs="Times New Roman"/>
                <w:b w:val="0"/>
                <w:bCs w:val="0"/>
                <w:color w:val="auto"/>
                <w:kern w:val="0"/>
                <w:vertAlign w:val="subscript"/>
                <w:lang w:val="en-US" w:eastAsia="zh-CN"/>
              </w:rPr>
              <w:t>2</w:t>
            </w:r>
            <w:r>
              <w:rPr>
                <w:rFonts w:hint="default" w:ascii="Times New Roman" w:hAnsi="Times New Roman" w:cs="Times New Roman"/>
                <w:b w:val="0"/>
                <w:bCs w:val="0"/>
                <w:color w:val="auto"/>
                <w:kern w:val="0"/>
                <w:lang w:val="en-US" w:eastAsia="zh-CN"/>
              </w:rPr>
              <w:t>流量</w:t>
            </w:r>
            <w:r>
              <w:rPr>
                <w:rFonts w:hint="eastAsia" w:cs="Times New Roman"/>
                <w:b w:val="0"/>
                <w:bCs w:val="0"/>
                <w:color w:val="auto"/>
                <w:kern w:val="0"/>
                <w:lang w:val="en-US" w:eastAsia="zh-CN"/>
              </w:rPr>
              <w:t>10</w:t>
            </w:r>
            <w:r>
              <w:rPr>
                <w:rFonts w:hint="default" w:ascii="Times New Roman" w:hAnsi="Times New Roman" w:cs="Times New Roman"/>
                <w:b w:val="0"/>
                <w:bCs w:val="0"/>
                <w:color w:val="auto"/>
                <w:kern w:val="0"/>
                <w:lang w:val="en-US" w:eastAsia="zh-CN"/>
              </w:rPr>
              <w:t>Nm</w:t>
            </w:r>
            <w:r>
              <w:rPr>
                <w:rFonts w:hint="eastAsia" w:cs="Times New Roman"/>
                <w:b w:val="0"/>
                <w:bCs w:val="0"/>
                <w:color w:val="auto"/>
                <w:kern w:val="0"/>
                <w:vertAlign w:val="superscript"/>
                <w:lang w:val="en-US" w:eastAsia="zh-CN"/>
              </w:rPr>
              <w:t>3</w:t>
            </w:r>
            <w:r>
              <w:rPr>
                <w:rFonts w:hint="default" w:ascii="Times New Roman" w:hAnsi="Times New Roman" w:cs="Times New Roman"/>
                <w:b w:val="0"/>
                <w:bCs w:val="0"/>
                <w:color w:val="auto"/>
                <w:kern w:val="0"/>
                <w:lang w:val="en-US" w:eastAsia="zh-CN"/>
              </w:rPr>
              <w:t>/h，He流量</w:t>
            </w:r>
            <w:r>
              <w:rPr>
                <w:rFonts w:hint="eastAsia" w:cs="Times New Roman"/>
                <w:b w:val="0"/>
                <w:bCs w:val="0"/>
                <w:color w:val="auto"/>
                <w:kern w:val="0"/>
                <w:lang w:val="en-US" w:eastAsia="zh-CN"/>
              </w:rPr>
              <w:t>2.5</w:t>
            </w:r>
            <w:r>
              <w:rPr>
                <w:rFonts w:hint="default" w:ascii="Times New Roman" w:hAnsi="Times New Roman" w:cs="Times New Roman"/>
                <w:b w:val="0"/>
                <w:bCs w:val="0"/>
                <w:color w:val="auto"/>
                <w:kern w:val="0"/>
                <w:lang w:val="en-US" w:eastAsia="zh-CN"/>
              </w:rPr>
              <w:t>Nm</w:t>
            </w:r>
            <w:r>
              <w:rPr>
                <w:rFonts w:hint="default" w:ascii="Times New Roman" w:hAnsi="Times New Roman" w:cs="Times New Roman"/>
                <w:b w:val="0"/>
                <w:bCs w:val="0"/>
                <w:color w:val="auto"/>
                <w:kern w:val="0"/>
                <w:vertAlign w:val="superscript"/>
                <w:lang w:val="en-US" w:eastAsia="zh-CN"/>
              </w:rPr>
              <w:t>3</w:t>
            </w:r>
            <w:r>
              <w:rPr>
                <w:rFonts w:hint="default" w:ascii="Times New Roman" w:hAnsi="Times New Roman" w:cs="Times New Roman"/>
                <w:b w:val="0"/>
                <w:bCs w:val="0"/>
                <w:color w:val="auto"/>
                <w:kern w:val="0"/>
                <w:lang w:val="en-US" w:eastAsia="zh-CN"/>
              </w:rPr>
              <w:t>/h，Ar流量</w:t>
            </w:r>
            <w:r>
              <w:rPr>
                <w:rFonts w:hint="eastAsia" w:cs="Times New Roman"/>
                <w:b w:val="0"/>
                <w:bCs w:val="0"/>
                <w:color w:val="auto"/>
                <w:kern w:val="0"/>
                <w:lang w:val="en-US" w:eastAsia="zh-CN"/>
              </w:rPr>
              <w:t>36</w:t>
            </w:r>
            <w:r>
              <w:rPr>
                <w:rFonts w:hint="default" w:ascii="Times New Roman" w:hAnsi="Times New Roman" w:cs="Times New Roman"/>
                <w:b w:val="0"/>
                <w:bCs w:val="0"/>
                <w:color w:val="auto"/>
                <w:kern w:val="0"/>
                <w:lang w:val="en-US" w:eastAsia="zh-CN"/>
              </w:rPr>
              <w:t>Nm</w:t>
            </w:r>
            <w:r>
              <w:rPr>
                <w:rFonts w:hint="eastAsia" w:cs="Times New Roman"/>
                <w:b w:val="0"/>
                <w:bCs w:val="0"/>
                <w:color w:val="auto"/>
                <w:kern w:val="0"/>
                <w:vertAlign w:val="superscript"/>
                <w:lang w:val="en-US" w:eastAsia="zh-CN"/>
              </w:rPr>
              <w:t>3</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h，混配后的氧氦氩的体积比控制在20%：5%：75%。经过缓冲罐及过滤器后，进入设在301工房的氧气压缩机间进行压缩，压缩至60MPa后的氧气混合气输送至APG生产线使用。氧气压缩机间设置有两台压缩机，工作方式为一用一备。为保证气体应，本项目还预购有混配好的O</w:t>
            </w:r>
            <w:r>
              <w:rPr>
                <w:rFonts w:hint="default" w:ascii="Times New Roman" w:hAnsi="Times New Roman" w:cs="Times New Roman"/>
                <w:b w:val="0"/>
                <w:bCs w:val="0"/>
                <w:color w:val="auto"/>
                <w:kern w:val="0"/>
                <w:vertAlign w:val="subscript"/>
                <w:lang w:val="en-US" w:eastAsia="zh-CN"/>
              </w:rPr>
              <w:t>2</w:t>
            </w:r>
            <w:r>
              <w:rPr>
                <w:rFonts w:hint="default" w:ascii="Times New Roman" w:hAnsi="Times New Roman" w:cs="Times New Roman"/>
                <w:b w:val="0"/>
                <w:bCs w:val="0"/>
                <w:color w:val="auto"/>
                <w:kern w:val="0"/>
                <w:lang w:val="en-US" w:eastAsia="zh-CN"/>
              </w:rPr>
              <w:t>、He、Ar混合气体瓶组，作为备用。</w:t>
            </w:r>
          </w:p>
          <w:p w14:paraId="347D813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kern w:val="0"/>
                <w:lang w:val="en-US" w:eastAsia="zh-CN"/>
              </w:rPr>
            </w:pPr>
            <w:r>
              <w:rPr>
                <w:rFonts w:hint="eastAsia"/>
                <w:color w:val="auto"/>
                <w:kern w:val="0"/>
                <w:lang w:val="en-US" w:eastAsia="zh-CN"/>
              </w:rPr>
              <w:t>（3）APG气体发生器装配</w:t>
            </w:r>
          </w:p>
          <w:p w14:paraId="2D21C776">
            <w:pPr>
              <w:adjustRightInd w:val="0"/>
              <w:snapToGrid w:val="0"/>
              <w:spacing w:line="360" w:lineRule="auto"/>
              <w:jc w:val="center"/>
              <w:rPr>
                <w:rFonts w:hint="eastAsia"/>
                <w:color w:val="auto"/>
                <w:kern w:val="0"/>
                <w:lang w:val="en-US" w:eastAsia="zh-CN"/>
              </w:rPr>
            </w:pPr>
            <w:r>
              <w:rPr>
                <w:rFonts w:hint="eastAsia"/>
                <w:color w:val="auto"/>
                <w:kern w:val="0"/>
                <w:lang w:val="en-US" w:eastAsia="zh-CN"/>
              </w:rPr>
              <w:object>
                <v:shape id="_x0000_i1038" o:spt="75" type="#_x0000_t75" style="height:573pt;width:238.5pt;" o:ole="t" filled="f" o:preferrelative="t" stroked="f" coordsize="21600,21600">
                  <v:path/>
                  <v:fill on="f" focussize="0,0"/>
                  <v:stroke on="f"/>
                  <v:imagedata r:id="rId37" o:title=""/>
                  <o:lock v:ext="edit" aspectratio="f"/>
                  <w10:wrap type="none"/>
                  <w10:anchorlock/>
                </v:shape>
                <o:OLEObject Type="Embed" ProgID="Visio.Drawing.11" ShapeID="_x0000_i1038" DrawAspect="Content" ObjectID="_1468075738" r:id="rId36">
                  <o:LockedField>false</o:LockedField>
                </o:OLEObject>
              </w:object>
            </w:r>
          </w:p>
          <w:p w14:paraId="045EA906">
            <w:pPr>
              <w:adjustRightInd w:val="0"/>
              <w:snapToGrid w:val="0"/>
              <w:spacing w:line="360" w:lineRule="auto"/>
              <w:jc w:val="center"/>
              <w:rPr>
                <w:rFonts w:hint="default"/>
                <w:b/>
                <w:bCs/>
                <w:color w:val="auto"/>
                <w:kern w:val="0"/>
                <w:lang w:val="en-US" w:eastAsia="zh-CN"/>
              </w:rPr>
            </w:pPr>
            <w:r>
              <w:rPr>
                <w:rFonts w:hint="eastAsia"/>
                <w:b/>
                <w:bCs/>
                <w:color w:val="auto"/>
                <w:kern w:val="0"/>
                <w:lang w:val="en-US" w:eastAsia="zh-CN"/>
              </w:rPr>
              <w:t>图2-8.3   APG气体发生器生产工艺流程图</w:t>
            </w:r>
          </w:p>
          <w:p w14:paraId="6EF3AE20">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kern w:val="0"/>
                <w:lang w:val="en-US" w:eastAsia="zh-CN"/>
              </w:rPr>
            </w:pPr>
            <w:r>
              <w:rPr>
                <w:rFonts w:hint="eastAsia" w:cs="Times New Roman"/>
                <w:b/>
                <w:bCs/>
                <w:color w:val="auto"/>
                <w:kern w:val="0"/>
                <w:lang w:val="en-US" w:eastAsia="zh-CN"/>
              </w:rPr>
              <w:t>工艺流程</w:t>
            </w:r>
            <w:r>
              <w:rPr>
                <w:rFonts w:hint="default" w:ascii="Times New Roman" w:hAnsi="Times New Roman" w:cs="Times New Roman"/>
                <w:b/>
                <w:bCs/>
                <w:color w:val="auto"/>
                <w:kern w:val="0"/>
                <w:lang w:val="en-US" w:eastAsia="zh-CN"/>
              </w:rPr>
              <w:t>说明：</w:t>
            </w:r>
          </w:p>
          <w:p w14:paraId="542870B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焊接</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将采购的爆破片通过激光焊接在尾盖</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end-cup</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部件上，然后将气孔薄片、气嘴块通过电阻焊接在尾盖上，将腔体与尾盖通过惯性焊接在一起，完成腔体半成品，再将腔体半成品与混合腔</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mix-chamber</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通过二氧化碳气体保护焊</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MAG</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焊接在一起。该工序涉及焊接方式原理如下</w:t>
            </w:r>
            <w:r>
              <w:rPr>
                <w:rFonts w:hint="eastAsia" w:cs="Times New Roman"/>
                <w:b w:val="0"/>
                <w:bCs w:val="0"/>
                <w:color w:val="auto"/>
                <w:kern w:val="0"/>
                <w:lang w:val="en-US" w:eastAsia="zh-CN"/>
              </w:rPr>
              <w:t>：</w:t>
            </w:r>
          </w:p>
          <w:p w14:paraId="6E82AEA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※电阻焊</w:t>
            </w:r>
          </w:p>
          <w:p w14:paraId="16ACFF1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施焊过程是电极对被气体发生器部分零部件施压并通电，电流通过金属件紧贴的接触部位时，其电阻较大，发热并熔融接触点，在电极压力作用下，接触点处焊为一体。电阻焊无需焊材、焊剂。被焊接材料焊接部位表面处理洁净，基本没有焊接烟尘产生，</w:t>
            </w:r>
          </w:p>
          <w:p w14:paraId="1D75391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※惯性焊接</w:t>
            </w:r>
          </w:p>
          <w:p w14:paraId="39FB3F3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属于固态焊接</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在工件接触面相互快速摩擦,机械能转化为热能，使接触摩擦部位发热</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温度达到熔点以下</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处于热塑状态，然后顶锻，焊为一体。摩擦焊不产生焊接烟尘，也没有其它焊接污染。</w:t>
            </w:r>
          </w:p>
          <w:p w14:paraId="23E257A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※激光焊</w:t>
            </w:r>
          </w:p>
          <w:p w14:paraId="5BD4F7C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激光通过聚焦产生高热量，在惰性气体保护下，融化母材，形成熔池完成焊接，焊接时会产生少量的烟尘。</w:t>
            </w:r>
          </w:p>
          <w:p w14:paraId="257AB62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※MAG气体保护焊</w:t>
            </w:r>
          </w:p>
          <w:p w14:paraId="5F79A04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MAG焊又称二氧化碳气体保护焊，通过焊丝和母材之间短路使气体放电，在混合气体保护下形成稳定的焊接电弧，产生高热量使母材之间相互融合形成焊缝，完成焊接，焊接时会产生少量烟尘。</w:t>
            </w:r>
          </w:p>
          <w:p w14:paraId="57F325C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上述激光焊、螺钉焊以及二氧化碳气体保护焊过程会产生的焊接烟尘。</w:t>
            </w:r>
          </w:p>
          <w:p w14:paraId="17B1063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激光刻印、点火具安装、焊接</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通过激光刻印将产品条码信息刻印在腔体上。通过引发器安装设备将点火具扣压在气体发生器上，将螺钉通过惯性焊接在腔体上。</w:t>
            </w:r>
          </w:p>
          <w:p w14:paraId="7F8AA85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填充、检测</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将氧气、氦气、氩气混合气体填充进入壳体一端小室内，采用ARO电阻焊机进行封堵焊接，将气体密封。将</w:t>
            </w:r>
            <w:r>
              <w:rPr>
                <w:rFonts w:hint="eastAsia" w:cs="Times New Roman"/>
                <w:b w:val="0"/>
                <w:bCs w:val="0"/>
                <w:color w:val="auto"/>
                <w:kern w:val="0"/>
                <w:lang w:val="en-US" w:eastAsia="zh-CN"/>
              </w:rPr>
              <w:t>氢气</w:t>
            </w:r>
            <w:r>
              <w:rPr>
                <w:rFonts w:hint="default" w:ascii="Times New Roman" w:hAnsi="Times New Roman" w:cs="Times New Roman"/>
                <w:b w:val="0"/>
                <w:bCs w:val="0"/>
                <w:color w:val="auto"/>
                <w:kern w:val="0"/>
                <w:lang w:val="en-US" w:eastAsia="zh-CN"/>
              </w:rPr>
              <w:t>、</w:t>
            </w:r>
            <w:r>
              <w:rPr>
                <w:rFonts w:hint="eastAsia" w:cs="Times New Roman"/>
                <w:b w:val="0"/>
                <w:bCs w:val="0"/>
                <w:color w:val="auto"/>
                <w:kern w:val="0"/>
                <w:lang w:val="en-US" w:eastAsia="zh-CN"/>
              </w:rPr>
              <w:t>氦气</w:t>
            </w:r>
            <w:r>
              <w:rPr>
                <w:rFonts w:hint="default" w:ascii="Times New Roman" w:hAnsi="Times New Roman" w:cs="Times New Roman"/>
                <w:b w:val="0"/>
                <w:bCs w:val="0"/>
                <w:color w:val="auto"/>
                <w:kern w:val="0"/>
                <w:lang w:val="en-US" w:eastAsia="zh-CN"/>
              </w:rPr>
              <w:t>、氩气混合气体填充进入壳体另一端小室内，采用ARO电阻焊机进行封堵焊接，将气体密封。然后进行泄漏检测、通路检测。会产生少量不合格的废品。</w:t>
            </w:r>
          </w:p>
          <w:p w14:paraId="7ED1F1B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贴条形码、包装入库</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将奥托立夫公司自产的点火具与外购的壳体进行预组装，检测合格后，使用标码设备贴条形码，合格品包装入库。会产生少量的废包装材料。</w:t>
            </w:r>
          </w:p>
          <w:p w14:paraId="1F08A85D">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b/>
                <w:bCs/>
                <w:color w:val="auto"/>
                <w:kern w:val="0"/>
                <w:lang w:val="en-US" w:eastAsia="zh-CN"/>
              </w:rPr>
            </w:pPr>
            <w:r>
              <w:rPr>
                <w:rFonts w:hint="eastAsia"/>
                <w:b/>
                <w:bCs/>
                <w:color w:val="auto"/>
                <w:kern w:val="0"/>
                <w:lang w:val="en-US" w:eastAsia="zh-CN"/>
              </w:rPr>
              <w:t>⑤焚烧</w:t>
            </w:r>
          </w:p>
          <w:p w14:paraId="12B772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lang w:val="en-US" w:eastAsia="zh-CN"/>
              </w:rPr>
            </w:pPr>
            <w:r>
              <w:rPr>
                <w:rFonts w:hint="eastAsia"/>
                <w:color w:val="auto"/>
                <w:kern w:val="0"/>
                <w:lang w:val="en-US" w:eastAsia="zh-CN"/>
              </w:rPr>
              <w:object>
                <v:shape id="_x0000_i1039" o:spt="75" type="#_x0000_t75" style="height:587.25pt;width:267pt;" o:ole="t" filled="f" o:preferrelative="t" stroked="f" coordsize="21600,21600">
                  <v:path/>
                  <v:fill on="f" focussize="0,0"/>
                  <v:stroke on="f"/>
                  <v:imagedata r:id="rId39" o:title=""/>
                  <o:lock v:ext="edit" aspectratio="f"/>
                  <w10:wrap type="none"/>
                  <w10:anchorlock/>
                </v:shape>
                <o:OLEObject Type="Embed" ProgID="Visio.Drawing.11" ShapeID="_x0000_i1039" DrawAspect="Content" ObjectID="_1468075739" r:id="rId38">
                  <o:LockedField>false</o:LockedField>
                </o:OLEObject>
              </w:object>
            </w:r>
          </w:p>
          <w:p w14:paraId="03AADCCB">
            <w:pPr>
              <w:adjustRightInd w:val="0"/>
              <w:snapToGrid w:val="0"/>
              <w:spacing w:line="360" w:lineRule="auto"/>
              <w:jc w:val="center"/>
              <w:rPr>
                <w:rFonts w:hint="default"/>
                <w:b/>
                <w:bCs/>
                <w:color w:val="auto"/>
                <w:kern w:val="0"/>
                <w:lang w:val="en-US" w:eastAsia="zh-CN"/>
              </w:rPr>
            </w:pPr>
            <w:r>
              <w:rPr>
                <w:rFonts w:hint="eastAsia"/>
                <w:b/>
                <w:bCs/>
                <w:color w:val="auto"/>
                <w:kern w:val="0"/>
                <w:lang w:val="en-US" w:eastAsia="zh-CN"/>
              </w:rPr>
              <w:t>图2-9   焚烧装置工艺流程图</w:t>
            </w:r>
          </w:p>
          <w:p w14:paraId="23424DB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val="0"/>
                <w:bCs w:val="0"/>
                <w:color w:val="auto"/>
                <w:kern w:val="0"/>
                <w:lang w:val="en-US" w:eastAsia="zh-CN"/>
              </w:rPr>
            </w:pPr>
            <w:r>
              <w:rPr>
                <w:rFonts w:hint="eastAsia"/>
                <w:b w:val="0"/>
                <w:bCs w:val="0"/>
                <w:color w:val="auto"/>
                <w:kern w:val="0"/>
                <w:lang w:val="en-US" w:eastAsia="zh-CN"/>
              </w:rPr>
              <w:t>操作人员先进行前期准备：检查各子系统状态，添加油料，做好运行前各项准备工作。将待烧毁的危险品分类，并安全运送到投料操作间，首先进行人工拆解，拆解废物外售综合利用。</w:t>
            </w:r>
          </w:p>
          <w:p w14:paraId="3FE8B52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eastAsia"/>
                <w:b w:val="0"/>
                <w:bCs w:val="0"/>
                <w:color w:val="auto"/>
                <w:kern w:val="0"/>
                <w:lang w:val="en-US" w:eastAsia="zh-CN"/>
              </w:rPr>
              <w:t>完成前期准备工作后开机点火，点燃燃烧器、启动风机给烧毁炉炉体进行预加热。全系统运转正常，待炉温升至预设</w:t>
            </w:r>
            <w:r>
              <w:rPr>
                <w:rFonts w:hint="default" w:ascii="Times New Roman" w:hAnsi="Times New Roman" w:cs="Times New Roman"/>
                <w:b w:val="0"/>
                <w:bCs w:val="0"/>
                <w:color w:val="auto"/>
                <w:kern w:val="0"/>
                <w:lang w:val="en-US" w:eastAsia="zh-CN"/>
              </w:rPr>
              <w:t>温度值后，开启进料传送系统，将待销毁的危险品从防护板后放入传送小车，传送带自动将其送入烧毁炉体内。炉膛内的待销毁品在燃料的助燃和风机喷风作用下燃烧或燃爆。此过程产生的炉渣委托有资质单位处理。</w:t>
            </w:r>
          </w:p>
          <w:p w14:paraId="198465F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销毁炉在烧毁废料过程中，燃烧温度能达到1100℃-1200℃，经初步分析废气主要为燃烧所排放的粉尘、烟气、SO</w:t>
            </w:r>
            <w:r>
              <w:rPr>
                <w:rFonts w:hint="default" w:ascii="Times New Roman" w:hAnsi="Times New Roman" w:cs="Times New Roman"/>
                <w:b w:val="0"/>
                <w:bCs w:val="0"/>
                <w:color w:val="auto"/>
                <w:kern w:val="0"/>
                <w:vertAlign w:val="subscript"/>
                <w:lang w:val="en-US" w:eastAsia="zh-CN"/>
              </w:rPr>
              <w:t>2</w:t>
            </w:r>
            <w:r>
              <w:rPr>
                <w:rFonts w:hint="default" w:ascii="Times New Roman" w:hAnsi="Times New Roman" w:cs="Times New Roman"/>
                <w:b w:val="0"/>
                <w:bCs w:val="0"/>
                <w:color w:val="auto"/>
                <w:kern w:val="0"/>
                <w:lang w:val="en-US" w:eastAsia="zh-CN"/>
              </w:rPr>
              <w:t>、CO、CO</w:t>
            </w:r>
            <w:r>
              <w:rPr>
                <w:rFonts w:hint="default" w:ascii="Times New Roman" w:hAnsi="Times New Roman" w:cs="Times New Roman"/>
                <w:b w:val="0"/>
                <w:bCs w:val="0"/>
                <w:color w:val="auto"/>
                <w:kern w:val="0"/>
                <w:vertAlign w:val="subscript"/>
                <w:lang w:val="en-US" w:eastAsia="zh-CN"/>
              </w:rPr>
              <w:t>2</w:t>
            </w:r>
            <w:r>
              <w:rPr>
                <w:rFonts w:hint="default" w:ascii="Times New Roman" w:hAnsi="Times New Roman" w:cs="Times New Roman"/>
                <w:b w:val="0"/>
                <w:bCs w:val="0"/>
                <w:color w:val="auto"/>
                <w:kern w:val="0"/>
                <w:lang w:val="en-US" w:eastAsia="zh-CN"/>
              </w:rPr>
              <w:t>、氮氧化物以及少量非甲烷总烃。</w:t>
            </w:r>
          </w:p>
          <w:p w14:paraId="0352D67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1100℃-1200℃左右的烟气烟尘首先经二级急冷装置（产生循环冷却溢流水作为清下水排放），温度在短时间内迅速（&lt;2S）降低到200℃左右，破坏了二噁英合成的条件，从而有效地抑制了二英的再生成。二级冷却装置后设置有旁通烟道，在二级冷却装置出口温度不在限值范围时，旁通电磁阀打开，烟气由旁通回到第一级冷却装置，确保烟温异常时不对后续装置形成致命破坏。经冷却装置出来的烟气进入干式吸收塔内（此过程产生吸附渣），喷活性炭粉末及碱粉末，利用活性炭的多孔吸附性能，使烟气中的有机物和重金属物质有效去除，碱粉与酸性气体反应生成无机盐类。</w:t>
            </w:r>
          </w:p>
          <w:p w14:paraId="467963B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val="0"/>
                <w:bCs w:val="0"/>
                <w:color w:val="auto"/>
                <w:kern w:val="0"/>
                <w:lang w:val="en-US" w:eastAsia="zh-CN"/>
              </w:rPr>
            </w:pPr>
            <w:r>
              <w:rPr>
                <w:rFonts w:hint="eastAsia"/>
                <w:b w:val="0"/>
                <w:bCs w:val="0"/>
                <w:color w:val="auto"/>
                <w:kern w:val="0"/>
                <w:lang w:val="en-US" w:eastAsia="zh-CN"/>
              </w:rPr>
              <w:t>带着较细粒径粉尘的烟气经过干式吸附后进入气箱脉冲布袋除尘器，烟气由外经过滤袋时，烟气中的粉尘被截留在滤袋外表面从而得到净化，烟气经除尘器内文氏管进入上箱体，从出口排出。附集在滤袋外表面的粉尘不断增加，使除尘器阻力增大，为使设备阻力维持在限定的范围内，必须定期消除附在滤袋表面的粉尘：由控制仪按定期顺序触发各控制阀开启脉冲阀，使气包内压缩空气由喷吹管孔眼喷出（称一次风），通过文氏管，诱导数倍于一次风的周围空气（称二次风）进入滤袋，使滤袋在一瞬间急剧膨胀，并伴随着气流的反向作用，抖落粉尘，使得烟气中粉尘排放可达到国家环保标准要求（此过程产生布袋除尘粉尘）。</w:t>
            </w:r>
          </w:p>
          <w:p w14:paraId="6F8F34B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val="0"/>
                <w:bCs w:val="0"/>
                <w:color w:val="auto"/>
                <w:kern w:val="0"/>
                <w:lang w:val="en-US" w:eastAsia="zh-CN"/>
              </w:rPr>
            </w:pPr>
            <w:r>
              <w:rPr>
                <w:rFonts w:hint="eastAsia"/>
                <w:b w:val="0"/>
                <w:bCs w:val="0"/>
                <w:color w:val="auto"/>
                <w:kern w:val="0"/>
                <w:lang w:val="en-US" w:eastAsia="zh-CN"/>
              </w:rPr>
              <w:t>尾气进入低温等离子器，进一步净化难以处理的多组份恶臭味气体，最后利用活性炭吸附装置吸附（此过程产生废活性炭）、吸收烟气中的有害有毒物质及其它碳氢化合物。最后烟气经引风机达标排放。</w:t>
            </w:r>
          </w:p>
          <w:p w14:paraId="1C8365C6">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b/>
                <w:bCs/>
                <w:color w:val="auto"/>
                <w:kern w:val="0"/>
                <w:lang w:val="en-US" w:eastAsia="zh-CN"/>
              </w:rPr>
            </w:pPr>
            <w:r>
              <w:rPr>
                <w:rFonts w:hint="eastAsia"/>
                <w:b/>
                <w:bCs/>
                <w:color w:val="auto"/>
                <w:kern w:val="0"/>
                <w:lang w:val="en-US" w:eastAsia="zh-CN"/>
              </w:rPr>
              <w:t>⑥点火具</w:t>
            </w:r>
          </w:p>
          <w:p w14:paraId="1FD73A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lang w:val="en-US" w:eastAsia="zh-CN"/>
              </w:rPr>
            </w:pPr>
            <w:r>
              <w:rPr>
                <w:rFonts w:hint="eastAsia"/>
                <w:color w:val="auto"/>
                <w:kern w:val="0"/>
                <w:lang w:val="en-US" w:eastAsia="zh-CN"/>
              </w:rPr>
              <w:object>
                <v:shape id="_x0000_i1040" o:spt="75" type="#_x0000_t75" style="height:318pt;width:252.75pt;" o:ole="t" filled="f" o:preferrelative="t" stroked="f" coordsize="21600,21600">
                  <v:path/>
                  <v:fill on="f" focussize="0,0"/>
                  <v:stroke on="f"/>
                  <v:imagedata r:id="rId41" o:title=""/>
                  <o:lock v:ext="edit" aspectratio="f"/>
                  <w10:wrap type="none"/>
                  <w10:anchorlock/>
                </v:shape>
                <o:OLEObject Type="Embed" ProgID="Visio.Drawing.11" ShapeID="_x0000_i1040" DrawAspect="Content" ObjectID="_1468075740" r:id="rId40">
                  <o:LockedField>false</o:LockedField>
                </o:OLEObject>
              </w:object>
            </w:r>
          </w:p>
          <w:p w14:paraId="70E00520">
            <w:pPr>
              <w:adjustRightInd w:val="0"/>
              <w:snapToGrid w:val="0"/>
              <w:spacing w:line="360" w:lineRule="auto"/>
              <w:jc w:val="center"/>
              <w:rPr>
                <w:rFonts w:hint="default"/>
                <w:b/>
                <w:bCs/>
                <w:color w:val="auto"/>
                <w:kern w:val="0"/>
                <w:lang w:val="en-US" w:eastAsia="zh-CN"/>
              </w:rPr>
            </w:pPr>
            <w:r>
              <w:rPr>
                <w:rFonts w:hint="eastAsia"/>
                <w:b/>
                <w:bCs/>
                <w:color w:val="auto"/>
                <w:kern w:val="0"/>
                <w:lang w:val="en-US" w:eastAsia="zh-CN"/>
              </w:rPr>
              <w:t>图2-10   点火具生产工艺流程图（标粗原料厂内自产）</w:t>
            </w:r>
          </w:p>
          <w:p w14:paraId="7335DB6A">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kern w:val="0"/>
                <w:lang w:val="en-US" w:eastAsia="zh-CN"/>
              </w:rPr>
            </w:pPr>
            <w:r>
              <w:rPr>
                <w:rFonts w:hint="eastAsia" w:cs="Times New Roman"/>
                <w:b/>
                <w:bCs/>
                <w:color w:val="auto"/>
                <w:kern w:val="0"/>
                <w:lang w:val="en-US" w:eastAsia="zh-CN"/>
              </w:rPr>
              <w:t>工艺流程</w:t>
            </w:r>
            <w:r>
              <w:rPr>
                <w:rFonts w:hint="default" w:ascii="Times New Roman" w:hAnsi="Times New Roman" w:cs="Times New Roman"/>
                <w:b/>
                <w:bCs/>
                <w:color w:val="auto"/>
                <w:kern w:val="0"/>
                <w:lang w:val="en-US" w:eastAsia="zh-CN"/>
              </w:rPr>
              <w:t>说明：</w:t>
            </w:r>
          </w:p>
          <w:p w14:paraId="0B73152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投料</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人工将塑料尼龙倒入料斗，进入干燥机</w:t>
            </w:r>
            <w:r>
              <w:rPr>
                <w:rFonts w:hint="eastAsia" w:cs="Times New Roman"/>
                <w:b w:val="0"/>
                <w:bCs w:val="0"/>
                <w:color w:val="auto"/>
                <w:kern w:val="0"/>
                <w:lang w:val="en-US" w:eastAsia="zh-CN"/>
              </w:rPr>
              <w:t>；</w:t>
            </w:r>
          </w:p>
          <w:p w14:paraId="7DFB828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干燥</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干燥温度85℃左右，干燥2-4h，通过真空泵吸入注塑机,该工序产生非甲烷总烃</w:t>
            </w:r>
            <w:r>
              <w:rPr>
                <w:rFonts w:hint="eastAsia" w:cs="Times New Roman"/>
                <w:b w:val="0"/>
                <w:bCs w:val="0"/>
                <w:color w:val="auto"/>
                <w:kern w:val="0"/>
                <w:lang w:val="en-US" w:eastAsia="zh-CN"/>
              </w:rPr>
              <w:t>；</w:t>
            </w:r>
          </w:p>
          <w:p w14:paraId="35BDD38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放入模具</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人工安装注塑所需的模具、镶件，同时对模具进行预热，升温</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导热油电加热</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至80℃左右，升温时间为20-30min，机器人自动抓取基板、圆环、点火具放入模具内</w:t>
            </w:r>
            <w:r>
              <w:rPr>
                <w:rFonts w:hint="eastAsia" w:cs="Times New Roman"/>
                <w:b w:val="0"/>
                <w:bCs w:val="0"/>
                <w:color w:val="auto"/>
                <w:kern w:val="0"/>
                <w:lang w:val="en-US" w:eastAsia="zh-CN"/>
              </w:rPr>
              <w:t>；</w:t>
            </w:r>
          </w:p>
          <w:p w14:paraId="47317A8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注塑</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塑料尼龙进入注塑模具内进行注塑，根据塑料粒子特性，通过注塑机自带的加热装置</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电加热导热油</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和螺杆旋转过程中的剪切力加热至225℃待熔融状态下，高压充满模腔，把基板、圆环、点火具跟塑料尼龙注塑成型，停止加热</w:t>
            </w:r>
            <w:r>
              <w:rPr>
                <w:rFonts w:hint="eastAsia"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随后采用间接循环冷却水降温，使塑料定型，打开模具，顶出产品。该工段的工作温度未达到塑料粒子的热分解温度，熔融过程中不会发生分解，但由于分子间的剪切挤压下发生断链、分解，会产生游离单体废气，组份比较复杂，以非甲烷总烃计，不考虑氨气的产生，此过程产生非甲烷总烃。同时注塑过程中会产生废边角料。冷却水循环使用，定期添加，不外排</w:t>
            </w:r>
            <w:r>
              <w:rPr>
                <w:rFonts w:hint="eastAsia" w:cs="Times New Roman"/>
                <w:b w:val="0"/>
                <w:bCs w:val="0"/>
                <w:color w:val="auto"/>
                <w:kern w:val="0"/>
                <w:lang w:val="en-US" w:eastAsia="zh-CN"/>
              </w:rPr>
              <w:t>；</w:t>
            </w:r>
          </w:p>
          <w:p w14:paraId="4D17843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检验：机器人从模具上取出产品后部分产品机器人进行检验，部分人工检验，检验产品尺寸、外观等，该工序产生不合格品；</w:t>
            </w:r>
          </w:p>
          <w:p w14:paraId="4810DBB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包装：人工用包装盒/袋包装，入库。此工序产生废包装袋/盒。</w:t>
            </w:r>
          </w:p>
          <w:p w14:paraId="70E4EEF3">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b/>
                <w:bCs/>
                <w:color w:val="auto"/>
                <w:kern w:val="0"/>
                <w:lang w:val="en-US" w:eastAsia="zh-CN"/>
              </w:rPr>
            </w:pPr>
            <w:r>
              <w:rPr>
                <w:rFonts w:hint="eastAsia"/>
                <w:b/>
                <w:bCs/>
                <w:color w:val="auto"/>
                <w:kern w:val="0"/>
                <w:lang w:val="en-US" w:eastAsia="zh-CN"/>
              </w:rPr>
              <w:t>⑦产气药压片</w:t>
            </w:r>
          </w:p>
          <w:p w14:paraId="42CD381A">
            <w:pPr>
              <w:adjustRightInd w:val="0"/>
              <w:snapToGrid w:val="0"/>
              <w:spacing w:line="360" w:lineRule="auto"/>
              <w:jc w:val="center"/>
              <w:rPr>
                <w:rFonts w:hint="eastAsia"/>
                <w:color w:val="auto"/>
                <w:kern w:val="0"/>
                <w:lang w:val="en-US" w:eastAsia="zh-CN"/>
              </w:rPr>
            </w:pPr>
            <w:r>
              <w:rPr>
                <w:rFonts w:hint="eastAsia"/>
                <w:color w:val="auto"/>
                <w:kern w:val="0"/>
                <w:lang w:val="en-US" w:eastAsia="zh-CN"/>
              </w:rPr>
              <w:object>
                <v:shape id="_x0000_i1041" o:spt="75" type="#_x0000_t75" style="height:232.5pt;width:176.25pt;" o:ole="t" filled="f" o:preferrelative="t" stroked="f" coordsize="21600,21600">
                  <v:path/>
                  <v:fill on="f" focussize="0,0"/>
                  <v:stroke on="f"/>
                  <v:imagedata r:id="rId43" o:title=""/>
                  <o:lock v:ext="edit" aspectratio="f"/>
                  <w10:wrap type="none"/>
                  <w10:anchorlock/>
                </v:shape>
                <o:OLEObject Type="Embed" ProgID="Visio.Drawing.11" ShapeID="_x0000_i1041" DrawAspect="Content" ObjectID="_1468075741" r:id="rId42">
                  <o:LockedField>false</o:LockedField>
                </o:OLEObject>
              </w:object>
            </w:r>
          </w:p>
          <w:p w14:paraId="59185223">
            <w:pPr>
              <w:adjustRightInd w:val="0"/>
              <w:snapToGrid w:val="0"/>
              <w:spacing w:line="360" w:lineRule="auto"/>
              <w:jc w:val="center"/>
              <w:rPr>
                <w:rFonts w:hint="default"/>
                <w:b/>
                <w:bCs/>
                <w:color w:val="auto"/>
                <w:kern w:val="0"/>
                <w:lang w:val="en-US" w:eastAsia="zh-CN"/>
              </w:rPr>
            </w:pPr>
            <w:r>
              <w:rPr>
                <w:rFonts w:hint="eastAsia"/>
                <w:b/>
                <w:bCs/>
                <w:color w:val="auto"/>
                <w:kern w:val="0"/>
                <w:lang w:val="en-US" w:eastAsia="zh-CN"/>
              </w:rPr>
              <w:t>图2-11   产气药压片生产工艺流程图（标粗原料厂内自产）</w:t>
            </w:r>
          </w:p>
          <w:p w14:paraId="4221162A">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kern w:val="0"/>
                <w:lang w:val="en-US" w:eastAsia="zh-CN"/>
              </w:rPr>
            </w:pPr>
            <w:r>
              <w:rPr>
                <w:rFonts w:hint="eastAsia" w:cs="Times New Roman"/>
                <w:b/>
                <w:bCs/>
                <w:color w:val="auto"/>
                <w:kern w:val="0"/>
                <w:lang w:val="en-US" w:eastAsia="zh-CN"/>
              </w:rPr>
              <w:t>工艺流程</w:t>
            </w:r>
            <w:r>
              <w:rPr>
                <w:rFonts w:hint="default" w:ascii="Times New Roman" w:hAnsi="Times New Roman" w:cs="Times New Roman"/>
                <w:b/>
                <w:bCs/>
                <w:color w:val="auto"/>
                <w:kern w:val="0"/>
                <w:lang w:val="en-US" w:eastAsia="zh-CN"/>
              </w:rPr>
              <w:t>说明：</w:t>
            </w:r>
          </w:p>
          <w:p w14:paraId="78472C4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上料：药粉生产线生产的药粉用密闭铝罐送至压片工序，通过提升系统送至药粉混合机混合均匀。该工序产生粉尘；</w:t>
            </w:r>
          </w:p>
          <w:p w14:paraId="693CDA4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压片：混合均匀后打开阀门，药粉通过重力自动下落经自动称量后进入压片机，进行压片。压片过程产生压片粉尘；</w:t>
            </w:r>
          </w:p>
          <w:p w14:paraId="41229DB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粉尘通过湿式除尘器除尘后无组织排放，未被收集的粉尘部分散落至地面，地面和设备定期清洗产生废水。</w:t>
            </w:r>
          </w:p>
          <w:p w14:paraId="565A333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检测、包装：抽样进行测试，通过药片厚度检测仪、药片测试仪、脆性测试仪等设备测试药片的厚度、重量、粉碎强度及脆弱性等，合格后打印标签，进行分装入库暂存。此工序产生废药片。</w:t>
            </w:r>
          </w:p>
          <w:p w14:paraId="46735CD2">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b/>
                <w:bCs/>
                <w:color w:val="auto"/>
                <w:kern w:val="0"/>
                <w:lang w:val="en-US" w:eastAsia="zh-CN"/>
              </w:rPr>
            </w:pPr>
            <w:r>
              <w:rPr>
                <w:rFonts w:hint="eastAsia"/>
                <w:b/>
                <w:bCs/>
                <w:color w:val="auto"/>
                <w:kern w:val="0"/>
                <w:lang w:val="en-US" w:eastAsia="zh-CN"/>
              </w:rPr>
              <w:t>⑧传火药/传火管</w:t>
            </w:r>
          </w:p>
          <w:p w14:paraId="52F2BD4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kern w:val="0"/>
                <w:lang w:val="en-US" w:eastAsia="zh-CN"/>
              </w:rPr>
            </w:pPr>
            <w:r>
              <w:rPr>
                <w:rFonts w:hint="eastAsia"/>
                <w:color w:val="auto"/>
                <w:kern w:val="0"/>
                <w:lang w:val="en-US" w:eastAsia="zh-CN"/>
              </w:rPr>
              <w:t>（1）传火药生产工艺流程</w:t>
            </w:r>
          </w:p>
          <w:p w14:paraId="1A7176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lang w:val="en-US" w:eastAsia="zh-CN"/>
              </w:rPr>
            </w:pPr>
            <w:r>
              <w:rPr>
                <w:rFonts w:hint="eastAsia"/>
                <w:color w:val="auto"/>
                <w:kern w:val="0"/>
                <w:lang w:val="en-US" w:eastAsia="zh-CN"/>
              </w:rPr>
              <w:object>
                <v:shape id="_x0000_i1042" o:spt="75" type="#_x0000_t75" style="height:474pt;width:190.5pt;" o:ole="t" filled="f" o:preferrelative="t" stroked="f" coordsize="21600,21600">
                  <v:path/>
                  <v:fill on="f" focussize="0,0"/>
                  <v:stroke on="f"/>
                  <v:imagedata r:id="rId45" o:title=""/>
                  <o:lock v:ext="edit" aspectratio="f"/>
                  <w10:wrap type="none"/>
                  <w10:anchorlock/>
                </v:shape>
                <o:OLEObject Type="Embed" ProgID="Visio.Drawing.11" ShapeID="_x0000_i1042" DrawAspect="Content" ObjectID="_1468075742" r:id="rId44">
                  <o:LockedField>false</o:LockedField>
                </o:OLEObject>
              </w:object>
            </w:r>
          </w:p>
          <w:p w14:paraId="629064B2">
            <w:pPr>
              <w:adjustRightInd w:val="0"/>
              <w:snapToGrid w:val="0"/>
              <w:spacing w:line="360" w:lineRule="auto"/>
              <w:jc w:val="center"/>
              <w:rPr>
                <w:rFonts w:hint="default"/>
                <w:b/>
                <w:bCs/>
                <w:color w:val="auto"/>
                <w:kern w:val="0"/>
                <w:lang w:val="en-US" w:eastAsia="zh-CN"/>
              </w:rPr>
            </w:pPr>
            <w:r>
              <w:rPr>
                <w:rFonts w:hint="eastAsia"/>
                <w:b/>
                <w:bCs/>
                <w:color w:val="auto"/>
                <w:kern w:val="0"/>
                <w:lang w:val="en-US" w:eastAsia="zh-CN"/>
              </w:rPr>
              <w:t>图2-12-1   传火药生产工艺流程图</w:t>
            </w:r>
          </w:p>
          <w:p w14:paraId="2CB204AD">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kern w:val="0"/>
                <w:lang w:val="en-US" w:eastAsia="zh-CN"/>
              </w:rPr>
            </w:pPr>
            <w:r>
              <w:rPr>
                <w:rFonts w:hint="eastAsia" w:cs="Times New Roman"/>
                <w:b/>
                <w:bCs/>
                <w:color w:val="auto"/>
                <w:kern w:val="0"/>
                <w:lang w:val="en-US" w:eastAsia="zh-CN"/>
              </w:rPr>
              <w:t>工艺流程</w:t>
            </w:r>
            <w:r>
              <w:rPr>
                <w:rFonts w:hint="default" w:ascii="Times New Roman" w:hAnsi="Times New Roman" w:cs="Times New Roman"/>
                <w:b/>
                <w:bCs/>
                <w:color w:val="auto"/>
                <w:kern w:val="0"/>
                <w:lang w:val="en-US" w:eastAsia="zh-CN"/>
              </w:rPr>
              <w:t>说明：</w:t>
            </w:r>
          </w:p>
          <w:p w14:paraId="50309C0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混药：把硼、硝酸钾、硝酸胍按工艺要求配比自动称量后，真空吸入混合罐，去离子水、酒精自动称量后加入混合罐，启动搅拌器，搅拌均匀，搅拌过程非常缓慢，基本不产生粉尘，因此本次不定量分析，搅拌过程产生有机废气（非甲烷总烃）；</w:t>
            </w:r>
          </w:p>
          <w:p w14:paraId="1C90199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过筛造粒：将混合好的物料投入远程操作制粒机，将混合好的糊状原料压成颗粒状；</w:t>
            </w:r>
          </w:p>
          <w:p w14:paraId="03CA46C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分盘：将造粒后物料按工艺要求分装到干燥盘中；</w:t>
            </w:r>
          </w:p>
          <w:p w14:paraId="759CF22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干燥：将物料盘放入烘箱中（电加热），烘干温度为60℃，烘干后的物料倒入防静电袋中，运到研磨工序，此工序产生有机废气（非甲烷总烃）；</w:t>
            </w:r>
          </w:p>
          <w:p w14:paraId="1D4F9B6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研磨：将干燥后的物料倒入研磨机料斗，开机进行研磨，把结成块的物料磨成粉末状，研磨过程非常缓慢，基本不产生粉尘，不定量分析；</w:t>
            </w:r>
          </w:p>
          <w:p w14:paraId="40CC224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震动筛分：利用振动离析设备，将物料分选，筛分过程非常缓慢，基本不产生粉尘，不定量分析；</w:t>
            </w:r>
          </w:p>
          <w:p w14:paraId="6B97EF9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包装：将传火药称重，包装入库、待用。</w:t>
            </w:r>
          </w:p>
          <w:p w14:paraId="053C63D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混合罐、造粒机等需要定期用水清洗，产生清洗废水。</w:t>
            </w:r>
          </w:p>
          <w:p w14:paraId="174E7F3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kern w:val="0"/>
                <w:lang w:val="en-US" w:eastAsia="zh-CN"/>
              </w:rPr>
            </w:pPr>
            <w:r>
              <w:rPr>
                <w:rFonts w:hint="eastAsia"/>
                <w:color w:val="auto"/>
                <w:kern w:val="0"/>
                <w:lang w:val="en-US" w:eastAsia="zh-CN"/>
              </w:rPr>
              <w:t>（2）传火管工艺流程</w:t>
            </w:r>
          </w:p>
          <w:p w14:paraId="614CA854">
            <w:pPr>
              <w:adjustRightInd w:val="0"/>
              <w:snapToGrid w:val="0"/>
              <w:spacing w:line="360" w:lineRule="auto"/>
              <w:jc w:val="center"/>
              <w:rPr>
                <w:rFonts w:hint="eastAsia"/>
                <w:color w:val="auto"/>
                <w:kern w:val="0"/>
                <w:lang w:val="en-US" w:eastAsia="zh-CN"/>
              </w:rPr>
            </w:pPr>
            <w:r>
              <w:rPr>
                <w:rFonts w:hint="eastAsia"/>
                <w:color w:val="auto"/>
                <w:kern w:val="0"/>
                <w:lang w:val="en-US" w:eastAsia="zh-CN"/>
              </w:rPr>
              <w:object>
                <v:shape id="_x0000_i1043" o:spt="75" type="#_x0000_t75" style="height:346.5pt;width:147.75pt;" o:ole="t" filled="f" o:preferrelative="t" stroked="f" coordsize="21600,21600">
                  <v:path/>
                  <v:fill on="f" focussize="0,0"/>
                  <v:stroke on="f"/>
                  <v:imagedata r:id="rId47" o:title=""/>
                  <o:lock v:ext="edit" aspectratio="f"/>
                  <w10:wrap type="none"/>
                  <w10:anchorlock/>
                </v:shape>
                <o:OLEObject Type="Embed" ProgID="Visio.Drawing.11" ShapeID="_x0000_i1043" DrawAspect="Content" ObjectID="_1468075743" r:id="rId46">
                  <o:LockedField>false</o:LockedField>
                </o:OLEObject>
              </w:object>
            </w:r>
          </w:p>
          <w:p w14:paraId="6FB55BCB">
            <w:pPr>
              <w:adjustRightInd w:val="0"/>
              <w:snapToGrid w:val="0"/>
              <w:spacing w:line="360" w:lineRule="auto"/>
              <w:jc w:val="center"/>
              <w:rPr>
                <w:rFonts w:hint="default"/>
                <w:b/>
                <w:bCs/>
                <w:color w:val="auto"/>
                <w:kern w:val="0"/>
                <w:lang w:val="en-US" w:eastAsia="zh-CN"/>
              </w:rPr>
            </w:pPr>
            <w:r>
              <w:rPr>
                <w:rFonts w:hint="eastAsia"/>
                <w:b/>
                <w:bCs/>
                <w:color w:val="auto"/>
                <w:kern w:val="0"/>
                <w:lang w:val="en-US" w:eastAsia="zh-CN"/>
              </w:rPr>
              <w:t>图2-12-2   传火管生产工艺流程图（标粗原料厂内自产）</w:t>
            </w:r>
          </w:p>
          <w:p w14:paraId="2F464C9E">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kern w:val="0"/>
                <w:lang w:val="en-US" w:eastAsia="zh-CN"/>
              </w:rPr>
            </w:pPr>
            <w:r>
              <w:rPr>
                <w:rFonts w:hint="eastAsia" w:cs="Times New Roman"/>
                <w:b/>
                <w:bCs/>
                <w:color w:val="auto"/>
                <w:kern w:val="0"/>
                <w:lang w:val="en-US" w:eastAsia="zh-CN"/>
              </w:rPr>
              <w:t>工艺流程</w:t>
            </w:r>
            <w:r>
              <w:rPr>
                <w:rFonts w:hint="default" w:ascii="Times New Roman" w:hAnsi="Times New Roman" w:cs="Times New Roman"/>
                <w:b/>
                <w:bCs/>
                <w:color w:val="auto"/>
                <w:kern w:val="0"/>
                <w:lang w:val="en-US" w:eastAsia="zh-CN"/>
              </w:rPr>
              <w:t>说明：</w:t>
            </w:r>
          </w:p>
          <w:p w14:paraId="33E1A3A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填药：把传火药称重后填入铝杯中；</w:t>
            </w:r>
          </w:p>
          <w:p w14:paraId="066579D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称重：装好传火药的铝杯进行称重，看是否符合要求；</w:t>
            </w:r>
          </w:p>
          <w:p w14:paraId="652F677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封口压接：把称重后合格的铝杯通过封口压接设备进行封口压接；</w:t>
            </w:r>
          </w:p>
          <w:p w14:paraId="0EADDA7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组装：把金属管、固定环和封口压接后的铝杯组装成传火管；</w:t>
            </w:r>
          </w:p>
          <w:p w14:paraId="2DA2B5B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包装：将合格的传火管包装、入库、待用。</w:t>
            </w:r>
          </w:p>
          <w:p w14:paraId="2AD83777">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b/>
                <w:bCs/>
                <w:color w:val="auto"/>
                <w:kern w:val="0"/>
                <w:lang w:val="en-US" w:eastAsia="zh-CN"/>
              </w:rPr>
            </w:pPr>
            <w:r>
              <w:rPr>
                <w:rFonts w:hint="eastAsia"/>
                <w:b/>
                <w:bCs/>
                <w:color w:val="auto"/>
                <w:kern w:val="0"/>
                <w:lang w:val="en-US" w:eastAsia="zh-CN"/>
              </w:rPr>
              <w:t>⑨气体发生器装配生产线工艺流程</w:t>
            </w:r>
          </w:p>
          <w:p w14:paraId="7F333E7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lang w:val="en-US" w:eastAsia="zh-CN"/>
              </w:rPr>
            </w:pPr>
            <w:r>
              <w:rPr>
                <w:rFonts w:hint="eastAsia"/>
                <w:color w:val="auto"/>
                <w:kern w:val="0"/>
                <w:lang w:val="en-US" w:eastAsia="zh-CN"/>
              </w:rPr>
              <w:t>气体发生器装配生产线分为PF、PS、ACH三种装配线，PF装配线分为PF双极生产线和PF单级生产线，PS分为side气体发生器手动线和side气体发生器自动线。具体工艺流程如下：</w:t>
            </w:r>
          </w:p>
          <w:p w14:paraId="5F3F499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kern w:val="0"/>
                <w:lang w:val="en-US" w:eastAsia="zh-CN"/>
              </w:rPr>
            </w:pPr>
            <w:r>
              <w:rPr>
                <w:rFonts w:hint="eastAsia"/>
                <w:color w:val="auto"/>
                <w:kern w:val="0"/>
                <w:lang w:val="en-US" w:eastAsia="zh-CN"/>
              </w:rPr>
              <w:t>（1）ACH装配线工艺流程</w:t>
            </w:r>
          </w:p>
          <w:p w14:paraId="45C5FA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lang w:val="en-US" w:eastAsia="zh-CN"/>
              </w:rPr>
            </w:pPr>
            <w:r>
              <w:rPr>
                <w:rFonts w:hint="eastAsia"/>
                <w:color w:val="auto"/>
                <w:kern w:val="0"/>
                <w:lang w:val="en-US" w:eastAsia="zh-CN"/>
              </w:rPr>
              <w:object>
                <v:shape id="_x0000_i1044" o:spt="75" type="#_x0000_t75" style="height:651.5pt;width:368.95pt;" o:ole="t" filled="f" o:preferrelative="t" stroked="f" coordsize="21600,21600">
                  <v:path/>
                  <v:fill on="f" focussize="0,0"/>
                  <v:stroke on="f"/>
                  <v:imagedata r:id="rId49" o:title=""/>
                  <o:lock v:ext="edit" aspectratio="f"/>
                  <w10:wrap type="none"/>
                  <w10:anchorlock/>
                </v:shape>
                <o:OLEObject Type="Embed" ProgID="Visio.Drawing.11" ShapeID="_x0000_i1044" DrawAspect="Content" ObjectID="_1468075744" r:id="rId48">
                  <o:LockedField>false</o:LockedField>
                </o:OLEObject>
              </w:object>
            </w:r>
          </w:p>
          <w:p w14:paraId="5BB9245E">
            <w:pPr>
              <w:adjustRightInd w:val="0"/>
              <w:snapToGrid w:val="0"/>
              <w:spacing w:line="360" w:lineRule="auto"/>
              <w:jc w:val="center"/>
              <w:rPr>
                <w:rFonts w:hint="default"/>
                <w:b/>
                <w:bCs/>
                <w:color w:val="auto"/>
                <w:kern w:val="0"/>
                <w:lang w:val="en-US" w:eastAsia="zh-CN"/>
              </w:rPr>
            </w:pPr>
            <w:r>
              <w:rPr>
                <w:rFonts w:hint="eastAsia"/>
                <w:b/>
                <w:bCs/>
                <w:color w:val="auto"/>
                <w:kern w:val="0"/>
                <w:lang w:val="en-US" w:eastAsia="zh-CN"/>
              </w:rPr>
              <w:t>图2-13-1   ACH装配线工艺流程（标粗原料厂内自产）</w:t>
            </w:r>
          </w:p>
          <w:p w14:paraId="4F91D933">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kern w:val="0"/>
                <w:lang w:val="en-US" w:eastAsia="zh-CN"/>
              </w:rPr>
            </w:pPr>
            <w:r>
              <w:rPr>
                <w:rFonts w:hint="eastAsia" w:cs="Times New Roman"/>
                <w:b/>
                <w:bCs/>
                <w:color w:val="auto"/>
                <w:kern w:val="0"/>
                <w:lang w:val="en-US" w:eastAsia="zh-CN"/>
              </w:rPr>
              <w:t>工艺流程</w:t>
            </w:r>
            <w:r>
              <w:rPr>
                <w:rFonts w:hint="default" w:ascii="Times New Roman" w:hAnsi="Times New Roman" w:cs="Times New Roman"/>
                <w:b/>
                <w:bCs/>
                <w:color w:val="auto"/>
                <w:kern w:val="0"/>
                <w:lang w:val="en-US" w:eastAsia="zh-CN"/>
              </w:rPr>
              <w:t>说明：</w:t>
            </w:r>
          </w:p>
          <w:p w14:paraId="458176F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贴标签：通过标签机自动在钢管上贴标签；</w:t>
            </w:r>
          </w:p>
          <w:p w14:paraId="7242FAF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加药：把产气药通过振动盘填充在管子里；</w:t>
            </w:r>
          </w:p>
          <w:p w14:paraId="4041C24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弹簧上料：通过振动盘把弹簧装入管子里；</w:t>
            </w:r>
          </w:p>
          <w:p w14:paraId="4270DE4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压接：把基座和上好弹簧后的管子通过压接机压在一起；</w:t>
            </w:r>
          </w:p>
          <w:p w14:paraId="6EF29D0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焊接：通过激光焊把基座与管子焊接在一起，施焊过程是将激光聚焦到焊件，激光能转化为热能，局部熔化焊接。无需焊材、焊剂，本项目工件较小，焊点较小，有极少量焊接烟尘产生，因此不定量分析；</w:t>
            </w:r>
          </w:p>
          <w:p w14:paraId="74DBA62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基座惯性焊：把经过激光焊的管子和贴过标签的钢管通过基座惯性焊焊接在一起；惯性焊属于固态焊接，在工件接触面相互快速摩擦，机械能转化为热能，使接触摩擦部位发热（温度达到熔点以下）处于热塑状态，然后顶锻，焊为一体。摩擦焊不产生烟尘，也没有其它焊接污染产生。</w:t>
            </w:r>
          </w:p>
          <w:p w14:paraId="6D32585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激光焊接：把爆破片和扩散体通过激光焊焊接到一起；</w:t>
            </w:r>
          </w:p>
          <w:p w14:paraId="5D76D27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惯性焊：把经过基座惯性焊的工件和经过激光焊接后的工件通过惯性焊焊接在一起。</w:t>
            </w:r>
          </w:p>
          <w:p w14:paraId="7044D5F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检测：通过气密检测仪检测惯性焊后的工件是否漏气，此工序产生不合格品；</w:t>
            </w:r>
          </w:p>
          <w:p w14:paraId="6841940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充气+凸焊：先充入氦气、氩气或氮气，然后通过凸焊机（电阻焊）把小球（此类型气体发生器腔体上的一个部件）跟腔体焊接在一起；凸焊（电阻焊）是电极对气体发生器部分零部件施压并通电，电流通过金属件紧贴的接触部位时，其电阻较大，发热并熔融接触点，在电极压力作用下，接触点处焊为一体。电阻焊无需焊材、焊剂，没有焊接烟尘产生。</w:t>
            </w:r>
          </w:p>
          <w:p w14:paraId="4DF77CB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称重：通过天平称量凸焊后工件的重量，此工序会产生不合格品；</w:t>
            </w:r>
          </w:p>
          <w:p w14:paraId="3962B60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气密检测：通过气密检测仪检测工件的气密性，此工序产生不合格品；</w:t>
            </w:r>
          </w:p>
          <w:p w14:paraId="3E36E94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引爆器铆接：通过铆接机把引爆器铆接进气密检测合格的产品上；</w:t>
            </w:r>
          </w:p>
          <w:p w14:paraId="7D1BDA1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短路片压接+电子检测：把短路片通过压接机压接到铆接好引爆器的工件上，通过电子检测仪检测电阻等特性，此工序会产生不合格品；</w:t>
            </w:r>
          </w:p>
          <w:p w14:paraId="5C02BCF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相机检查短路片+称重：通过相机拍照检查短路片是否符合要求，再通过称重机称重，看是否符合要求，此工序会产生不合格品；</w:t>
            </w:r>
          </w:p>
          <w:p w14:paraId="4E2D582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打包：符合要求的产品打包、入库。</w:t>
            </w:r>
          </w:p>
          <w:p w14:paraId="4B2816F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kern w:val="0"/>
                <w:lang w:val="en-US" w:eastAsia="zh-CN"/>
              </w:rPr>
            </w:pPr>
            <w:r>
              <w:rPr>
                <w:rFonts w:hint="eastAsia"/>
                <w:color w:val="auto"/>
                <w:kern w:val="0"/>
                <w:lang w:val="en-US" w:eastAsia="zh-CN"/>
              </w:rPr>
              <w:t>（2）PF双极生产线工艺流程</w:t>
            </w:r>
          </w:p>
          <w:p w14:paraId="31C757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lang w:val="en-US" w:eastAsia="zh-CN"/>
              </w:rPr>
            </w:pPr>
            <w:r>
              <w:rPr>
                <w:rFonts w:hint="eastAsia"/>
                <w:color w:val="auto"/>
                <w:kern w:val="0"/>
                <w:lang w:val="en-US" w:eastAsia="zh-CN"/>
              </w:rPr>
              <w:object>
                <v:shape id="_x0000_i1045" o:spt="75" type="#_x0000_t75" style="height:573pt;width:289.5pt;" o:ole="t" filled="f" o:preferrelative="t" stroked="f" coordsize="21600,21600">
                  <v:path/>
                  <v:fill on="f" focussize="0,0"/>
                  <v:stroke on="f"/>
                  <v:imagedata r:id="rId51" o:title=""/>
                  <o:lock v:ext="edit" aspectratio="f"/>
                  <w10:wrap type="none"/>
                  <w10:anchorlock/>
                </v:shape>
                <o:OLEObject Type="Embed" ProgID="Visio.Drawing.11" ShapeID="_x0000_i1045" DrawAspect="Content" ObjectID="_1468075745" r:id="rId50">
                  <o:LockedField>false</o:LockedField>
                </o:OLEObject>
              </w:object>
            </w:r>
          </w:p>
          <w:p w14:paraId="260A8D2E">
            <w:pPr>
              <w:adjustRightInd w:val="0"/>
              <w:snapToGrid w:val="0"/>
              <w:spacing w:line="360" w:lineRule="auto"/>
              <w:jc w:val="center"/>
              <w:rPr>
                <w:rFonts w:hint="default"/>
                <w:b/>
                <w:bCs/>
                <w:color w:val="auto"/>
                <w:kern w:val="0"/>
                <w:lang w:val="en-US" w:eastAsia="zh-CN"/>
              </w:rPr>
            </w:pPr>
            <w:r>
              <w:rPr>
                <w:rFonts w:hint="eastAsia"/>
                <w:b/>
                <w:bCs/>
                <w:color w:val="auto"/>
                <w:kern w:val="0"/>
                <w:lang w:val="en-US" w:eastAsia="zh-CN"/>
              </w:rPr>
              <w:t>图2-13-2   PF双极生产线流程图（标粗原料厂内自产）</w:t>
            </w:r>
          </w:p>
          <w:p w14:paraId="13E8DDFB">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kern w:val="0"/>
                <w:lang w:val="en-US" w:eastAsia="zh-CN"/>
              </w:rPr>
            </w:pPr>
            <w:r>
              <w:rPr>
                <w:rFonts w:hint="eastAsia" w:cs="Times New Roman"/>
                <w:b/>
                <w:bCs/>
                <w:color w:val="auto"/>
                <w:kern w:val="0"/>
                <w:lang w:val="en-US" w:eastAsia="zh-CN"/>
              </w:rPr>
              <w:t>工艺流程</w:t>
            </w:r>
            <w:r>
              <w:rPr>
                <w:rFonts w:hint="default" w:ascii="Times New Roman" w:hAnsi="Times New Roman" w:cs="Times New Roman"/>
                <w:b/>
                <w:bCs/>
                <w:color w:val="auto"/>
                <w:kern w:val="0"/>
                <w:lang w:val="en-US" w:eastAsia="zh-CN"/>
              </w:rPr>
              <w:t>说明：</w:t>
            </w:r>
          </w:p>
          <w:p w14:paraId="5056247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贴标签：通过标签机自动在基板上贴标签；</w:t>
            </w:r>
          </w:p>
          <w:p w14:paraId="3BFCD21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电阻焊焊接：通过电阻焊焊接机把适配器焊接到基板上；</w:t>
            </w:r>
          </w:p>
          <w:p w14:paraId="4BF0E9A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基座成型：通过人工</w:t>
            </w:r>
            <w:r>
              <w:rPr>
                <w:rFonts w:hint="eastAsia" w:cs="Times New Roman"/>
                <w:b w:val="0"/>
                <w:bCs w:val="0"/>
                <w:color w:val="auto"/>
                <w:kern w:val="0"/>
                <w:lang w:val="en-US" w:eastAsia="zh-CN"/>
              </w:rPr>
              <w:t>和</w:t>
            </w:r>
            <w:r>
              <w:rPr>
                <w:rFonts w:hint="default" w:ascii="Times New Roman" w:hAnsi="Times New Roman" w:cs="Times New Roman"/>
                <w:b w:val="0"/>
                <w:bCs w:val="0"/>
                <w:color w:val="auto"/>
                <w:kern w:val="0"/>
                <w:lang w:val="en-US" w:eastAsia="zh-CN"/>
              </w:rPr>
              <w:t>自动机械手把密封圈和引爆器装到基板上，形成基座；</w:t>
            </w:r>
          </w:p>
          <w:p w14:paraId="798E221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lang w:val="en-US" w:eastAsia="zh-CN"/>
              </w:rPr>
            </w:pPr>
            <w:r>
              <w:rPr>
                <w:rFonts w:hint="eastAsia"/>
                <w:color w:val="auto"/>
                <w:kern w:val="0"/>
                <w:lang w:val="en-US" w:eastAsia="zh-CN"/>
              </w:rPr>
              <w:t>点火管组装：通过人工和自动机械手把金属管、固定环、点火芯组装成点火管；</w:t>
            </w:r>
          </w:p>
          <w:p w14:paraId="631D5CA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lang w:val="en-US" w:eastAsia="zh-CN"/>
              </w:rPr>
            </w:pPr>
            <w:r>
              <w:rPr>
                <w:rFonts w:hint="eastAsia"/>
                <w:color w:val="auto"/>
                <w:kern w:val="0"/>
                <w:lang w:val="en-US" w:eastAsia="zh-CN"/>
              </w:rPr>
              <w:t>点火管压接：通过压接机把点火管、过滤棉、缓冲网和基座压接在一起；</w:t>
            </w:r>
          </w:p>
          <w:p w14:paraId="275B4C7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lang w:val="en-US" w:eastAsia="zh-CN"/>
              </w:rPr>
            </w:pPr>
            <w:r>
              <w:rPr>
                <w:rFonts w:hint="eastAsia"/>
                <w:color w:val="auto"/>
                <w:kern w:val="0"/>
                <w:lang w:val="en-US" w:eastAsia="zh-CN"/>
              </w:rPr>
              <w:t>装产气药：通过充药机自动称量产气药，然后把产气药填充到上一工序工件内，再安装固定盖板；</w:t>
            </w:r>
          </w:p>
          <w:p w14:paraId="012F7ED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lang w:val="en-US" w:eastAsia="zh-CN"/>
              </w:rPr>
            </w:pPr>
            <w:r>
              <w:rPr>
                <w:rFonts w:hint="eastAsia"/>
                <w:color w:val="auto"/>
                <w:kern w:val="0"/>
                <w:lang w:val="en-US" w:eastAsia="zh-CN"/>
              </w:rPr>
              <w:t>惯性焊接：惯性焊接分为人工和人工+自动。人工：人工把扩散体放入振动盘，振动盘抖动抖出扩散体，把扩散体通过惯性焊焊接到工件上；人工+自动：人工手动把扩散体放入传送流道，通过机器人，把扩散体通过惯性焊焊接到工件上；</w:t>
            </w:r>
          </w:p>
          <w:p w14:paraId="258C6EB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lang w:val="en-US" w:eastAsia="zh-CN"/>
              </w:rPr>
            </w:pPr>
            <w:r>
              <w:rPr>
                <w:rFonts w:hint="eastAsia"/>
                <w:color w:val="auto"/>
                <w:kern w:val="0"/>
                <w:lang w:val="en-US" w:eastAsia="zh-CN"/>
              </w:rPr>
              <w:t>泄漏检测：通过气密检测仪检测工件的气密性，此工序产生不合格品；</w:t>
            </w:r>
          </w:p>
          <w:p w14:paraId="54030E3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lang w:val="en-US" w:eastAsia="zh-CN"/>
              </w:rPr>
            </w:pPr>
            <w:r>
              <w:rPr>
                <w:rFonts w:hint="eastAsia"/>
                <w:color w:val="auto"/>
                <w:kern w:val="0"/>
                <w:lang w:val="en-US" w:eastAsia="zh-CN"/>
              </w:rPr>
              <w:t>电子检测：人工或机器人装入短路片通过电子检测仪检测电阻等特性，此工序产生不合格品；</w:t>
            </w:r>
          </w:p>
          <w:p w14:paraId="2194CC8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lang w:val="en-US" w:eastAsia="zh-CN"/>
              </w:rPr>
            </w:pPr>
            <w:r>
              <w:rPr>
                <w:rFonts w:hint="eastAsia"/>
                <w:color w:val="auto"/>
                <w:kern w:val="0"/>
                <w:lang w:val="en-US" w:eastAsia="zh-CN"/>
              </w:rPr>
              <w:t>螺钉压接：把螺钉通过压接机压到工件上；</w:t>
            </w:r>
          </w:p>
          <w:p w14:paraId="61FF512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lang w:val="en-US" w:eastAsia="zh-CN"/>
              </w:rPr>
            </w:pPr>
            <w:r>
              <w:rPr>
                <w:rFonts w:hint="eastAsia"/>
                <w:color w:val="auto"/>
                <w:kern w:val="0"/>
                <w:lang w:val="en-US" w:eastAsia="zh-CN"/>
              </w:rPr>
              <w:t>成品包装：螺钉压接后的成品包装入库。</w:t>
            </w:r>
          </w:p>
          <w:p w14:paraId="01125C4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kern w:val="0"/>
                <w:lang w:val="en-US" w:eastAsia="zh-CN"/>
              </w:rPr>
            </w:pPr>
            <w:r>
              <w:rPr>
                <w:rFonts w:hint="eastAsia"/>
                <w:color w:val="auto"/>
                <w:kern w:val="0"/>
                <w:lang w:val="en-US" w:eastAsia="zh-CN"/>
              </w:rPr>
              <w:t>（3）PF单级生产线工艺流程</w:t>
            </w:r>
          </w:p>
          <w:p w14:paraId="66DEF0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lang w:val="en-US" w:eastAsia="zh-CN"/>
              </w:rPr>
            </w:pPr>
            <w:r>
              <w:rPr>
                <w:rFonts w:hint="eastAsia"/>
                <w:color w:val="auto"/>
                <w:kern w:val="0"/>
                <w:lang w:val="en-US" w:eastAsia="zh-CN"/>
              </w:rPr>
              <w:object>
                <v:shape id="_x0000_i1046" o:spt="75" type="#_x0000_t75" style="height:459.75pt;width:289.5pt;" o:ole="t" filled="f" o:preferrelative="t" stroked="f" coordsize="21600,21600">
                  <v:path/>
                  <v:fill on="f" focussize="0,0"/>
                  <v:stroke on="f"/>
                  <v:imagedata r:id="rId53" o:title=""/>
                  <o:lock v:ext="edit" aspectratio="f"/>
                  <w10:wrap type="none"/>
                  <w10:anchorlock/>
                </v:shape>
                <o:OLEObject Type="Embed" ProgID="Visio.Drawing.11" ShapeID="_x0000_i1046" DrawAspect="Content" ObjectID="_1468075746" r:id="rId52">
                  <o:LockedField>false</o:LockedField>
                </o:OLEObject>
              </w:object>
            </w:r>
          </w:p>
          <w:p w14:paraId="1395AC65">
            <w:pPr>
              <w:adjustRightInd w:val="0"/>
              <w:snapToGrid w:val="0"/>
              <w:spacing w:line="360" w:lineRule="auto"/>
              <w:jc w:val="center"/>
              <w:rPr>
                <w:rFonts w:hint="default"/>
                <w:b/>
                <w:bCs/>
                <w:color w:val="auto"/>
                <w:kern w:val="0"/>
                <w:lang w:val="en-US" w:eastAsia="zh-CN"/>
              </w:rPr>
            </w:pPr>
            <w:r>
              <w:rPr>
                <w:rFonts w:hint="eastAsia"/>
                <w:b/>
                <w:bCs/>
                <w:color w:val="auto"/>
                <w:kern w:val="0"/>
                <w:lang w:val="en-US" w:eastAsia="zh-CN"/>
              </w:rPr>
              <w:t>图2-13-3   PF单级生产线工艺流程图（标粗原料厂内自产）</w:t>
            </w:r>
          </w:p>
          <w:p w14:paraId="0EE771F0">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kern w:val="0"/>
                <w:lang w:val="en-US" w:eastAsia="zh-CN"/>
              </w:rPr>
            </w:pPr>
            <w:r>
              <w:rPr>
                <w:rFonts w:hint="eastAsia" w:cs="Times New Roman"/>
                <w:b/>
                <w:bCs/>
                <w:color w:val="auto"/>
                <w:kern w:val="0"/>
                <w:lang w:val="en-US" w:eastAsia="zh-CN"/>
              </w:rPr>
              <w:t>工艺流程</w:t>
            </w:r>
            <w:r>
              <w:rPr>
                <w:rFonts w:hint="default" w:ascii="Times New Roman" w:hAnsi="Times New Roman" w:cs="Times New Roman"/>
                <w:b/>
                <w:bCs/>
                <w:color w:val="auto"/>
                <w:kern w:val="0"/>
                <w:lang w:val="en-US" w:eastAsia="zh-CN"/>
              </w:rPr>
              <w:t>说明：</w:t>
            </w:r>
          </w:p>
          <w:p w14:paraId="22EE440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贴标签：通过标签机自动在基板上贴标签；</w:t>
            </w:r>
          </w:p>
          <w:p w14:paraId="1C78C67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点火管组装：机器人把金属管、固定环、点火芯组装成点火管；</w:t>
            </w:r>
          </w:p>
          <w:p w14:paraId="58DBED9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点火管压接：通过压接机把点火管、过滤棉、缓冲网和基座压接在一起；</w:t>
            </w:r>
          </w:p>
          <w:p w14:paraId="019ECB4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装产气药：通过充药机自动称量产气药，然后把产气药填充到上一工序工件内，再安装固定盖板；</w:t>
            </w:r>
          </w:p>
          <w:p w14:paraId="5508995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惯性焊接：人工或机器把扩散体放入振动盘，振动盘抖动抖出扩散体，把扩散体通过惯性焊焊接到工件上；</w:t>
            </w:r>
          </w:p>
          <w:p w14:paraId="157F2F7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泄漏检测：通过气密检测仪检测工件的气密性，此工序产生不合格品；</w:t>
            </w:r>
          </w:p>
          <w:p w14:paraId="2B4C60B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电子检测：装入短路片通过电子检测仪检测电阻等特性，此工序产生不合格品；</w:t>
            </w:r>
          </w:p>
          <w:p w14:paraId="6D59770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螺钉压接：把螺钉通过压接机压到工件上；</w:t>
            </w:r>
          </w:p>
          <w:p w14:paraId="7171148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lang w:val="en-US" w:eastAsia="zh-CN"/>
              </w:rPr>
            </w:pPr>
            <w:r>
              <w:rPr>
                <w:rFonts w:hint="eastAsia"/>
                <w:color w:val="auto"/>
                <w:kern w:val="0"/>
                <w:lang w:val="en-US" w:eastAsia="zh-CN"/>
              </w:rPr>
              <w:t>成品包装：螺钉压接后的成品包装入库。</w:t>
            </w:r>
          </w:p>
          <w:p w14:paraId="43B761B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lang w:val="en-US" w:eastAsia="zh-CN"/>
              </w:rPr>
            </w:pPr>
            <w:r>
              <w:rPr>
                <w:rFonts w:hint="eastAsia"/>
                <w:color w:val="auto"/>
                <w:kern w:val="0"/>
                <w:lang w:val="en-US" w:eastAsia="zh-CN"/>
              </w:rPr>
              <w:t>（4）PS（side气体发生器手动线）工艺流程</w:t>
            </w:r>
          </w:p>
          <w:p w14:paraId="3504D9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lang w:val="en-US" w:eastAsia="zh-CN"/>
              </w:rPr>
            </w:pPr>
            <w:r>
              <w:rPr>
                <w:rFonts w:hint="eastAsia"/>
                <w:color w:val="auto"/>
                <w:kern w:val="0"/>
                <w:lang w:val="en-US" w:eastAsia="zh-CN"/>
              </w:rPr>
              <w:object>
                <v:shape id="_x0000_i1047" o:spt="75" type="#_x0000_t75" style="height:516pt;width:312pt;" o:ole="t" filled="f" o:preferrelative="t" stroked="f" coordsize="21600,21600">
                  <v:path/>
                  <v:fill on="f" focussize="0,0"/>
                  <v:stroke on="f"/>
                  <v:imagedata r:id="rId55" o:title=""/>
                  <o:lock v:ext="edit" aspectratio="f"/>
                  <w10:wrap type="none"/>
                  <w10:anchorlock/>
                </v:shape>
                <o:OLEObject Type="Embed" ProgID="Visio.Drawing.11" ShapeID="_x0000_i1047" DrawAspect="Content" ObjectID="_1468075747" r:id="rId54">
                  <o:LockedField>false</o:LockedField>
                </o:OLEObject>
              </w:object>
            </w:r>
          </w:p>
          <w:p w14:paraId="2F2912A1">
            <w:pPr>
              <w:adjustRightInd w:val="0"/>
              <w:snapToGrid w:val="0"/>
              <w:spacing w:line="360" w:lineRule="auto"/>
              <w:jc w:val="center"/>
              <w:rPr>
                <w:rFonts w:hint="default"/>
                <w:b/>
                <w:bCs/>
                <w:color w:val="auto"/>
                <w:kern w:val="0"/>
                <w:lang w:val="en-US" w:eastAsia="zh-CN"/>
              </w:rPr>
            </w:pPr>
            <w:r>
              <w:rPr>
                <w:rFonts w:hint="eastAsia"/>
                <w:b/>
                <w:bCs/>
                <w:color w:val="auto"/>
                <w:kern w:val="0"/>
                <w:lang w:val="en-US" w:eastAsia="zh-CN"/>
              </w:rPr>
              <w:t>图2-13-4   side气体发生器手动线工艺流程图（标粗原料厂内自产）</w:t>
            </w:r>
          </w:p>
          <w:p w14:paraId="7E7E52B0">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kern w:val="0"/>
                <w:lang w:val="en-US" w:eastAsia="zh-CN"/>
              </w:rPr>
            </w:pPr>
            <w:r>
              <w:rPr>
                <w:rFonts w:hint="eastAsia" w:cs="Times New Roman"/>
                <w:b/>
                <w:bCs/>
                <w:color w:val="auto"/>
                <w:kern w:val="0"/>
                <w:lang w:val="en-US" w:eastAsia="zh-CN"/>
              </w:rPr>
              <w:t>工艺流程</w:t>
            </w:r>
            <w:r>
              <w:rPr>
                <w:rFonts w:hint="default" w:ascii="Times New Roman" w:hAnsi="Times New Roman" w:cs="Times New Roman"/>
                <w:b/>
                <w:bCs/>
                <w:color w:val="auto"/>
                <w:kern w:val="0"/>
                <w:lang w:val="en-US" w:eastAsia="zh-CN"/>
              </w:rPr>
              <w:t>说明：</w:t>
            </w:r>
          </w:p>
          <w:p w14:paraId="71668E2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贴标签：通过标签机自动在腔体上贴标签；</w:t>
            </w:r>
          </w:p>
          <w:p w14:paraId="4FEAA9A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铆接：通过铆接机把垫片和滤网铆接在腔体上；</w:t>
            </w:r>
          </w:p>
          <w:p w14:paraId="1A30CD0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焊接：通过拉弧式焊接的方式把螺钉焊接在腔体上，拉弧式螺柱焊机无电容充电过程，通过焊接电源放电，晶闸管控制放电时间来完成整个焊接过程，放电时间为5-500毫秒，过程中不使用焊丝，因此不考虑烟尘；</w:t>
            </w:r>
          </w:p>
          <w:p w14:paraId="7CF2873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引爆器组装：机器人把密封圈、点火芯、盖子和海绵体组装成引爆器；</w:t>
            </w:r>
          </w:p>
          <w:p w14:paraId="59BF440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装产气药：通过充药机自动称量产气药、黑药，然后把产气药、黑药填充到腔体内，同时把阻隔器、铜管、引爆器装入腔体内，并充入氦气；</w:t>
            </w:r>
          </w:p>
          <w:p w14:paraId="1A0B257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铆接：通过铆接机把阻隔器、铜管、引爆器和腔体铆接在一起；</w:t>
            </w:r>
          </w:p>
          <w:p w14:paraId="1E8C14A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泄漏检测：通过气密检测仪检测工件的气密性，检测产品是否存在气体泄漏，此工序产生不合格品；</w:t>
            </w:r>
          </w:p>
          <w:p w14:paraId="263D416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电子检测：装入短路片通过电子检测仪检测电阻等特性，此工序产生不合格品；</w:t>
            </w:r>
          </w:p>
          <w:p w14:paraId="1DBDC27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检测：通过电子检测仪检测工件的电阻等特性，此工序产生不合格品；</w:t>
            </w:r>
          </w:p>
          <w:p w14:paraId="69FEF4C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成品包装：检测合格的成品包装入库。</w:t>
            </w:r>
          </w:p>
          <w:p w14:paraId="761F868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lang w:val="en-US" w:eastAsia="zh-CN"/>
              </w:rPr>
            </w:pPr>
            <w:r>
              <w:rPr>
                <w:rFonts w:hint="eastAsia"/>
                <w:color w:val="auto"/>
                <w:kern w:val="0"/>
                <w:lang w:val="en-US" w:eastAsia="zh-CN"/>
              </w:rPr>
              <w:t>（5）PS（side气体发生器自动线）工艺流程</w:t>
            </w:r>
          </w:p>
          <w:p w14:paraId="46F72E7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kern w:val="0"/>
                <w:lang w:val="en-US" w:eastAsia="zh-CN"/>
              </w:rPr>
            </w:pPr>
            <w:r>
              <w:rPr>
                <w:rFonts w:hint="eastAsia"/>
                <w:color w:val="auto"/>
                <w:kern w:val="0"/>
                <w:lang w:val="en-US" w:eastAsia="zh-CN"/>
              </w:rPr>
              <w:object>
                <v:shape id="_x0000_i1048" o:spt="75" type="#_x0000_t75" style="height:573pt;width:380.25pt;" o:ole="t" filled="f" o:preferrelative="t" stroked="f" coordsize="21600,21600">
                  <v:path/>
                  <v:fill on="f" focussize="0,0"/>
                  <v:stroke on="f"/>
                  <v:imagedata r:id="rId57" o:title=""/>
                  <o:lock v:ext="edit" aspectratio="f"/>
                  <w10:wrap type="none"/>
                  <w10:anchorlock/>
                </v:shape>
                <o:OLEObject Type="Embed" ProgID="Visio.Drawing.11" ShapeID="_x0000_i1048" DrawAspect="Content" ObjectID="_1468075748" r:id="rId56">
                  <o:LockedField>false</o:LockedField>
                </o:OLEObject>
              </w:object>
            </w:r>
          </w:p>
          <w:p w14:paraId="1ABC2B7E">
            <w:pPr>
              <w:adjustRightInd w:val="0"/>
              <w:snapToGrid w:val="0"/>
              <w:spacing w:line="360" w:lineRule="auto"/>
              <w:jc w:val="center"/>
              <w:rPr>
                <w:rFonts w:hint="default"/>
                <w:b/>
                <w:bCs/>
                <w:color w:val="auto"/>
                <w:kern w:val="0"/>
                <w:lang w:val="en-US" w:eastAsia="zh-CN"/>
              </w:rPr>
            </w:pPr>
            <w:r>
              <w:rPr>
                <w:rFonts w:hint="eastAsia"/>
                <w:b/>
                <w:bCs/>
                <w:color w:val="auto"/>
                <w:kern w:val="0"/>
                <w:lang w:val="en-US" w:eastAsia="zh-CN"/>
              </w:rPr>
              <w:t>图2-13-5   side气体发生器自动线工艺流程图（标粗原料厂内自产）</w:t>
            </w:r>
          </w:p>
          <w:p w14:paraId="05D64102">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kern w:val="0"/>
                <w:lang w:val="en-US" w:eastAsia="zh-CN"/>
              </w:rPr>
            </w:pPr>
            <w:r>
              <w:rPr>
                <w:rFonts w:hint="eastAsia" w:cs="Times New Roman"/>
                <w:b/>
                <w:bCs/>
                <w:color w:val="auto"/>
                <w:kern w:val="0"/>
                <w:lang w:val="en-US" w:eastAsia="zh-CN"/>
              </w:rPr>
              <w:t>工艺流程</w:t>
            </w:r>
            <w:r>
              <w:rPr>
                <w:rFonts w:hint="default" w:ascii="Times New Roman" w:hAnsi="Times New Roman" w:cs="Times New Roman"/>
                <w:b/>
                <w:bCs/>
                <w:color w:val="auto"/>
                <w:kern w:val="0"/>
                <w:lang w:val="en-US" w:eastAsia="zh-CN"/>
              </w:rPr>
              <w:t>说明：</w:t>
            </w:r>
          </w:p>
          <w:p w14:paraId="0CEB606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加药：通过充药机自动称量产气药、黑药，然后把产气药、黑药填充到铜管内，先在铜管底部加一层黑药，然后在中部加一层产气药，再在顶部加一层黑药；</w:t>
            </w:r>
          </w:p>
          <w:p w14:paraId="3DFC12F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打凸痕+震动：在铜管上打凸痕以定位IMI角度，然后铜管放入转盘上震动，使得加入的产气药和黑药更加紧实；</w:t>
            </w:r>
          </w:p>
          <w:p w14:paraId="4D9C0B7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加VCS：机械臂自动加入 VCS（弹簧、盖子）；</w:t>
            </w:r>
          </w:p>
          <w:p w14:paraId="4BB4588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压入：通过压机自动压入引爆器和密封圈；</w:t>
            </w:r>
          </w:p>
          <w:p w14:paraId="5E18F9C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螺钉焊接：把螺钉通过拉弧式螺钉焊接的方式焊接到腔体上；</w:t>
            </w:r>
          </w:p>
          <w:p w14:paraId="6452EA6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滤网安装：通过机械臂把滤网安装在腔体上；</w:t>
            </w:r>
          </w:p>
          <w:p w14:paraId="4800DC5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铆接：把压入好的铜管和安装好滤网后的腔体铆接在一起；</w:t>
            </w:r>
          </w:p>
          <w:p w14:paraId="03E15CC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安装：把短路片通过机械臂安装在铆接好的工件上；</w:t>
            </w:r>
          </w:p>
          <w:p w14:paraId="6835C37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检测：通过电子检测仪检测电阻等特性、滤网是否丢失等，此工序产生不合格品；</w:t>
            </w:r>
          </w:p>
          <w:p w14:paraId="31D9568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贴标签：通过标签机自动在产品上贴标签；</w:t>
            </w:r>
          </w:p>
          <w:p w14:paraId="56B7E2D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检测：通过AI相机拍照检测工件标签的完整性、针脚是否完好等，此工序产生不合格品；</w:t>
            </w:r>
          </w:p>
          <w:p w14:paraId="2DA3AB2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包装：合格品包装入库。</w:t>
            </w:r>
          </w:p>
          <w:p w14:paraId="7829298D">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b/>
                <w:bCs/>
                <w:color w:val="auto"/>
                <w:kern w:val="0"/>
                <w:lang w:val="en-US" w:eastAsia="zh-CN"/>
              </w:rPr>
            </w:pPr>
            <w:r>
              <w:rPr>
                <w:rFonts w:hint="eastAsia"/>
                <w:b/>
                <w:bCs/>
                <w:color w:val="auto"/>
                <w:kern w:val="0"/>
                <w:lang w:val="en-US" w:eastAsia="zh-CN"/>
              </w:rPr>
              <w:t>⑩小型气体发生器MGC工艺流程</w:t>
            </w:r>
          </w:p>
          <w:p w14:paraId="3BD3C81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kern w:val="0"/>
                <w:lang w:val="en-US" w:eastAsia="zh-CN"/>
              </w:rPr>
            </w:pPr>
            <w:r>
              <w:rPr>
                <w:rFonts w:hint="eastAsia"/>
                <w:color w:val="auto"/>
                <w:kern w:val="0"/>
                <w:lang w:val="en-US" w:eastAsia="zh-CN"/>
              </w:rPr>
              <w:object>
                <v:shape id="_x0000_i1049" o:spt="75" type="#_x0000_t75" style="height:530.25pt;width:346.5pt;" o:ole="t" filled="f" o:preferrelative="t" stroked="f" coordsize="21600,21600">
                  <v:path/>
                  <v:fill on="f" focussize="0,0"/>
                  <v:stroke on="f"/>
                  <v:imagedata r:id="rId59" o:title=""/>
                  <o:lock v:ext="edit" aspectratio="f"/>
                  <w10:wrap type="none"/>
                  <w10:anchorlock/>
                </v:shape>
                <o:OLEObject Type="Embed" ProgID="Visio.Drawing.11" ShapeID="_x0000_i1049" DrawAspect="Content" ObjectID="_1468075749" r:id="rId58">
                  <o:LockedField>false</o:LockedField>
                </o:OLEObject>
              </w:object>
            </w:r>
          </w:p>
          <w:p w14:paraId="6868ECDC">
            <w:pPr>
              <w:adjustRightInd w:val="0"/>
              <w:snapToGrid w:val="0"/>
              <w:spacing w:line="360" w:lineRule="auto"/>
              <w:jc w:val="center"/>
              <w:rPr>
                <w:rFonts w:hint="default"/>
                <w:b/>
                <w:bCs/>
                <w:color w:val="auto"/>
                <w:kern w:val="0"/>
                <w:lang w:val="en-US" w:eastAsia="zh-CN"/>
              </w:rPr>
            </w:pPr>
            <w:r>
              <w:rPr>
                <w:rFonts w:hint="eastAsia"/>
                <w:b/>
                <w:bCs/>
                <w:color w:val="auto"/>
                <w:kern w:val="0"/>
                <w:lang w:val="en-US" w:eastAsia="zh-CN"/>
              </w:rPr>
              <w:t>图2-14   小型气体发生器MGC工艺流程图（标粗原料厂内自产）</w:t>
            </w:r>
          </w:p>
          <w:p w14:paraId="0822C0C7">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kern w:val="0"/>
                <w:lang w:val="en-US" w:eastAsia="zh-CN"/>
              </w:rPr>
            </w:pPr>
            <w:r>
              <w:rPr>
                <w:rFonts w:hint="eastAsia" w:cs="Times New Roman"/>
                <w:b/>
                <w:bCs/>
                <w:color w:val="auto"/>
                <w:kern w:val="0"/>
                <w:lang w:val="en-US" w:eastAsia="zh-CN"/>
              </w:rPr>
              <w:t>工艺流程</w:t>
            </w:r>
            <w:r>
              <w:rPr>
                <w:rFonts w:hint="default" w:ascii="Times New Roman" w:hAnsi="Times New Roman" w:cs="Times New Roman"/>
                <w:b/>
                <w:bCs/>
                <w:color w:val="auto"/>
                <w:kern w:val="0"/>
                <w:lang w:val="en-US" w:eastAsia="zh-CN"/>
              </w:rPr>
              <w:t>说明：</w:t>
            </w:r>
          </w:p>
          <w:p w14:paraId="3669CFA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安装固定器（Holder）：在转盘上1上机械手取出固定器（Holder）并放入到槽（nest）中；</w:t>
            </w:r>
          </w:p>
          <w:p w14:paraId="303724D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安装密封圈（O-ring）：在转盘1上机械手安装密封圈；</w:t>
            </w:r>
          </w:p>
          <w:p w14:paraId="4F51FBC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安装点火芯：在转盘1上机械手安装点火芯；</w:t>
            </w:r>
          </w:p>
          <w:p w14:paraId="59E8C36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密封测试：通过气密检测设备检测密封性，此工序产生不合格品；</w:t>
            </w:r>
          </w:p>
          <w:p w14:paraId="4F929E9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铆接：通过压缸设备把固定器和点火芯铆接在一起；</w:t>
            </w:r>
          </w:p>
          <w:p w14:paraId="7FC2376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点胶：用点胶头把液态软胶点到固定器内环中，固定密封；</w:t>
            </w:r>
          </w:p>
          <w:p w14:paraId="0DF8490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料杯（CUP）安装：在加药轨道上机器安装加药料杯；</w:t>
            </w:r>
          </w:p>
          <w:p w14:paraId="692F8BA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激光打码：通过激光在料杯上打码，为了追溯产品批次的信息；</w:t>
            </w:r>
          </w:p>
          <w:p w14:paraId="07FA688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加BTU（无烟火药）：设备自动根据需求添加BTU；</w:t>
            </w:r>
          </w:p>
          <w:p w14:paraId="44C989C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加产气药：通过充药机自动称量产气药加入料杯中；</w:t>
            </w:r>
          </w:p>
          <w:p w14:paraId="09C93A3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铆接：在转盘2上将引爆器和带有产气药的CUP铆接在一起；</w:t>
            </w:r>
          </w:p>
          <w:p w14:paraId="46EEC43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短路片安装：将短路片安装在固定器内；</w:t>
            </w:r>
          </w:p>
          <w:p w14:paraId="489EEAE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检测：通过检测设备检测电性能，同时通过相机拍照检测，此工序会产生不合格品；</w:t>
            </w:r>
          </w:p>
          <w:p w14:paraId="7C53283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包装入库：成品包装入库。</w:t>
            </w:r>
          </w:p>
          <w:p w14:paraId="3A34A171">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kern w:val="0"/>
                <w:lang w:val="en-US" w:eastAsia="zh-CN"/>
              </w:rPr>
            </w:pPr>
            <w:r>
              <w:rPr>
                <w:rFonts w:hint="default" w:ascii="Times New Roman" w:hAnsi="Times New Roman" w:cs="Times New Roman"/>
                <w:b/>
                <w:bCs/>
                <w:color w:val="auto"/>
                <w:kern w:val="0"/>
                <w:lang w:val="en-US" w:eastAsia="zh-CN"/>
              </w:rPr>
              <w:t>⑪小型气体发生器PSS4电源切断器工艺流程</w:t>
            </w:r>
          </w:p>
          <w:p w14:paraId="6F269E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lang w:val="en-US" w:eastAsia="zh-CN"/>
              </w:rPr>
            </w:pPr>
            <w:r>
              <w:rPr>
                <w:rFonts w:hint="eastAsia"/>
                <w:color w:val="auto"/>
                <w:kern w:val="0"/>
                <w:lang w:val="en-US" w:eastAsia="zh-CN"/>
              </w:rPr>
              <w:object>
                <v:shape id="_x0000_i1050" o:spt="75" type="#_x0000_t75" style="height:388.5pt;width:366pt;" o:ole="t" filled="f" o:preferrelative="t" stroked="f" coordsize="21600,21600">
                  <v:path/>
                  <v:fill on="f" focussize="0,0"/>
                  <v:stroke on="f"/>
                  <v:imagedata r:id="rId61" o:title=""/>
                  <o:lock v:ext="edit" aspectratio="f"/>
                  <w10:wrap type="none"/>
                  <w10:anchorlock/>
                </v:shape>
                <o:OLEObject Type="Embed" ProgID="Visio.Drawing.11" ShapeID="_x0000_i1050" DrawAspect="Content" ObjectID="_1468075750" r:id="rId60">
                  <o:LockedField>false</o:LockedField>
                </o:OLEObject>
              </w:object>
            </w:r>
          </w:p>
          <w:p w14:paraId="3977A0EE">
            <w:pPr>
              <w:adjustRightInd w:val="0"/>
              <w:snapToGrid w:val="0"/>
              <w:spacing w:line="360" w:lineRule="auto"/>
              <w:jc w:val="center"/>
              <w:rPr>
                <w:rFonts w:hint="default"/>
                <w:b/>
                <w:bCs/>
                <w:color w:val="auto"/>
                <w:kern w:val="0"/>
                <w:lang w:val="en-US" w:eastAsia="zh-CN"/>
              </w:rPr>
            </w:pPr>
            <w:r>
              <w:rPr>
                <w:rFonts w:hint="eastAsia"/>
                <w:b/>
                <w:bCs/>
                <w:color w:val="auto"/>
                <w:kern w:val="0"/>
                <w:lang w:val="en-US" w:eastAsia="zh-CN"/>
              </w:rPr>
              <w:t>图2-15   小型气体发生器PSS4电源切断器工艺流程图（标粗原料厂内自产）</w:t>
            </w:r>
          </w:p>
          <w:p w14:paraId="37261E46">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kern w:val="0"/>
                <w:lang w:val="en-US" w:eastAsia="zh-CN"/>
              </w:rPr>
            </w:pPr>
            <w:r>
              <w:rPr>
                <w:rFonts w:hint="eastAsia" w:cs="Times New Roman"/>
                <w:b/>
                <w:bCs/>
                <w:color w:val="auto"/>
                <w:kern w:val="0"/>
                <w:lang w:val="en-US" w:eastAsia="zh-CN"/>
              </w:rPr>
              <w:t>工艺流程</w:t>
            </w:r>
            <w:r>
              <w:rPr>
                <w:rFonts w:hint="default" w:ascii="Times New Roman" w:hAnsi="Times New Roman" w:cs="Times New Roman"/>
                <w:b/>
                <w:bCs/>
                <w:color w:val="auto"/>
                <w:kern w:val="0"/>
                <w:lang w:val="en-US" w:eastAsia="zh-CN"/>
              </w:rPr>
              <w:t>说明：</w:t>
            </w:r>
          </w:p>
          <w:p w14:paraId="1E8B714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注塑：将点火具、基板、尼龙放入模具中进行注塑，原理同点火具注塑，该过程产生非甲烷总烃；</w:t>
            </w:r>
          </w:p>
          <w:p w14:paraId="6A5A729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安装活塞：活塞套上密封圈后安装在注塑腔体内；</w:t>
            </w:r>
          </w:p>
          <w:p w14:paraId="1D1C04F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安装冷却器：将两个冷却器安装到切割腔体内；</w:t>
            </w:r>
          </w:p>
          <w:p w14:paraId="63275E9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安装汇流排：汇流排安装两个密封圈然后安装在切割腔体上；</w:t>
            </w:r>
          </w:p>
          <w:p w14:paraId="0BE658E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气密检测：对汇流排及切割腔体进行气密检测；</w:t>
            </w:r>
          </w:p>
          <w:p w14:paraId="1D92E16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铆接：将汇流排切割腔体组合体安装在注塑腔体上，然后由旋铆机进行铆接；</w:t>
            </w:r>
          </w:p>
          <w:p w14:paraId="7FAF0F7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短路环安装：将短路环装入注塑腔体内；</w:t>
            </w:r>
          </w:p>
          <w:p w14:paraId="1F0A11D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激光打码：将成品打码追溯，该过程会产生少量烟尘，因产生量较小，不定量分析；</w:t>
            </w:r>
          </w:p>
          <w:p w14:paraId="70FC7C4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color w:val="auto"/>
                <w:kern w:val="0"/>
                <w:lang w:val="en-US" w:eastAsia="zh-CN"/>
              </w:rPr>
            </w:pPr>
            <w:r>
              <w:rPr>
                <w:rFonts w:hint="default" w:ascii="Times New Roman" w:hAnsi="Times New Roman" w:cs="Times New Roman"/>
                <w:b w:val="0"/>
                <w:bCs w:val="0"/>
                <w:color w:val="auto"/>
                <w:kern w:val="0"/>
                <w:lang w:val="en-US" w:eastAsia="zh-CN"/>
              </w:rPr>
              <w:t>成品装箱：机器人进行自动装箱入库。</w:t>
            </w:r>
          </w:p>
          <w:p w14:paraId="6759D544">
            <w:pPr>
              <w:pStyle w:val="7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left"/>
              <w:textAlignment w:val="auto"/>
              <w:rPr>
                <w:rFonts w:hint="default"/>
                <w:b/>
                <w:bCs/>
                <w:color w:val="auto"/>
                <w:kern w:val="0"/>
                <w:sz w:val="21"/>
                <w:szCs w:val="21"/>
                <w:lang w:val="en-US" w:eastAsia="zh-CN" w:bidi="ar"/>
              </w:rPr>
            </w:pPr>
            <w:r>
              <w:rPr>
                <w:rFonts w:hint="eastAsia"/>
                <w:b/>
                <w:bCs/>
                <w:color w:val="auto"/>
                <w:kern w:val="0"/>
                <w:sz w:val="21"/>
                <w:szCs w:val="21"/>
                <w:lang w:val="en-US" w:eastAsia="zh-CN" w:bidi="ar"/>
              </w:rPr>
              <w:t>3、现有项目污染物达标排放情况</w:t>
            </w:r>
          </w:p>
          <w:p w14:paraId="2327B53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kern w:val="0"/>
                <w:lang w:val="en-US" w:eastAsia="zh-CN"/>
              </w:rPr>
            </w:pPr>
            <w:r>
              <w:rPr>
                <w:rFonts w:hint="eastAsia"/>
                <w:color w:val="auto"/>
                <w:kern w:val="0"/>
                <w:lang w:val="en-US" w:eastAsia="zh-CN"/>
              </w:rPr>
              <w:t>根据无锡国通环境检测技术有限公司2024年07月26日检测报告（报告编号：GTJC-04-70811-2021）中监测数据，现有项目污染物监测结果如下：</w:t>
            </w:r>
          </w:p>
          <w:p w14:paraId="5B77807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jc w:val="both"/>
              <w:textAlignment w:val="auto"/>
              <w:rPr>
                <w:rFonts w:hint="default"/>
                <w:b/>
                <w:bCs/>
                <w:color w:val="auto"/>
                <w:kern w:val="0"/>
                <w:sz w:val="21"/>
                <w:szCs w:val="21"/>
                <w:lang w:val="en-US" w:eastAsia="zh-CN"/>
              </w:rPr>
            </w:pPr>
            <w:r>
              <w:rPr>
                <w:rFonts w:hint="eastAsia"/>
                <w:b/>
                <w:bCs/>
                <w:color w:val="auto"/>
                <w:kern w:val="0"/>
                <w:sz w:val="21"/>
                <w:szCs w:val="21"/>
                <w:lang w:val="en-US" w:eastAsia="zh-CN"/>
              </w:rPr>
              <w:t>废水：</w:t>
            </w:r>
          </w:p>
          <w:p w14:paraId="4685D3B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kern w:val="0"/>
                <w:sz w:val="21"/>
                <w:szCs w:val="21"/>
                <w:lang w:val="en-US" w:eastAsia="zh-CN"/>
              </w:rPr>
            </w:pPr>
            <w:r>
              <w:rPr>
                <w:rFonts w:hint="eastAsia"/>
                <w:color w:val="auto"/>
                <w:kern w:val="0"/>
                <w:sz w:val="21"/>
                <w:szCs w:val="21"/>
                <w:lang w:val="en-US" w:eastAsia="zh-CN"/>
              </w:rPr>
              <w:t>废水监测结果见下表：</w:t>
            </w:r>
          </w:p>
          <w:p w14:paraId="28F93A9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b/>
                <w:bCs/>
                <w:color w:val="auto"/>
                <w:kern w:val="0"/>
                <w:sz w:val="21"/>
                <w:szCs w:val="21"/>
                <w:lang w:val="en-US" w:eastAsia="zh-CN"/>
              </w:rPr>
            </w:pPr>
            <w:r>
              <w:rPr>
                <w:rFonts w:hint="eastAsia"/>
                <w:b/>
                <w:bCs/>
                <w:color w:val="auto"/>
                <w:kern w:val="0"/>
                <w:sz w:val="21"/>
                <w:szCs w:val="21"/>
                <w:lang w:val="en-US" w:eastAsia="zh-CN"/>
              </w:rPr>
              <w:t>表2-7.1   废水监测结果表</w:t>
            </w:r>
          </w:p>
          <w:tbl>
            <w:tblPr>
              <w:tblStyle w:val="60"/>
              <w:tblW w:w="8609"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95"/>
              <w:gridCol w:w="1126"/>
              <w:gridCol w:w="756"/>
              <w:gridCol w:w="1389"/>
              <w:gridCol w:w="1440"/>
              <w:gridCol w:w="1770"/>
              <w:gridCol w:w="722"/>
              <w:gridCol w:w="711"/>
            </w:tblGrid>
            <w:tr w14:paraId="6C33EE0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95" w:type="dxa"/>
                  <w:vMerge w:val="restart"/>
                  <w:tcBorders>
                    <w:tl2br w:val="nil"/>
                    <w:tr2bl w:val="nil"/>
                  </w:tcBorders>
                  <w:vAlign w:val="center"/>
                </w:tcPr>
                <w:p w14:paraId="6538931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default" w:ascii="Times New Roman" w:hAnsi="Times New Roman" w:cs="Times New Roman"/>
                      <w:b/>
                      <w:bCs/>
                      <w:color w:val="auto"/>
                      <w:kern w:val="0"/>
                      <w:sz w:val="21"/>
                      <w:szCs w:val="21"/>
                      <w:vertAlign w:val="baseline"/>
                      <w:lang w:val="en-US" w:eastAsia="zh-CN"/>
                    </w:rPr>
                    <w:t>检测点位</w:t>
                  </w:r>
                </w:p>
              </w:tc>
              <w:tc>
                <w:tcPr>
                  <w:tcW w:w="1126" w:type="dxa"/>
                  <w:vMerge w:val="restart"/>
                  <w:tcBorders>
                    <w:tl2br w:val="nil"/>
                    <w:tr2bl w:val="nil"/>
                  </w:tcBorders>
                  <w:vAlign w:val="center"/>
                </w:tcPr>
                <w:p w14:paraId="7952F2A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default" w:ascii="Times New Roman" w:hAnsi="Times New Roman" w:cs="Times New Roman"/>
                      <w:b/>
                      <w:bCs/>
                      <w:color w:val="auto"/>
                      <w:kern w:val="0"/>
                      <w:sz w:val="21"/>
                      <w:szCs w:val="21"/>
                      <w:vertAlign w:val="baseline"/>
                      <w:lang w:val="en-US" w:eastAsia="zh-CN"/>
                    </w:rPr>
                    <w:t>检测项目</w:t>
                  </w:r>
                </w:p>
              </w:tc>
              <w:tc>
                <w:tcPr>
                  <w:tcW w:w="756" w:type="dxa"/>
                  <w:vMerge w:val="restart"/>
                  <w:tcBorders>
                    <w:tl2br w:val="nil"/>
                    <w:tr2bl w:val="nil"/>
                  </w:tcBorders>
                  <w:vAlign w:val="center"/>
                </w:tcPr>
                <w:p w14:paraId="0F07461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default" w:ascii="Times New Roman" w:hAnsi="Times New Roman" w:cs="Times New Roman"/>
                      <w:b/>
                      <w:bCs/>
                      <w:color w:val="auto"/>
                      <w:kern w:val="0"/>
                      <w:sz w:val="21"/>
                      <w:szCs w:val="21"/>
                      <w:vertAlign w:val="baseline"/>
                      <w:lang w:val="en-US" w:eastAsia="zh-CN"/>
                    </w:rPr>
                    <w:t>单位</w:t>
                  </w:r>
                </w:p>
              </w:tc>
              <w:tc>
                <w:tcPr>
                  <w:tcW w:w="4599" w:type="dxa"/>
                  <w:gridSpan w:val="3"/>
                  <w:tcBorders>
                    <w:tl2br w:val="nil"/>
                    <w:tr2bl w:val="nil"/>
                  </w:tcBorders>
                  <w:vAlign w:val="center"/>
                </w:tcPr>
                <w:p w14:paraId="0FBF6F9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default" w:ascii="Times New Roman" w:hAnsi="Times New Roman" w:cs="Times New Roman"/>
                      <w:b/>
                      <w:bCs/>
                      <w:color w:val="auto"/>
                      <w:kern w:val="0"/>
                      <w:sz w:val="21"/>
                      <w:szCs w:val="21"/>
                      <w:vertAlign w:val="baseline"/>
                      <w:lang w:val="en-US" w:eastAsia="zh-CN"/>
                    </w:rPr>
                    <w:t>检测值</w:t>
                  </w:r>
                </w:p>
              </w:tc>
              <w:tc>
                <w:tcPr>
                  <w:tcW w:w="722" w:type="dxa"/>
                  <w:vMerge w:val="restart"/>
                  <w:tcBorders>
                    <w:tl2br w:val="nil"/>
                    <w:tr2bl w:val="nil"/>
                  </w:tcBorders>
                  <w:vAlign w:val="center"/>
                </w:tcPr>
                <w:p w14:paraId="5A6B3AF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标准限值</w:t>
                  </w:r>
                </w:p>
              </w:tc>
              <w:tc>
                <w:tcPr>
                  <w:tcW w:w="711" w:type="dxa"/>
                  <w:vMerge w:val="restart"/>
                  <w:tcBorders>
                    <w:tl2br w:val="nil"/>
                    <w:tr2bl w:val="nil"/>
                  </w:tcBorders>
                  <w:vAlign w:val="center"/>
                </w:tcPr>
                <w:p w14:paraId="12A9747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达标判定</w:t>
                  </w:r>
                </w:p>
              </w:tc>
            </w:tr>
            <w:tr w14:paraId="74D558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95" w:type="dxa"/>
                  <w:vMerge w:val="continue"/>
                  <w:tcBorders>
                    <w:tl2br w:val="nil"/>
                    <w:tr2bl w:val="nil"/>
                  </w:tcBorders>
                  <w:vAlign w:val="center"/>
                </w:tcPr>
                <w:p w14:paraId="5743BE5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p>
              </w:tc>
              <w:tc>
                <w:tcPr>
                  <w:tcW w:w="1126" w:type="dxa"/>
                  <w:vMerge w:val="continue"/>
                  <w:tcBorders>
                    <w:tl2br w:val="nil"/>
                    <w:tr2bl w:val="nil"/>
                  </w:tcBorders>
                  <w:vAlign w:val="center"/>
                </w:tcPr>
                <w:p w14:paraId="2234481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p>
              </w:tc>
              <w:tc>
                <w:tcPr>
                  <w:tcW w:w="756" w:type="dxa"/>
                  <w:vMerge w:val="continue"/>
                  <w:tcBorders>
                    <w:tl2br w:val="nil"/>
                    <w:tr2bl w:val="nil"/>
                  </w:tcBorders>
                  <w:vAlign w:val="center"/>
                </w:tcPr>
                <w:p w14:paraId="6C156B2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p>
              </w:tc>
              <w:tc>
                <w:tcPr>
                  <w:tcW w:w="1389" w:type="dxa"/>
                  <w:tcBorders>
                    <w:tl2br w:val="nil"/>
                    <w:tr2bl w:val="nil"/>
                  </w:tcBorders>
                  <w:vAlign w:val="center"/>
                </w:tcPr>
                <w:p w14:paraId="1B7D022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default" w:ascii="Times New Roman" w:hAnsi="Times New Roman" w:cs="Times New Roman"/>
                      <w:b/>
                      <w:bCs/>
                      <w:color w:val="auto"/>
                      <w:kern w:val="0"/>
                      <w:sz w:val="21"/>
                      <w:szCs w:val="21"/>
                      <w:vertAlign w:val="baseline"/>
                      <w:lang w:val="en-US" w:eastAsia="zh-CN"/>
                    </w:rPr>
                    <w:t>13:10</w:t>
                  </w:r>
                </w:p>
                <w:p w14:paraId="18467B2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default" w:ascii="Times New Roman" w:hAnsi="Times New Roman" w:cs="Times New Roman"/>
                      <w:b/>
                      <w:bCs/>
                      <w:color w:val="auto"/>
                      <w:kern w:val="0"/>
                      <w:sz w:val="21"/>
                      <w:szCs w:val="21"/>
                      <w:vertAlign w:val="baseline"/>
                      <w:lang w:val="en-US" w:eastAsia="zh-CN"/>
                    </w:rPr>
                    <w:t>（13:17）</w:t>
                  </w:r>
                  <w:r>
                    <w:rPr>
                      <w:rFonts w:hint="default" w:ascii="Times New Roman" w:hAnsi="Times New Roman" w:cs="Times New Roman"/>
                      <w:b/>
                      <w:bCs/>
                      <w:color w:val="auto"/>
                      <w:kern w:val="0"/>
                      <w:sz w:val="21"/>
                      <w:szCs w:val="21"/>
                      <w:vertAlign w:val="superscript"/>
                      <w:lang w:val="en-US" w:eastAsia="zh-CN"/>
                    </w:rPr>
                    <w:t>1</w:t>
                  </w:r>
                </w:p>
              </w:tc>
              <w:tc>
                <w:tcPr>
                  <w:tcW w:w="1440" w:type="dxa"/>
                  <w:tcBorders>
                    <w:tl2br w:val="nil"/>
                    <w:tr2bl w:val="nil"/>
                  </w:tcBorders>
                  <w:vAlign w:val="center"/>
                </w:tcPr>
                <w:p w14:paraId="36B8388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default" w:ascii="Times New Roman" w:hAnsi="Times New Roman" w:cs="Times New Roman"/>
                      <w:b/>
                      <w:bCs/>
                      <w:color w:val="auto"/>
                      <w:kern w:val="0"/>
                      <w:sz w:val="21"/>
                      <w:szCs w:val="21"/>
                      <w:vertAlign w:val="baseline"/>
                      <w:lang w:val="en-US" w:eastAsia="zh-CN"/>
                    </w:rPr>
                    <w:t>14:10</w:t>
                  </w:r>
                </w:p>
                <w:p w14:paraId="1EF0C83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default" w:ascii="Times New Roman" w:hAnsi="Times New Roman" w:cs="Times New Roman"/>
                      <w:b/>
                      <w:bCs/>
                      <w:color w:val="auto"/>
                      <w:kern w:val="0"/>
                      <w:sz w:val="21"/>
                      <w:szCs w:val="21"/>
                      <w:vertAlign w:val="baseline"/>
                      <w:lang w:val="en-US" w:eastAsia="zh-CN"/>
                    </w:rPr>
                    <w:t>（14:17）</w:t>
                  </w:r>
                  <w:r>
                    <w:rPr>
                      <w:rFonts w:hint="default" w:ascii="Times New Roman" w:hAnsi="Times New Roman" w:cs="Times New Roman"/>
                      <w:b/>
                      <w:bCs/>
                      <w:color w:val="auto"/>
                      <w:kern w:val="0"/>
                      <w:sz w:val="21"/>
                      <w:szCs w:val="21"/>
                      <w:vertAlign w:val="superscript"/>
                      <w:lang w:val="en-US" w:eastAsia="zh-CN"/>
                    </w:rPr>
                    <w:t>2</w:t>
                  </w:r>
                </w:p>
              </w:tc>
              <w:tc>
                <w:tcPr>
                  <w:tcW w:w="1770" w:type="dxa"/>
                  <w:tcBorders>
                    <w:tl2br w:val="nil"/>
                    <w:tr2bl w:val="nil"/>
                  </w:tcBorders>
                  <w:vAlign w:val="center"/>
                </w:tcPr>
                <w:p w14:paraId="6BF131F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default" w:ascii="Times New Roman" w:hAnsi="Times New Roman" w:cs="Times New Roman"/>
                      <w:b/>
                      <w:bCs/>
                      <w:color w:val="auto"/>
                      <w:kern w:val="0"/>
                      <w:sz w:val="21"/>
                      <w:szCs w:val="21"/>
                      <w:vertAlign w:val="baseline"/>
                      <w:lang w:val="en-US" w:eastAsia="zh-CN"/>
                    </w:rPr>
                    <w:t>15:10</w:t>
                  </w:r>
                </w:p>
                <w:p w14:paraId="34BE4B3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default" w:ascii="Times New Roman" w:hAnsi="Times New Roman" w:cs="Times New Roman"/>
                      <w:b/>
                      <w:bCs/>
                      <w:color w:val="auto"/>
                      <w:kern w:val="0"/>
                      <w:sz w:val="21"/>
                      <w:szCs w:val="21"/>
                      <w:vertAlign w:val="baseline"/>
                      <w:lang w:val="en-US" w:eastAsia="zh-CN"/>
                    </w:rPr>
                    <w:t>（15:17~15:20）</w:t>
                  </w:r>
                  <w:r>
                    <w:rPr>
                      <w:rFonts w:hint="default" w:ascii="Times New Roman" w:hAnsi="Times New Roman" w:cs="Times New Roman"/>
                      <w:b/>
                      <w:bCs/>
                      <w:color w:val="auto"/>
                      <w:kern w:val="0"/>
                      <w:sz w:val="21"/>
                      <w:szCs w:val="21"/>
                      <w:vertAlign w:val="superscript"/>
                      <w:lang w:val="en-US" w:eastAsia="zh-CN"/>
                    </w:rPr>
                    <w:t>3</w:t>
                  </w:r>
                </w:p>
              </w:tc>
              <w:tc>
                <w:tcPr>
                  <w:tcW w:w="722" w:type="dxa"/>
                  <w:vMerge w:val="continue"/>
                  <w:tcBorders>
                    <w:tl2br w:val="nil"/>
                    <w:tr2bl w:val="nil"/>
                  </w:tcBorders>
                  <w:vAlign w:val="center"/>
                </w:tcPr>
                <w:p w14:paraId="3949373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p>
              </w:tc>
              <w:tc>
                <w:tcPr>
                  <w:tcW w:w="711" w:type="dxa"/>
                  <w:vMerge w:val="continue"/>
                  <w:tcBorders>
                    <w:tl2br w:val="nil"/>
                    <w:tr2bl w:val="nil"/>
                  </w:tcBorders>
                  <w:vAlign w:val="center"/>
                </w:tcPr>
                <w:p w14:paraId="11E1E2D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p>
              </w:tc>
            </w:tr>
            <w:tr w14:paraId="09A564D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95" w:type="dxa"/>
                  <w:vMerge w:val="restart"/>
                  <w:tcBorders>
                    <w:tl2br w:val="nil"/>
                    <w:tr2bl w:val="nil"/>
                  </w:tcBorders>
                  <w:vAlign w:val="center"/>
                </w:tcPr>
                <w:p w14:paraId="31B13F1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生活污水排放口</w:t>
                  </w:r>
                </w:p>
              </w:tc>
              <w:tc>
                <w:tcPr>
                  <w:tcW w:w="1126" w:type="dxa"/>
                  <w:tcBorders>
                    <w:tl2br w:val="nil"/>
                    <w:tr2bl w:val="nil"/>
                  </w:tcBorders>
                  <w:vAlign w:val="center"/>
                </w:tcPr>
                <w:p w14:paraId="6DB64E9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pH值</w:t>
                  </w:r>
                </w:p>
              </w:tc>
              <w:tc>
                <w:tcPr>
                  <w:tcW w:w="756" w:type="dxa"/>
                  <w:tcBorders>
                    <w:tl2br w:val="nil"/>
                    <w:tr2bl w:val="nil"/>
                  </w:tcBorders>
                  <w:vAlign w:val="center"/>
                </w:tcPr>
                <w:p w14:paraId="22853C0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w:t>
                  </w:r>
                </w:p>
              </w:tc>
              <w:tc>
                <w:tcPr>
                  <w:tcW w:w="1389" w:type="dxa"/>
                  <w:tcBorders>
                    <w:tl2br w:val="nil"/>
                    <w:tr2bl w:val="nil"/>
                  </w:tcBorders>
                  <w:vAlign w:val="center"/>
                </w:tcPr>
                <w:p w14:paraId="058F0B8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7.2（25.1℃）</w:t>
                  </w:r>
                </w:p>
              </w:tc>
              <w:tc>
                <w:tcPr>
                  <w:tcW w:w="1440" w:type="dxa"/>
                  <w:tcBorders>
                    <w:tl2br w:val="nil"/>
                    <w:tr2bl w:val="nil"/>
                  </w:tcBorders>
                  <w:vAlign w:val="center"/>
                </w:tcPr>
                <w:p w14:paraId="4D47290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7.2（26.2℃）</w:t>
                  </w:r>
                </w:p>
              </w:tc>
              <w:tc>
                <w:tcPr>
                  <w:tcW w:w="1770" w:type="dxa"/>
                  <w:tcBorders>
                    <w:tl2br w:val="nil"/>
                    <w:tr2bl w:val="nil"/>
                  </w:tcBorders>
                  <w:vAlign w:val="center"/>
                </w:tcPr>
                <w:p w14:paraId="2CA187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7.2（25.9℃）</w:t>
                  </w:r>
                </w:p>
              </w:tc>
              <w:tc>
                <w:tcPr>
                  <w:tcW w:w="722" w:type="dxa"/>
                  <w:tcBorders>
                    <w:tl2br w:val="nil"/>
                    <w:tr2bl w:val="nil"/>
                  </w:tcBorders>
                  <w:vAlign w:val="center"/>
                </w:tcPr>
                <w:p w14:paraId="4BCBBD6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6~9</w:t>
                  </w:r>
                </w:p>
              </w:tc>
              <w:tc>
                <w:tcPr>
                  <w:tcW w:w="711" w:type="dxa"/>
                  <w:tcBorders>
                    <w:tl2br w:val="nil"/>
                    <w:tr2bl w:val="nil"/>
                  </w:tcBorders>
                  <w:vAlign w:val="center"/>
                </w:tcPr>
                <w:p w14:paraId="5269C4C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达标</w:t>
                  </w:r>
                </w:p>
              </w:tc>
            </w:tr>
            <w:tr w14:paraId="0F686B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95" w:type="dxa"/>
                  <w:vMerge w:val="continue"/>
                  <w:tcBorders>
                    <w:tl2br w:val="nil"/>
                    <w:tr2bl w:val="nil"/>
                  </w:tcBorders>
                  <w:vAlign w:val="center"/>
                </w:tcPr>
                <w:p w14:paraId="4A7DF66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126" w:type="dxa"/>
                  <w:tcBorders>
                    <w:tl2br w:val="nil"/>
                    <w:tr2bl w:val="nil"/>
                  </w:tcBorders>
                  <w:vAlign w:val="center"/>
                </w:tcPr>
                <w:p w14:paraId="70CA641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悬浮物</w:t>
                  </w:r>
                </w:p>
              </w:tc>
              <w:tc>
                <w:tcPr>
                  <w:tcW w:w="756" w:type="dxa"/>
                  <w:tcBorders>
                    <w:tl2br w:val="nil"/>
                    <w:tr2bl w:val="nil"/>
                  </w:tcBorders>
                  <w:vAlign w:val="center"/>
                </w:tcPr>
                <w:p w14:paraId="6FA8D01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mg/L</w:t>
                  </w:r>
                </w:p>
              </w:tc>
              <w:tc>
                <w:tcPr>
                  <w:tcW w:w="1389" w:type="dxa"/>
                  <w:tcBorders>
                    <w:tl2br w:val="nil"/>
                    <w:tr2bl w:val="nil"/>
                  </w:tcBorders>
                  <w:vAlign w:val="center"/>
                </w:tcPr>
                <w:p w14:paraId="6E878C3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33</w:t>
                  </w:r>
                </w:p>
              </w:tc>
              <w:tc>
                <w:tcPr>
                  <w:tcW w:w="1440" w:type="dxa"/>
                  <w:tcBorders>
                    <w:tl2br w:val="nil"/>
                    <w:tr2bl w:val="nil"/>
                  </w:tcBorders>
                  <w:vAlign w:val="center"/>
                </w:tcPr>
                <w:p w14:paraId="60931A7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37</w:t>
                  </w:r>
                </w:p>
              </w:tc>
              <w:tc>
                <w:tcPr>
                  <w:tcW w:w="1770" w:type="dxa"/>
                  <w:tcBorders>
                    <w:tl2br w:val="nil"/>
                    <w:tr2bl w:val="nil"/>
                  </w:tcBorders>
                  <w:vAlign w:val="center"/>
                </w:tcPr>
                <w:p w14:paraId="2FAFAAB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33</w:t>
                  </w:r>
                </w:p>
              </w:tc>
              <w:tc>
                <w:tcPr>
                  <w:tcW w:w="722" w:type="dxa"/>
                  <w:tcBorders>
                    <w:tl2br w:val="nil"/>
                    <w:tr2bl w:val="nil"/>
                  </w:tcBorders>
                  <w:vAlign w:val="center"/>
                </w:tcPr>
                <w:p w14:paraId="087339B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250</w:t>
                  </w:r>
                </w:p>
              </w:tc>
              <w:tc>
                <w:tcPr>
                  <w:tcW w:w="711" w:type="dxa"/>
                  <w:tcBorders>
                    <w:tl2br w:val="nil"/>
                    <w:tr2bl w:val="nil"/>
                  </w:tcBorders>
                  <w:vAlign w:val="center"/>
                </w:tcPr>
                <w:p w14:paraId="40F9276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达标</w:t>
                  </w:r>
                </w:p>
              </w:tc>
            </w:tr>
            <w:tr w14:paraId="42E5592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95" w:type="dxa"/>
                  <w:vMerge w:val="continue"/>
                  <w:tcBorders>
                    <w:tl2br w:val="nil"/>
                    <w:tr2bl w:val="nil"/>
                  </w:tcBorders>
                  <w:vAlign w:val="center"/>
                </w:tcPr>
                <w:p w14:paraId="41B40DC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126" w:type="dxa"/>
                  <w:tcBorders>
                    <w:tl2br w:val="nil"/>
                    <w:tr2bl w:val="nil"/>
                  </w:tcBorders>
                  <w:vAlign w:val="center"/>
                </w:tcPr>
                <w:p w14:paraId="5639066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五日生化需氧量</w:t>
                  </w:r>
                </w:p>
              </w:tc>
              <w:tc>
                <w:tcPr>
                  <w:tcW w:w="756" w:type="dxa"/>
                  <w:tcBorders>
                    <w:tl2br w:val="nil"/>
                    <w:tr2bl w:val="nil"/>
                  </w:tcBorders>
                  <w:vAlign w:val="center"/>
                </w:tcPr>
                <w:p w14:paraId="4EDEE67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mg/L</w:t>
                  </w:r>
                </w:p>
              </w:tc>
              <w:tc>
                <w:tcPr>
                  <w:tcW w:w="1389" w:type="dxa"/>
                  <w:tcBorders>
                    <w:tl2br w:val="nil"/>
                    <w:tr2bl w:val="nil"/>
                  </w:tcBorders>
                  <w:vAlign w:val="center"/>
                </w:tcPr>
                <w:p w14:paraId="533D4C7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15.2</w:t>
                  </w:r>
                </w:p>
              </w:tc>
              <w:tc>
                <w:tcPr>
                  <w:tcW w:w="1440" w:type="dxa"/>
                  <w:tcBorders>
                    <w:tl2br w:val="nil"/>
                    <w:tr2bl w:val="nil"/>
                  </w:tcBorders>
                  <w:vAlign w:val="center"/>
                </w:tcPr>
                <w:p w14:paraId="03CA941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13.0</w:t>
                  </w:r>
                </w:p>
              </w:tc>
              <w:tc>
                <w:tcPr>
                  <w:tcW w:w="1770" w:type="dxa"/>
                  <w:tcBorders>
                    <w:tl2br w:val="nil"/>
                    <w:tr2bl w:val="nil"/>
                  </w:tcBorders>
                  <w:vAlign w:val="center"/>
                </w:tcPr>
                <w:p w14:paraId="751EFFC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14.5</w:t>
                  </w:r>
                </w:p>
              </w:tc>
              <w:tc>
                <w:tcPr>
                  <w:tcW w:w="722" w:type="dxa"/>
                  <w:tcBorders>
                    <w:tl2br w:val="nil"/>
                    <w:tr2bl w:val="nil"/>
                  </w:tcBorders>
                  <w:vAlign w:val="center"/>
                </w:tcPr>
                <w:p w14:paraId="5874C14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150</w:t>
                  </w:r>
                </w:p>
              </w:tc>
              <w:tc>
                <w:tcPr>
                  <w:tcW w:w="711" w:type="dxa"/>
                  <w:tcBorders>
                    <w:tl2br w:val="nil"/>
                    <w:tr2bl w:val="nil"/>
                  </w:tcBorders>
                  <w:vAlign w:val="center"/>
                </w:tcPr>
                <w:p w14:paraId="08C785C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达标</w:t>
                  </w:r>
                </w:p>
              </w:tc>
            </w:tr>
            <w:tr w14:paraId="1EBAE00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95" w:type="dxa"/>
                  <w:vMerge w:val="continue"/>
                  <w:tcBorders>
                    <w:tl2br w:val="nil"/>
                    <w:tr2bl w:val="nil"/>
                  </w:tcBorders>
                  <w:vAlign w:val="center"/>
                </w:tcPr>
                <w:p w14:paraId="4984FAA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126" w:type="dxa"/>
                  <w:tcBorders>
                    <w:tl2br w:val="nil"/>
                    <w:tr2bl w:val="nil"/>
                  </w:tcBorders>
                  <w:vAlign w:val="center"/>
                </w:tcPr>
                <w:p w14:paraId="051CB45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化学需氧量</w:t>
                  </w:r>
                </w:p>
              </w:tc>
              <w:tc>
                <w:tcPr>
                  <w:tcW w:w="756" w:type="dxa"/>
                  <w:tcBorders>
                    <w:tl2br w:val="nil"/>
                    <w:tr2bl w:val="nil"/>
                  </w:tcBorders>
                  <w:vAlign w:val="center"/>
                </w:tcPr>
                <w:p w14:paraId="65C9A11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mg/L</w:t>
                  </w:r>
                </w:p>
              </w:tc>
              <w:tc>
                <w:tcPr>
                  <w:tcW w:w="1389" w:type="dxa"/>
                  <w:tcBorders>
                    <w:tl2br w:val="nil"/>
                    <w:tr2bl w:val="nil"/>
                  </w:tcBorders>
                  <w:vAlign w:val="center"/>
                </w:tcPr>
                <w:p w14:paraId="02F61FE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44</w:t>
                  </w:r>
                </w:p>
              </w:tc>
              <w:tc>
                <w:tcPr>
                  <w:tcW w:w="1440" w:type="dxa"/>
                  <w:tcBorders>
                    <w:tl2br w:val="nil"/>
                    <w:tr2bl w:val="nil"/>
                  </w:tcBorders>
                  <w:vAlign w:val="center"/>
                </w:tcPr>
                <w:p w14:paraId="42A7243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38</w:t>
                  </w:r>
                </w:p>
              </w:tc>
              <w:tc>
                <w:tcPr>
                  <w:tcW w:w="1770" w:type="dxa"/>
                  <w:tcBorders>
                    <w:tl2br w:val="nil"/>
                    <w:tr2bl w:val="nil"/>
                  </w:tcBorders>
                  <w:vAlign w:val="center"/>
                </w:tcPr>
                <w:p w14:paraId="0C5003B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42</w:t>
                  </w:r>
                </w:p>
              </w:tc>
              <w:tc>
                <w:tcPr>
                  <w:tcW w:w="722" w:type="dxa"/>
                  <w:tcBorders>
                    <w:tl2br w:val="nil"/>
                    <w:tr2bl w:val="nil"/>
                  </w:tcBorders>
                  <w:vAlign w:val="center"/>
                </w:tcPr>
                <w:p w14:paraId="1FB0F4D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300</w:t>
                  </w:r>
                </w:p>
              </w:tc>
              <w:tc>
                <w:tcPr>
                  <w:tcW w:w="711" w:type="dxa"/>
                  <w:tcBorders>
                    <w:tl2br w:val="nil"/>
                    <w:tr2bl w:val="nil"/>
                  </w:tcBorders>
                  <w:vAlign w:val="center"/>
                </w:tcPr>
                <w:p w14:paraId="16C6AE4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达标</w:t>
                  </w:r>
                </w:p>
              </w:tc>
            </w:tr>
            <w:tr w14:paraId="57B4683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95" w:type="dxa"/>
                  <w:vMerge w:val="continue"/>
                  <w:tcBorders>
                    <w:tl2br w:val="nil"/>
                    <w:tr2bl w:val="nil"/>
                  </w:tcBorders>
                  <w:vAlign w:val="center"/>
                </w:tcPr>
                <w:p w14:paraId="2CF9D05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126" w:type="dxa"/>
                  <w:tcBorders>
                    <w:tl2br w:val="nil"/>
                    <w:tr2bl w:val="nil"/>
                  </w:tcBorders>
                  <w:vAlign w:val="center"/>
                </w:tcPr>
                <w:p w14:paraId="373E82A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氨氮</w:t>
                  </w:r>
                </w:p>
              </w:tc>
              <w:tc>
                <w:tcPr>
                  <w:tcW w:w="756" w:type="dxa"/>
                  <w:tcBorders>
                    <w:tl2br w:val="nil"/>
                    <w:tr2bl w:val="nil"/>
                  </w:tcBorders>
                  <w:vAlign w:val="center"/>
                </w:tcPr>
                <w:p w14:paraId="06B5F76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mg/L</w:t>
                  </w:r>
                </w:p>
              </w:tc>
              <w:tc>
                <w:tcPr>
                  <w:tcW w:w="1389" w:type="dxa"/>
                  <w:tcBorders>
                    <w:tl2br w:val="nil"/>
                    <w:tr2bl w:val="nil"/>
                  </w:tcBorders>
                  <w:vAlign w:val="center"/>
                </w:tcPr>
                <w:p w14:paraId="19D54BE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20.2</w:t>
                  </w:r>
                </w:p>
              </w:tc>
              <w:tc>
                <w:tcPr>
                  <w:tcW w:w="1440" w:type="dxa"/>
                  <w:tcBorders>
                    <w:tl2br w:val="nil"/>
                    <w:tr2bl w:val="nil"/>
                  </w:tcBorders>
                  <w:vAlign w:val="center"/>
                </w:tcPr>
                <w:p w14:paraId="3A50491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17.0</w:t>
                  </w:r>
                </w:p>
              </w:tc>
              <w:tc>
                <w:tcPr>
                  <w:tcW w:w="1770" w:type="dxa"/>
                  <w:tcBorders>
                    <w:tl2br w:val="nil"/>
                    <w:tr2bl w:val="nil"/>
                  </w:tcBorders>
                  <w:vAlign w:val="center"/>
                </w:tcPr>
                <w:p w14:paraId="4D02E5C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13.6</w:t>
                  </w:r>
                </w:p>
              </w:tc>
              <w:tc>
                <w:tcPr>
                  <w:tcW w:w="722" w:type="dxa"/>
                  <w:tcBorders>
                    <w:tl2br w:val="nil"/>
                    <w:tr2bl w:val="nil"/>
                  </w:tcBorders>
                  <w:vAlign w:val="center"/>
                </w:tcPr>
                <w:p w14:paraId="7B23C12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25</w:t>
                  </w:r>
                </w:p>
              </w:tc>
              <w:tc>
                <w:tcPr>
                  <w:tcW w:w="711" w:type="dxa"/>
                  <w:tcBorders>
                    <w:tl2br w:val="nil"/>
                    <w:tr2bl w:val="nil"/>
                  </w:tcBorders>
                  <w:vAlign w:val="center"/>
                </w:tcPr>
                <w:p w14:paraId="2ED4FD1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达标</w:t>
                  </w:r>
                </w:p>
              </w:tc>
            </w:tr>
            <w:tr w14:paraId="07715B6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95" w:type="dxa"/>
                  <w:vMerge w:val="continue"/>
                  <w:tcBorders>
                    <w:tl2br w:val="nil"/>
                    <w:tr2bl w:val="nil"/>
                  </w:tcBorders>
                  <w:vAlign w:val="center"/>
                </w:tcPr>
                <w:p w14:paraId="1CF5A64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126" w:type="dxa"/>
                  <w:tcBorders>
                    <w:tl2br w:val="nil"/>
                    <w:tr2bl w:val="nil"/>
                  </w:tcBorders>
                  <w:vAlign w:val="center"/>
                </w:tcPr>
                <w:p w14:paraId="32E1666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总磷</w:t>
                  </w:r>
                </w:p>
              </w:tc>
              <w:tc>
                <w:tcPr>
                  <w:tcW w:w="756" w:type="dxa"/>
                  <w:tcBorders>
                    <w:tl2br w:val="nil"/>
                    <w:tr2bl w:val="nil"/>
                  </w:tcBorders>
                  <w:vAlign w:val="center"/>
                </w:tcPr>
                <w:p w14:paraId="4B92424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mg/L</w:t>
                  </w:r>
                </w:p>
              </w:tc>
              <w:tc>
                <w:tcPr>
                  <w:tcW w:w="1389" w:type="dxa"/>
                  <w:tcBorders>
                    <w:tl2br w:val="nil"/>
                    <w:tr2bl w:val="nil"/>
                  </w:tcBorders>
                  <w:vAlign w:val="center"/>
                </w:tcPr>
                <w:p w14:paraId="387BAB5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2.09</w:t>
                  </w:r>
                </w:p>
              </w:tc>
              <w:tc>
                <w:tcPr>
                  <w:tcW w:w="1440" w:type="dxa"/>
                  <w:tcBorders>
                    <w:tl2br w:val="nil"/>
                    <w:tr2bl w:val="nil"/>
                  </w:tcBorders>
                  <w:vAlign w:val="center"/>
                </w:tcPr>
                <w:p w14:paraId="4537854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1.97</w:t>
                  </w:r>
                </w:p>
              </w:tc>
              <w:tc>
                <w:tcPr>
                  <w:tcW w:w="1770" w:type="dxa"/>
                  <w:tcBorders>
                    <w:tl2br w:val="nil"/>
                    <w:tr2bl w:val="nil"/>
                  </w:tcBorders>
                  <w:vAlign w:val="center"/>
                </w:tcPr>
                <w:p w14:paraId="7C0C659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2.09</w:t>
                  </w:r>
                </w:p>
              </w:tc>
              <w:tc>
                <w:tcPr>
                  <w:tcW w:w="722" w:type="dxa"/>
                  <w:tcBorders>
                    <w:tl2br w:val="nil"/>
                    <w:tr2bl w:val="nil"/>
                  </w:tcBorders>
                  <w:vAlign w:val="center"/>
                </w:tcPr>
                <w:p w14:paraId="3E8EE6E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4</w:t>
                  </w:r>
                </w:p>
              </w:tc>
              <w:tc>
                <w:tcPr>
                  <w:tcW w:w="711" w:type="dxa"/>
                  <w:tcBorders>
                    <w:tl2br w:val="nil"/>
                    <w:tr2bl w:val="nil"/>
                  </w:tcBorders>
                  <w:vAlign w:val="center"/>
                </w:tcPr>
                <w:p w14:paraId="15801A0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达标</w:t>
                  </w:r>
                </w:p>
              </w:tc>
            </w:tr>
            <w:tr w14:paraId="302CB26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95" w:type="dxa"/>
                  <w:vMerge w:val="continue"/>
                  <w:tcBorders>
                    <w:tl2br w:val="nil"/>
                    <w:tr2bl w:val="nil"/>
                  </w:tcBorders>
                  <w:vAlign w:val="center"/>
                </w:tcPr>
                <w:p w14:paraId="5676FAF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126" w:type="dxa"/>
                  <w:tcBorders>
                    <w:tl2br w:val="nil"/>
                    <w:tr2bl w:val="nil"/>
                  </w:tcBorders>
                  <w:vAlign w:val="center"/>
                </w:tcPr>
                <w:p w14:paraId="5854FEB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总氮</w:t>
                  </w:r>
                </w:p>
              </w:tc>
              <w:tc>
                <w:tcPr>
                  <w:tcW w:w="756" w:type="dxa"/>
                  <w:tcBorders>
                    <w:tl2br w:val="nil"/>
                    <w:tr2bl w:val="nil"/>
                  </w:tcBorders>
                  <w:vAlign w:val="center"/>
                </w:tcPr>
                <w:p w14:paraId="1455B00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mg/L</w:t>
                  </w:r>
                </w:p>
              </w:tc>
              <w:tc>
                <w:tcPr>
                  <w:tcW w:w="1389" w:type="dxa"/>
                  <w:tcBorders>
                    <w:tl2br w:val="nil"/>
                    <w:tr2bl w:val="nil"/>
                  </w:tcBorders>
                  <w:vAlign w:val="center"/>
                </w:tcPr>
                <w:p w14:paraId="37B7E95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44.1</w:t>
                  </w:r>
                </w:p>
              </w:tc>
              <w:tc>
                <w:tcPr>
                  <w:tcW w:w="1440" w:type="dxa"/>
                  <w:tcBorders>
                    <w:tl2br w:val="nil"/>
                    <w:tr2bl w:val="nil"/>
                  </w:tcBorders>
                  <w:vAlign w:val="center"/>
                </w:tcPr>
                <w:p w14:paraId="4CD1B7D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42.5</w:t>
                  </w:r>
                </w:p>
              </w:tc>
              <w:tc>
                <w:tcPr>
                  <w:tcW w:w="1770" w:type="dxa"/>
                  <w:tcBorders>
                    <w:tl2br w:val="nil"/>
                    <w:tr2bl w:val="nil"/>
                  </w:tcBorders>
                  <w:vAlign w:val="center"/>
                </w:tcPr>
                <w:p w14:paraId="1503425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42.6</w:t>
                  </w:r>
                </w:p>
              </w:tc>
              <w:tc>
                <w:tcPr>
                  <w:tcW w:w="722" w:type="dxa"/>
                  <w:tcBorders>
                    <w:tl2br w:val="nil"/>
                    <w:tr2bl w:val="nil"/>
                  </w:tcBorders>
                  <w:vAlign w:val="center"/>
                </w:tcPr>
                <w:p w14:paraId="3EEDD23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45</w:t>
                  </w:r>
                </w:p>
              </w:tc>
              <w:tc>
                <w:tcPr>
                  <w:tcW w:w="711" w:type="dxa"/>
                  <w:tcBorders>
                    <w:tl2br w:val="nil"/>
                    <w:tr2bl w:val="nil"/>
                  </w:tcBorders>
                  <w:vAlign w:val="center"/>
                </w:tcPr>
                <w:p w14:paraId="5593CE5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达标</w:t>
                  </w:r>
                </w:p>
              </w:tc>
            </w:tr>
            <w:tr w14:paraId="3798660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95" w:type="dxa"/>
                  <w:vMerge w:val="continue"/>
                  <w:tcBorders>
                    <w:tl2br w:val="nil"/>
                    <w:tr2bl w:val="nil"/>
                  </w:tcBorders>
                  <w:vAlign w:val="center"/>
                </w:tcPr>
                <w:p w14:paraId="0ABF4A5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126" w:type="dxa"/>
                  <w:tcBorders>
                    <w:tl2br w:val="nil"/>
                    <w:tr2bl w:val="nil"/>
                  </w:tcBorders>
                  <w:vAlign w:val="center"/>
                </w:tcPr>
                <w:p w14:paraId="79054F4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动植物油类</w:t>
                  </w:r>
                </w:p>
              </w:tc>
              <w:tc>
                <w:tcPr>
                  <w:tcW w:w="756" w:type="dxa"/>
                  <w:tcBorders>
                    <w:tl2br w:val="nil"/>
                    <w:tr2bl w:val="nil"/>
                  </w:tcBorders>
                  <w:vAlign w:val="center"/>
                </w:tcPr>
                <w:p w14:paraId="64C54C4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mg/L</w:t>
                  </w:r>
                </w:p>
              </w:tc>
              <w:tc>
                <w:tcPr>
                  <w:tcW w:w="1389" w:type="dxa"/>
                  <w:tcBorders>
                    <w:tl2br w:val="nil"/>
                    <w:tr2bl w:val="nil"/>
                  </w:tcBorders>
                  <w:vAlign w:val="center"/>
                </w:tcPr>
                <w:p w14:paraId="1C258FE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0.22</w:t>
                  </w:r>
                </w:p>
              </w:tc>
              <w:tc>
                <w:tcPr>
                  <w:tcW w:w="1440" w:type="dxa"/>
                  <w:tcBorders>
                    <w:tl2br w:val="nil"/>
                    <w:tr2bl w:val="nil"/>
                  </w:tcBorders>
                  <w:vAlign w:val="center"/>
                </w:tcPr>
                <w:p w14:paraId="4640098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0.22</w:t>
                  </w:r>
                </w:p>
              </w:tc>
              <w:tc>
                <w:tcPr>
                  <w:tcW w:w="1770" w:type="dxa"/>
                  <w:tcBorders>
                    <w:tl2br w:val="nil"/>
                    <w:tr2bl w:val="nil"/>
                  </w:tcBorders>
                  <w:vAlign w:val="center"/>
                </w:tcPr>
                <w:p w14:paraId="3867DA9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0.19</w:t>
                  </w:r>
                </w:p>
              </w:tc>
              <w:tc>
                <w:tcPr>
                  <w:tcW w:w="722" w:type="dxa"/>
                  <w:tcBorders>
                    <w:tl2br w:val="nil"/>
                    <w:tr2bl w:val="nil"/>
                  </w:tcBorders>
                  <w:vAlign w:val="center"/>
                </w:tcPr>
                <w:p w14:paraId="6F80B09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100</w:t>
                  </w:r>
                </w:p>
              </w:tc>
              <w:tc>
                <w:tcPr>
                  <w:tcW w:w="711" w:type="dxa"/>
                  <w:tcBorders>
                    <w:tl2br w:val="nil"/>
                    <w:tr2bl w:val="nil"/>
                  </w:tcBorders>
                  <w:vAlign w:val="center"/>
                </w:tcPr>
                <w:p w14:paraId="020D69C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达标</w:t>
                  </w:r>
                </w:p>
              </w:tc>
            </w:tr>
            <w:tr w14:paraId="7F7C009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609" w:type="dxa"/>
                  <w:gridSpan w:val="8"/>
                  <w:tcBorders>
                    <w:tl2br w:val="nil"/>
                    <w:tr2bl w:val="nil"/>
                  </w:tcBorders>
                  <w:vAlign w:val="center"/>
                </w:tcPr>
                <w:p w14:paraId="7D31E82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注1：括号内为pH值现场检测时间，pH值仪器校准和标样测定时间分别为：13:15、13:20；</w:t>
                  </w:r>
                </w:p>
                <w:p w14:paraId="2A9537B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注2：括号内为pH值现场检测时间，pH值仪器校准和标样测定时间分别为：1</w:t>
                  </w:r>
                  <w:r>
                    <w:rPr>
                      <w:rFonts w:hint="eastAsia" w:cs="Times New Roman"/>
                      <w:color w:val="auto"/>
                      <w:kern w:val="0"/>
                      <w:sz w:val="21"/>
                      <w:szCs w:val="21"/>
                      <w:vertAlign w:val="baseline"/>
                      <w:lang w:val="en-US" w:eastAsia="zh-CN"/>
                    </w:rPr>
                    <w:t>4</w:t>
                  </w:r>
                  <w:r>
                    <w:rPr>
                      <w:rFonts w:hint="eastAsia" w:ascii="Times New Roman" w:hAnsi="Times New Roman" w:cs="Times New Roman"/>
                      <w:color w:val="auto"/>
                      <w:kern w:val="0"/>
                      <w:sz w:val="21"/>
                      <w:szCs w:val="21"/>
                      <w:vertAlign w:val="baseline"/>
                      <w:lang w:val="en-US" w:eastAsia="zh-CN"/>
                    </w:rPr>
                    <w:t>:15、1</w:t>
                  </w:r>
                  <w:r>
                    <w:rPr>
                      <w:rFonts w:hint="eastAsia" w:cs="Times New Roman"/>
                      <w:color w:val="auto"/>
                      <w:kern w:val="0"/>
                      <w:sz w:val="21"/>
                      <w:szCs w:val="21"/>
                      <w:vertAlign w:val="baseline"/>
                      <w:lang w:val="en-US" w:eastAsia="zh-CN"/>
                    </w:rPr>
                    <w:t>4</w:t>
                  </w:r>
                  <w:r>
                    <w:rPr>
                      <w:rFonts w:hint="eastAsia" w:ascii="Times New Roman" w:hAnsi="Times New Roman" w:cs="Times New Roman"/>
                      <w:color w:val="auto"/>
                      <w:kern w:val="0"/>
                      <w:sz w:val="21"/>
                      <w:szCs w:val="21"/>
                      <w:vertAlign w:val="baseline"/>
                      <w:lang w:val="en-US" w:eastAsia="zh-CN"/>
                    </w:rPr>
                    <w:t>:20；</w:t>
                  </w:r>
                </w:p>
                <w:p w14:paraId="60EB1E7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注3：括号内为pH值现场检测时间，pH值仪器校准和标样测定时间分别为：1</w:t>
                  </w:r>
                  <w:r>
                    <w:rPr>
                      <w:rFonts w:hint="eastAsia" w:cs="Times New Roman"/>
                      <w:color w:val="auto"/>
                      <w:kern w:val="0"/>
                      <w:sz w:val="21"/>
                      <w:szCs w:val="21"/>
                      <w:vertAlign w:val="baseline"/>
                      <w:lang w:val="en-US" w:eastAsia="zh-CN"/>
                    </w:rPr>
                    <w:t>5</w:t>
                  </w:r>
                  <w:r>
                    <w:rPr>
                      <w:rFonts w:hint="eastAsia" w:ascii="Times New Roman" w:hAnsi="Times New Roman" w:cs="Times New Roman"/>
                      <w:color w:val="auto"/>
                      <w:kern w:val="0"/>
                      <w:sz w:val="21"/>
                      <w:szCs w:val="21"/>
                      <w:vertAlign w:val="baseline"/>
                      <w:lang w:val="en-US" w:eastAsia="zh-CN"/>
                    </w:rPr>
                    <w:t>:15、1</w:t>
                  </w:r>
                  <w:r>
                    <w:rPr>
                      <w:rFonts w:hint="eastAsia" w:cs="Times New Roman"/>
                      <w:color w:val="auto"/>
                      <w:kern w:val="0"/>
                      <w:sz w:val="21"/>
                      <w:szCs w:val="21"/>
                      <w:vertAlign w:val="baseline"/>
                      <w:lang w:val="en-US" w:eastAsia="zh-CN"/>
                    </w:rPr>
                    <w:t>5</w:t>
                  </w:r>
                  <w:r>
                    <w:rPr>
                      <w:rFonts w:hint="eastAsia" w:ascii="Times New Roman" w:hAnsi="Times New Roman" w:cs="Times New Roman"/>
                      <w:color w:val="auto"/>
                      <w:kern w:val="0"/>
                      <w:sz w:val="21"/>
                      <w:szCs w:val="21"/>
                      <w:vertAlign w:val="baseline"/>
                      <w:lang w:val="en-US" w:eastAsia="zh-CN"/>
                    </w:rPr>
                    <w:t>:2</w:t>
                  </w:r>
                  <w:r>
                    <w:rPr>
                      <w:rFonts w:hint="eastAsia" w:cs="Times New Roman"/>
                      <w:color w:val="auto"/>
                      <w:kern w:val="0"/>
                      <w:sz w:val="21"/>
                      <w:szCs w:val="21"/>
                      <w:vertAlign w:val="baseline"/>
                      <w:lang w:val="en-US" w:eastAsia="zh-CN"/>
                    </w:rPr>
                    <w:t>3。</w:t>
                  </w:r>
                </w:p>
              </w:tc>
            </w:tr>
          </w:tbl>
          <w:p w14:paraId="5577A7A6">
            <w:pPr>
              <w:pStyle w:val="7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color w:val="auto"/>
                <w:kern w:val="0"/>
                <w:sz w:val="21"/>
                <w:szCs w:val="21"/>
                <w:lang w:val="en-US" w:eastAsia="zh-CN"/>
              </w:rPr>
            </w:pPr>
            <w:r>
              <w:rPr>
                <w:rFonts w:hint="eastAsia"/>
                <w:b w:val="0"/>
                <w:bCs w:val="0"/>
                <w:color w:val="auto"/>
                <w:kern w:val="0"/>
                <w:sz w:val="21"/>
                <w:szCs w:val="21"/>
                <w:lang w:val="en-US" w:eastAsia="zh-CN" w:bidi="ar"/>
              </w:rPr>
              <w:t>监测结果表明，在生活污水正常排放的工况下，厂区生活污水排放口浓度能满足</w:t>
            </w:r>
            <w:r>
              <w:rPr>
                <w:rFonts w:hint="eastAsia" w:cs="Times New Roman"/>
                <w:color w:val="auto"/>
                <w:sz w:val="21"/>
                <w:szCs w:val="21"/>
                <w:highlight w:val="none"/>
                <w:lang w:val="en-US" w:eastAsia="zh-CN"/>
              </w:rPr>
              <w:t>茅东污水处理厂接管限值</w:t>
            </w:r>
            <w:r>
              <w:rPr>
                <w:rFonts w:hint="eastAsia" w:cs="Times New Roman"/>
                <w:color w:val="auto"/>
                <w:sz w:val="21"/>
                <w:szCs w:val="21"/>
                <w:highlight w:val="none"/>
                <w:lang w:eastAsia="zh-CN"/>
              </w:rPr>
              <w:t>。</w:t>
            </w:r>
          </w:p>
          <w:p w14:paraId="2F0BBD8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b w:val="0"/>
                <w:bCs w:val="0"/>
                <w:color w:val="FF0000"/>
                <w:kern w:val="0"/>
                <w:sz w:val="21"/>
                <w:szCs w:val="21"/>
                <w:lang w:val="en-US" w:eastAsia="zh-CN"/>
              </w:rPr>
            </w:pPr>
            <w:r>
              <w:rPr>
                <w:rFonts w:hint="eastAsia"/>
                <w:b w:val="0"/>
                <w:bCs w:val="0"/>
                <w:color w:val="FF0000"/>
                <w:kern w:val="0"/>
                <w:sz w:val="21"/>
                <w:szCs w:val="21"/>
                <w:lang w:val="en-US" w:eastAsia="zh-CN"/>
              </w:rPr>
              <w:t>现有生产废水主要处理设备、生产工房地面清洗废水、袋滤器粉尘打湿废水、湿式除尘器废水、公辅工房清洗废水、清洗机清洗废水、废气喷淋吸收废水、药浆线设备清洗水。</w:t>
            </w:r>
          </w:p>
          <w:p w14:paraId="31A6ED8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jc w:val="both"/>
              <w:textAlignment w:val="auto"/>
              <w:rPr>
                <w:rFonts w:hint="default"/>
                <w:b/>
                <w:bCs/>
                <w:color w:val="auto"/>
                <w:kern w:val="0"/>
                <w:sz w:val="21"/>
                <w:szCs w:val="21"/>
                <w:lang w:val="en-US" w:eastAsia="zh-CN"/>
              </w:rPr>
            </w:pPr>
            <w:r>
              <w:rPr>
                <w:rFonts w:hint="eastAsia"/>
                <w:b/>
                <w:bCs/>
                <w:color w:val="auto"/>
                <w:kern w:val="0"/>
                <w:sz w:val="21"/>
                <w:szCs w:val="21"/>
                <w:lang w:val="en-US" w:eastAsia="zh-CN"/>
              </w:rPr>
              <w:t>①污水处理站1废水处理工艺流程</w:t>
            </w:r>
          </w:p>
          <w:p w14:paraId="47DD6DA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kern w:val="0"/>
                <w:sz w:val="21"/>
                <w:szCs w:val="21"/>
                <w:lang w:val="en-US" w:eastAsia="zh-CN"/>
              </w:rPr>
            </w:pPr>
            <w:r>
              <w:rPr>
                <w:rFonts w:hint="eastAsia"/>
                <w:b/>
                <w:bCs/>
                <w:color w:val="auto"/>
                <w:kern w:val="0"/>
                <w:sz w:val="21"/>
                <w:szCs w:val="21"/>
                <w:lang w:val="en-US" w:eastAsia="zh-CN"/>
              </w:rPr>
              <w:object>
                <v:shape id="_x0000_i1051" o:spt="75" type="#_x0000_t75" style="height:197.55pt;width:400.05pt;" o:ole="t" filled="f" o:preferrelative="t" stroked="f" coordsize="21600,21600">
                  <v:path/>
                  <v:fill on="f" focussize="0,0"/>
                  <v:stroke on="f"/>
                  <v:imagedata r:id="rId63" o:title=""/>
                  <o:lock v:ext="edit" aspectratio="f"/>
                  <w10:wrap type="none"/>
                  <w10:anchorlock/>
                </v:shape>
                <o:OLEObject Type="Embed" ProgID="Visio.Drawing.11" ShapeID="_x0000_i1051" DrawAspect="Content" ObjectID="_1468075751" r:id="rId62">
                  <o:LockedField>false</o:LockedField>
                </o:OLEObject>
              </w:object>
            </w:r>
          </w:p>
          <w:p w14:paraId="1EC5F6A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b/>
                <w:bCs/>
                <w:color w:val="auto"/>
                <w:kern w:val="0"/>
                <w:sz w:val="21"/>
                <w:szCs w:val="21"/>
                <w:lang w:val="en-US" w:eastAsia="zh-CN"/>
              </w:rPr>
            </w:pPr>
            <w:r>
              <w:rPr>
                <w:rFonts w:hint="eastAsia"/>
                <w:b/>
                <w:bCs/>
                <w:color w:val="auto"/>
                <w:kern w:val="0"/>
                <w:sz w:val="21"/>
                <w:szCs w:val="21"/>
                <w:lang w:val="en-US" w:eastAsia="zh-CN"/>
              </w:rPr>
              <w:t>图2-16   污水处理站1处理工艺流程图</w:t>
            </w:r>
          </w:p>
          <w:p w14:paraId="63DDB29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b w:val="0"/>
                <w:bCs w:val="0"/>
                <w:color w:val="FF0000"/>
                <w:kern w:val="0"/>
                <w:sz w:val="21"/>
                <w:szCs w:val="21"/>
                <w:lang w:val="en-US" w:eastAsia="zh-CN"/>
              </w:rPr>
            </w:pPr>
            <w:r>
              <w:rPr>
                <w:rFonts w:hint="eastAsia"/>
                <w:b w:val="0"/>
                <w:bCs w:val="0"/>
                <w:color w:val="FF0000"/>
                <w:kern w:val="0"/>
                <w:sz w:val="21"/>
                <w:szCs w:val="21"/>
                <w:lang w:val="en-US" w:eastAsia="zh-CN"/>
              </w:rPr>
              <w:t>设备、生产工房地面清洗废水、袋滤器粉尘打湿废水、湿式除尘器废水、公辅工房清洗废水、BKNO3药浆线设备冲洗水，先利用沉降法去除铜，出水经过离子交换变为硝酸盐废水，经ED浓缩后，浓盐废液作为一般固废委外综合利用，低浓度硝酸盐再次进入离子交换系统，出水经清水消毒池处理后作为中水回用。交换离子不涉及再生工艺，当出水不满足工艺需求时直接作为危废处置。</w:t>
            </w:r>
          </w:p>
          <w:p w14:paraId="146591F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jc w:val="both"/>
              <w:textAlignment w:val="auto"/>
              <w:rPr>
                <w:rFonts w:hint="default"/>
                <w:b/>
                <w:bCs/>
                <w:color w:val="auto"/>
                <w:kern w:val="0"/>
                <w:sz w:val="21"/>
                <w:szCs w:val="21"/>
                <w:lang w:val="en-US" w:eastAsia="zh-CN"/>
              </w:rPr>
            </w:pPr>
            <w:r>
              <w:rPr>
                <w:rFonts w:hint="eastAsia"/>
                <w:b/>
                <w:bCs/>
                <w:color w:val="auto"/>
                <w:kern w:val="0"/>
                <w:sz w:val="21"/>
                <w:szCs w:val="21"/>
                <w:lang w:val="en-US" w:eastAsia="zh-CN"/>
              </w:rPr>
              <w:t>②污水处理站2废水处理工艺流程图</w:t>
            </w:r>
          </w:p>
          <w:p w14:paraId="182CCF9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b/>
                <w:bCs/>
                <w:color w:val="auto"/>
                <w:kern w:val="0"/>
                <w:sz w:val="21"/>
                <w:szCs w:val="21"/>
                <w:lang w:val="en-US" w:eastAsia="zh-CN"/>
              </w:rPr>
            </w:pPr>
            <w:r>
              <w:rPr>
                <w:rFonts w:hint="eastAsia"/>
                <w:b/>
                <w:bCs/>
                <w:color w:val="auto"/>
                <w:kern w:val="0"/>
                <w:sz w:val="21"/>
                <w:szCs w:val="21"/>
                <w:lang w:val="en-US" w:eastAsia="zh-CN"/>
              </w:rPr>
              <w:object>
                <v:shape id="_x0000_i1052" o:spt="75" type="#_x0000_t75" style="height:657.75pt;width:367.5pt;" o:ole="t" filled="f" o:preferrelative="t" stroked="f" coordsize="21600,21600">
                  <v:path/>
                  <v:fill on="f" focussize="0,0"/>
                  <v:stroke on="f"/>
                  <v:imagedata r:id="rId65" o:title=""/>
                  <o:lock v:ext="edit" aspectratio="f"/>
                  <w10:wrap type="none"/>
                  <w10:anchorlock/>
                </v:shape>
                <o:OLEObject Type="Embed" ProgID="Visio.Drawing.11" ShapeID="_x0000_i1052" DrawAspect="Content" ObjectID="_1468075752" r:id="rId64">
                  <o:LockedField>false</o:LockedField>
                </o:OLEObject>
              </w:object>
            </w:r>
          </w:p>
          <w:p w14:paraId="01C333D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b/>
                <w:bCs/>
                <w:color w:val="auto"/>
                <w:kern w:val="0"/>
                <w:sz w:val="21"/>
                <w:szCs w:val="21"/>
                <w:lang w:val="en-US" w:eastAsia="zh-CN"/>
              </w:rPr>
            </w:pPr>
            <w:r>
              <w:rPr>
                <w:rFonts w:hint="eastAsia"/>
                <w:b/>
                <w:bCs/>
                <w:color w:val="auto"/>
                <w:kern w:val="0"/>
                <w:sz w:val="21"/>
                <w:szCs w:val="21"/>
                <w:lang w:val="en-US" w:eastAsia="zh-CN"/>
              </w:rPr>
              <w:t>图2-17   污水处理站2处理工艺流程图</w:t>
            </w:r>
          </w:p>
          <w:p w14:paraId="0585F72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b w:val="0"/>
                <w:bCs w:val="0"/>
                <w:color w:val="auto"/>
                <w:kern w:val="0"/>
                <w:sz w:val="21"/>
                <w:szCs w:val="21"/>
                <w:lang w:val="en-US" w:eastAsia="zh-CN"/>
              </w:rPr>
            </w:pPr>
            <w:r>
              <w:rPr>
                <w:rFonts w:hint="eastAsia"/>
                <w:b w:val="0"/>
                <w:bCs w:val="0"/>
                <w:color w:val="auto"/>
                <w:kern w:val="0"/>
                <w:sz w:val="21"/>
                <w:szCs w:val="21"/>
                <w:lang w:val="en-US" w:eastAsia="zh-CN"/>
              </w:rPr>
              <w:t>清洗机清洗废水、废气喷淋吸收废水经“酸化+芬顿氧化+AO生化”的处理工艺，中水回用工艺采用“砂滤+碳滤+保安过滤+RO反渗透”。</w:t>
            </w:r>
          </w:p>
          <w:p w14:paraId="6688F77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jc w:val="both"/>
              <w:textAlignment w:val="auto"/>
              <w:rPr>
                <w:rFonts w:hint="default"/>
                <w:b/>
                <w:bCs/>
                <w:color w:val="auto"/>
                <w:kern w:val="0"/>
                <w:sz w:val="21"/>
                <w:szCs w:val="21"/>
                <w:lang w:val="en-US" w:eastAsia="zh-CN"/>
              </w:rPr>
            </w:pPr>
            <w:r>
              <w:rPr>
                <w:rFonts w:hint="eastAsia"/>
                <w:b/>
                <w:bCs/>
                <w:color w:val="auto"/>
                <w:kern w:val="0"/>
                <w:sz w:val="21"/>
                <w:szCs w:val="21"/>
                <w:lang w:val="en-US" w:eastAsia="zh-CN"/>
              </w:rPr>
              <w:t>③污水处理站3废水处理工艺流程</w:t>
            </w:r>
          </w:p>
          <w:p w14:paraId="1AA9D64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b w:val="0"/>
                <w:bCs w:val="0"/>
                <w:color w:val="auto"/>
                <w:kern w:val="0"/>
                <w:sz w:val="21"/>
                <w:szCs w:val="21"/>
                <w:lang w:val="en-US" w:eastAsia="zh-CN"/>
              </w:rPr>
            </w:pPr>
            <w:r>
              <w:rPr>
                <w:rFonts w:hint="eastAsia"/>
                <w:b w:val="0"/>
                <w:bCs w:val="0"/>
                <w:color w:val="auto"/>
                <w:kern w:val="0"/>
                <w:sz w:val="21"/>
                <w:szCs w:val="21"/>
                <w:lang w:val="en-US" w:eastAsia="zh-CN"/>
              </w:rPr>
              <w:object>
                <v:shape id="_x0000_i1053" o:spt="75" type="#_x0000_t75" style="height:142.05pt;width:427.4pt;" o:ole="t" filled="f" o:preferrelative="t" stroked="f" coordsize="21600,21600">
                  <v:path/>
                  <v:fill on="f" focussize="0,0"/>
                  <v:stroke on="f"/>
                  <v:imagedata r:id="rId67" o:title=""/>
                  <o:lock v:ext="edit" aspectratio="f"/>
                  <w10:wrap type="none"/>
                  <w10:anchorlock/>
                </v:shape>
                <o:OLEObject Type="Embed" ProgID="Visio.Drawing.11" ShapeID="_x0000_i1053" DrawAspect="Content" ObjectID="_1468075753" r:id="rId66">
                  <o:LockedField>false</o:LockedField>
                </o:OLEObject>
              </w:object>
            </w:r>
          </w:p>
          <w:p w14:paraId="492A571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b/>
                <w:bCs/>
                <w:color w:val="auto"/>
                <w:kern w:val="0"/>
                <w:sz w:val="21"/>
                <w:szCs w:val="21"/>
                <w:lang w:val="en-US" w:eastAsia="zh-CN"/>
              </w:rPr>
            </w:pPr>
            <w:r>
              <w:rPr>
                <w:rFonts w:hint="eastAsia"/>
                <w:b/>
                <w:bCs/>
                <w:color w:val="auto"/>
                <w:kern w:val="0"/>
                <w:sz w:val="21"/>
                <w:szCs w:val="21"/>
                <w:lang w:val="en-US" w:eastAsia="zh-CN"/>
              </w:rPr>
              <w:t>图2-18   污水处理站3处理工艺流程图1</w:t>
            </w:r>
          </w:p>
          <w:p w14:paraId="5631B8A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b w:val="0"/>
                <w:bCs w:val="0"/>
                <w:color w:val="auto"/>
                <w:kern w:val="0"/>
                <w:sz w:val="21"/>
                <w:szCs w:val="21"/>
                <w:lang w:val="en-US" w:eastAsia="zh-CN"/>
              </w:rPr>
            </w:pPr>
            <w:r>
              <w:rPr>
                <w:rFonts w:hint="eastAsia"/>
                <w:b w:val="0"/>
                <w:bCs w:val="0"/>
                <w:color w:val="auto"/>
                <w:kern w:val="0"/>
                <w:sz w:val="21"/>
                <w:szCs w:val="21"/>
                <w:lang w:val="en-US" w:eastAsia="zh-CN"/>
              </w:rPr>
              <w:t>点火具药浆设备冲洗水经“酸化+芬顿氧化”，中水回用工艺采用“砂滤+碳滤+保安过滤+RO反渗透”。</w:t>
            </w:r>
          </w:p>
          <w:p w14:paraId="6A8E596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jc w:val="both"/>
              <w:textAlignment w:val="auto"/>
              <w:rPr>
                <w:rFonts w:hint="default"/>
                <w:b/>
                <w:bCs/>
                <w:color w:val="auto"/>
                <w:kern w:val="0"/>
                <w:sz w:val="21"/>
                <w:szCs w:val="21"/>
                <w:lang w:val="en-US" w:eastAsia="zh-CN"/>
              </w:rPr>
            </w:pPr>
            <w:r>
              <w:rPr>
                <w:rFonts w:hint="eastAsia"/>
                <w:b/>
                <w:bCs/>
                <w:color w:val="auto"/>
                <w:kern w:val="0"/>
                <w:sz w:val="21"/>
                <w:szCs w:val="21"/>
                <w:lang w:val="en-US" w:eastAsia="zh-CN"/>
              </w:rPr>
              <w:t>④801-1废水处理站</w:t>
            </w:r>
          </w:p>
          <w:p w14:paraId="029CC49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b w:val="0"/>
                <w:bCs w:val="0"/>
                <w:color w:val="auto"/>
                <w:kern w:val="0"/>
                <w:sz w:val="21"/>
                <w:szCs w:val="21"/>
                <w:lang w:val="en-US" w:eastAsia="zh-CN"/>
              </w:rPr>
            </w:pPr>
            <w:r>
              <w:rPr>
                <w:rFonts w:hint="eastAsia"/>
                <w:b w:val="0"/>
                <w:bCs w:val="0"/>
                <w:color w:val="auto"/>
                <w:kern w:val="0"/>
                <w:sz w:val="21"/>
                <w:szCs w:val="21"/>
                <w:lang w:val="en-US" w:eastAsia="zh-CN"/>
              </w:rPr>
              <w:object>
                <v:shape id="_x0000_i1054" o:spt="75" type="#_x0000_t75" style="height:139.75pt;width:427.35pt;" o:ole="t" filled="f" o:preferrelative="t" stroked="f" coordsize="21600,21600">
                  <v:path/>
                  <v:fill on="f" focussize="0,0"/>
                  <v:stroke on="f"/>
                  <v:imagedata r:id="rId69" o:title=""/>
                  <o:lock v:ext="edit" aspectratio="f"/>
                  <w10:wrap type="none"/>
                  <w10:anchorlock/>
                </v:shape>
                <o:OLEObject Type="Embed" ProgID="Visio.Drawing.11" ShapeID="_x0000_i1054" DrawAspect="Content" ObjectID="_1468075754" r:id="rId68">
                  <o:LockedField>false</o:LockedField>
                </o:OLEObject>
              </w:object>
            </w:r>
          </w:p>
          <w:p w14:paraId="5E806C0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b/>
                <w:bCs/>
                <w:color w:val="auto"/>
                <w:kern w:val="0"/>
                <w:sz w:val="21"/>
                <w:szCs w:val="21"/>
                <w:lang w:val="en-US" w:eastAsia="zh-CN"/>
              </w:rPr>
            </w:pPr>
            <w:r>
              <w:rPr>
                <w:rFonts w:hint="eastAsia"/>
                <w:b/>
                <w:bCs/>
                <w:color w:val="auto"/>
                <w:kern w:val="0"/>
                <w:sz w:val="21"/>
                <w:szCs w:val="21"/>
                <w:lang w:val="en-US" w:eastAsia="zh-CN"/>
              </w:rPr>
              <w:t>图2-19   801-1污水处理站工艺</w:t>
            </w:r>
          </w:p>
          <w:p w14:paraId="772F40B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b w:val="0"/>
                <w:bCs w:val="0"/>
                <w:color w:val="FF0000"/>
                <w:kern w:val="0"/>
                <w:sz w:val="21"/>
                <w:szCs w:val="21"/>
                <w:lang w:val="en-US" w:eastAsia="zh-CN"/>
              </w:rPr>
            </w:pPr>
            <w:r>
              <w:rPr>
                <w:rFonts w:hint="eastAsia"/>
                <w:b w:val="0"/>
                <w:bCs w:val="0"/>
                <w:color w:val="FF0000"/>
                <w:kern w:val="0"/>
                <w:sz w:val="21"/>
                <w:szCs w:val="21"/>
                <w:lang w:val="en-US" w:eastAsia="zh-CN"/>
              </w:rPr>
              <w:t>（1）废水进入固液分离单元，采用压滤机去除废水中的硼（B）及聚丙烯酰胺（PAM）絮体，污泥外委处理，清液进入脱盐单元；</w:t>
            </w:r>
          </w:p>
          <w:p w14:paraId="7D9D21B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b w:val="0"/>
                <w:bCs w:val="0"/>
                <w:color w:val="FF0000"/>
                <w:kern w:val="0"/>
                <w:sz w:val="21"/>
                <w:szCs w:val="21"/>
                <w:lang w:val="en-US" w:eastAsia="zh-CN"/>
              </w:rPr>
            </w:pPr>
            <w:r>
              <w:rPr>
                <w:rFonts w:hint="eastAsia"/>
                <w:b w:val="0"/>
                <w:bCs w:val="0"/>
                <w:color w:val="FF0000"/>
                <w:kern w:val="0"/>
                <w:sz w:val="21"/>
                <w:szCs w:val="21"/>
                <w:lang w:val="en-US" w:eastAsia="zh-CN"/>
              </w:rPr>
              <w:t>（2）清液进入EDR系统，完成脱盐，产生浓盐水，脱盐水进入生化单元；</w:t>
            </w:r>
          </w:p>
          <w:p w14:paraId="73A6B1C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b w:val="0"/>
                <w:bCs w:val="0"/>
                <w:color w:val="FF0000"/>
                <w:kern w:val="0"/>
                <w:sz w:val="21"/>
                <w:szCs w:val="21"/>
                <w:lang w:val="en-US" w:eastAsia="zh-CN"/>
              </w:rPr>
            </w:pPr>
            <w:r>
              <w:rPr>
                <w:rFonts w:hint="eastAsia"/>
                <w:b w:val="0"/>
                <w:bCs w:val="0"/>
                <w:color w:val="FF0000"/>
                <w:kern w:val="0"/>
                <w:sz w:val="21"/>
                <w:szCs w:val="21"/>
                <w:lang w:val="en-US" w:eastAsia="zh-CN"/>
              </w:rPr>
              <w:t>（3）EDR脱盐水进入MBR系统，MBR中曝气，将有机物分解，MBR污泥经压滤后焚烧，MBR的出水进入净水单元；</w:t>
            </w:r>
          </w:p>
          <w:p w14:paraId="4122D4A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b w:val="0"/>
                <w:bCs w:val="0"/>
                <w:color w:val="FF0000"/>
                <w:kern w:val="0"/>
                <w:sz w:val="21"/>
                <w:szCs w:val="21"/>
                <w:lang w:val="en-US" w:eastAsia="zh-CN"/>
              </w:rPr>
            </w:pPr>
            <w:r>
              <w:rPr>
                <w:rFonts w:hint="eastAsia"/>
                <w:b w:val="0"/>
                <w:bCs w:val="0"/>
                <w:color w:val="FF0000"/>
                <w:kern w:val="0"/>
                <w:sz w:val="21"/>
                <w:szCs w:val="21"/>
                <w:lang w:val="en-US" w:eastAsia="zh-CN"/>
              </w:rPr>
              <w:t>（4）MBR出水进入RO系统，进一步脱盐及分离有机物。RO产水回用，RO浓水进入除硅单元；</w:t>
            </w:r>
          </w:p>
          <w:p w14:paraId="4B78E52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b w:val="0"/>
                <w:bCs w:val="0"/>
                <w:color w:val="FF0000"/>
                <w:kern w:val="0"/>
                <w:sz w:val="21"/>
                <w:szCs w:val="21"/>
                <w:lang w:val="en-US" w:eastAsia="zh-CN"/>
              </w:rPr>
            </w:pPr>
            <w:r>
              <w:rPr>
                <w:rFonts w:hint="eastAsia"/>
                <w:b w:val="0"/>
                <w:bCs w:val="0"/>
                <w:color w:val="FF0000"/>
                <w:kern w:val="0"/>
                <w:sz w:val="21"/>
                <w:szCs w:val="21"/>
                <w:lang w:val="en-US" w:eastAsia="zh-CN"/>
              </w:rPr>
              <w:t>（5）RO浓水进入ECR除硅系统，出水进入过滤单元；</w:t>
            </w:r>
          </w:p>
          <w:p w14:paraId="766DA28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b w:val="0"/>
                <w:bCs w:val="0"/>
                <w:color w:val="FF0000"/>
                <w:kern w:val="0"/>
                <w:sz w:val="21"/>
                <w:szCs w:val="21"/>
                <w:lang w:val="en-US" w:eastAsia="zh-CN"/>
              </w:rPr>
            </w:pPr>
            <w:r>
              <w:rPr>
                <w:rFonts w:hint="eastAsia"/>
                <w:b w:val="0"/>
                <w:bCs w:val="0"/>
                <w:color w:val="FF0000"/>
                <w:kern w:val="0"/>
                <w:sz w:val="21"/>
                <w:szCs w:val="21"/>
                <w:lang w:val="en-US" w:eastAsia="zh-CN"/>
              </w:rPr>
              <w:t>（6）ECR出水进入TMF系统，出水再进入EDR重新处理，浓水返回MBR系统重新处理。</w:t>
            </w:r>
          </w:p>
          <w:p w14:paraId="2ADC726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jc w:val="both"/>
              <w:textAlignment w:val="auto"/>
              <w:rPr>
                <w:rFonts w:hint="default"/>
                <w:b/>
                <w:bCs/>
                <w:color w:val="FF0000"/>
                <w:kern w:val="0"/>
                <w:sz w:val="21"/>
                <w:szCs w:val="21"/>
                <w:lang w:val="en-US" w:eastAsia="zh-CN"/>
              </w:rPr>
            </w:pPr>
            <w:r>
              <w:rPr>
                <w:rFonts w:hint="eastAsia"/>
                <w:b/>
                <w:bCs/>
                <w:color w:val="FF0000"/>
                <w:kern w:val="0"/>
                <w:sz w:val="21"/>
                <w:szCs w:val="21"/>
                <w:lang w:val="en-US" w:eastAsia="zh-CN"/>
              </w:rPr>
              <w:t>废水处理能力</w:t>
            </w:r>
          </w:p>
          <w:p w14:paraId="111DF12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b w:val="0"/>
                <w:bCs w:val="0"/>
                <w:color w:val="FF0000"/>
                <w:kern w:val="0"/>
                <w:sz w:val="21"/>
                <w:szCs w:val="21"/>
                <w:lang w:val="en-US" w:eastAsia="zh-CN"/>
              </w:rPr>
            </w:pPr>
            <w:r>
              <w:rPr>
                <w:rFonts w:hint="eastAsia"/>
                <w:b w:val="0"/>
                <w:bCs w:val="0"/>
                <w:color w:val="FF0000"/>
                <w:kern w:val="0"/>
                <w:sz w:val="21"/>
                <w:szCs w:val="21"/>
                <w:lang w:val="en-US" w:eastAsia="zh-CN"/>
              </w:rPr>
              <w:t>现有中水回用系统处理能力为110m</w:t>
            </w:r>
            <w:r>
              <w:rPr>
                <w:rFonts w:hint="eastAsia"/>
                <w:b w:val="0"/>
                <w:bCs w:val="0"/>
                <w:color w:val="FF0000"/>
                <w:kern w:val="0"/>
                <w:sz w:val="21"/>
                <w:szCs w:val="21"/>
                <w:vertAlign w:val="superscript"/>
                <w:lang w:val="en-US" w:eastAsia="zh-CN"/>
              </w:rPr>
              <w:t>3</w:t>
            </w:r>
            <w:r>
              <w:rPr>
                <w:rFonts w:hint="eastAsia"/>
                <w:b w:val="0"/>
                <w:bCs w:val="0"/>
                <w:color w:val="FF0000"/>
                <w:kern w:val="0"/>
                <w:sz w:val="21"/>
                <w:szCs w:val="21"/>
                <w:lang w:val="en-US" w:eastAsia="zh-CN"/>
              </w:rPr>
              <w:t>/d，目前厂内已使用的处理量为67.32m</w:t>
            </w:r>
            <w:r>
              <w:rPr>
                <w:rFonts w:hint="eastAsia"/>
                <w:b w:val="0"/>
                <w:bCs w:val="0"/>
                <w:color w:val="FF0000"/>
                <w:kern w:val="0"/>
                <w:sz w:val="21"/>
                <w:szCs w:val="21"/>
                <w:vertAlign w:val="superscript"/>
                <w:lang w:val="en-US" w:eastAsia="zh-CN"/>
              </w:rPr>
              <w:t>3</w:t>
            </w:r>
            <w:r>
              <w:rPr>
                <w:rFonts w:hint="eastAsia"/>
                <w:b w:val="0"/>
                <w:bCs w:val="0"/>
                <w:color w:val="FF0000"/>
                <w:kern w:val="0"/>
                <w:sz w:val="21"/>
                <w:szCs w:val="21"/>
                <w:lang w:val="en-US" w:eastAsia="zh-CN"/>
              </w:rPr>
              <w:t>/d，故污水处理设施处理能力能够满足现有项目需求。</w:t>
            </w:r>
          </w:p>
          <w:p w14:paraId="2419857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jc w:val="both"/>
              <w:textAlignment w:val="auto"/>
              <w:rPr>
                <w:rFonts w:hint="default"/>
                <w:b/>
                <w:bCs/>
                <w:color w:val="FF0000"/>
                <w:kern w:val="0"/>
                <w:sz w:val="21"/>
                <w:szCs w:val="21"/>
                <w:lang w:val="en-US" w:eastAsia="zh-CN"/>
              </w:rPr>
            </w:pPr>
            <w:r>
              <w:rPr>
                <w:rFonts w:hint="eastAsia"/>
                <w:b/>
                <w:bCs/>
                <w:color w:val="FF0000"/>
                <w:kern w:val="0"/>
                <w:sz w:val="21"/>
                <w:szCs w:val="21"/>
                <w:lang w:val="en-US" w:eastAsia="zh-CN"/>
              </w:rPr>
              <w:t>回用可行性</w:t>
            </w:r>
          </w:p>
          <w:p w14:paraId="5783AF1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color w:val="FF0000"/>
                <w:kern w:val="0"/>
                <w:sz w:val="21"/>
                <w:szCs w:val="21"/>
                <w:lang w:val="en-US" w:eastAsia="zh-CN"/>
              </w:rPr>
            </w:pPr>
            <w:r>
              <w:rPr>
                <w:rFonts w:hint="eastAsia"/>
                <w:b/>
                <w:bCs/>
                <w:color w:val="FF0000"/>
                <w:kern w:val="0"/>
                <w:sz w:val="21"/>
                <w:szCs w:val="21"/>
                <w:lang w:val="en-US" w:eastAsia="zh-CN"/>
              </w:rPr>
              <w:t>表2-7.2   中水回用系统废水处理效果表（单位：mg/L）</w:t>
            </w:r>
          </w:p>
          <w:tbl>
            <w:tblPr>
              <w:tblStyle w:val="60"/>
              <w:tblW w:w="8549"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96"/>
              <w:gridCol w:w="1296"/>
              <w:gridCol w:w="1296"/>
              <w:gridCol w:w="1296"/>
              <w:gridCol w:w="1297"/>
              <w:gridCol w:w="2068"/>
            </w:tblGrid>
            <w:tr w14:paraId="5E04CDE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96" w:type="dxa"/>
                  <w:tcBorders>
                    <w:tl2br w:val="nil"/>
                    <w:tr2bl w:val="nil"/>
                  </w:tcBorders>
                  <w:vAlign w:val="center"/>
                </w:tcPr>
                <w:p w14:paraId="0529089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color w:val="FF0000"/>
                      <w:kern w:val="0"/>
                      <w:sz w:val="21"/>
                      <w:szCs w:val="21"/>
                      <w:vertAlign w:val="baseline"/>
                      <w:lang w:val="en-US" w:eastAsia="zh-CN"/>
                    </w:rPr>
                  </w:pPr>
                  <w:r>
                    <w:rPr>
                      <w:rFonts w:hint="eastAsia"/>
                      <w:b/>
                      <w:bCs/>
                      <w:color w:val="FF0000"/>
                      <w:kern w:val="0"/>
                      <w:sz w:val="21"/>
                      <w:szCs w:val="21"/>
                      <w:vertAlign w:val="baseline"/>
                      <w:lang w:val="en-US" w:eastAsia="zh-CN"/>
                    </w:rPr>
                    <w:t>因子</w:t>
                  </w:r>
                </w:p>
              </w:tc>
              <w:tc>
                <w:tcPr>
                  <w:tcW w:w="1296" w:type="dxa"/>
                  <w:tcBorders>
                    <w:tl2br w:val="nil"/>
                    <w:tr2bl w:val="nil"/>
                  </w:tcBorders>
                  <w:vAlign w:val="center"/>
                </w:tcPr>
                <w:p w14:paraId="43B3D5B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color w:val="FF0000"/>
                      <w:kern w:val="0"/>
                      <w:sz w:val="21"/>
                      <w:szCs w:val="21"/>
                      <w:vertAlign w:val="baseline"/>
                      <w:lang w:val="en-US" w:eastAsia="zh-CN"/>
                    </w:rPr>
                  </w:pPr>
                  <w:r>
                    <w:rPr>
                      <w:rFonts w:hint="eastAsia"/>
                      <w:b/>
                      <w:bCs/>
                      <w:color w:val="FF0000"/>
                      <w:kern w:val="0"/>
                      <w:sz w:val="21"/>
                      <w:szCs w:val="21"/>
                      <w:vertAlign w:val="baseline"/>
                      <w:lang w:val="en-US" w:eastAsia="zh-CN"/>
                    </w:rPr>
                    <w:t>进水</w:t>
                  </w:r>
                </w:p>
              </w:tc>
              <w:tc>
                <w:tcPr>
                  <w:tcW w:w="1296" w:type="dxa"/>
                  <w:tcBorders>
                    <w:tl2br w:val="nil"/>
                    <w:tr2bl w:val="nil"/>
                  </w:tcBorders>
                  <w:vAlign w:val="center"/>
                </w:tcPr>
                <w:p w14:paraId="6F069AD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color w:val="FF0000"/>
                      <w:kern w:val="0"/>
                      <w:sz w:val="21"/>
                      <w:szCs w:val="21"/>
                      <w:vertAlign w:val="baseline"/>
                      <w:lang w:val="en-US" w:eastAsia="zh-CN"/>
                    </w:rPr>
                  </w:pPr>
                  <w:r>
                    <w:rPr>
                      <w:rFonts w:hint="eastAsia"/>
                      <w:b/>
                      <w:bCs/>
                      <w:color w:val="FF0000"/>
                      <w:kern w:val="0"/>
                      <w:sz w:val="21"/>
                      <w:szCs w:val="21"/>
                      <w:vertAlign w:val="baseline"/>
                      <w:lang w:val="en-US" w:eastAsia="zh-CN"/>
                    </w:rPr>
                    <w:t>出水</w:t>
                  </w:r>
                </w:p>
              </w:tc>
              <w:tc>
                <w:tcPr>
                  <w:tcW w:w="1296" w:type="dxa"/>
                  <w:tcBorders>
                    <w:tl2br w:val="nil"/>
                    <w:tr2bl w:val="nil"/>
                  </w:tcBorders>
                  <w:vAlign w:val="center"/>
                </w:tcPr>
                <w:p w14:paraId="1BC1CD4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color w:val="FF0000"/>
                      <w:kern w:val="0"/>
                      <w:sz w:val="21"/>
                      <w:szCs w:val="21"/>
                      <w:vertAlign w:val="baseline"/>
                      <w:lang w:val="en-US" w:eastAsia="zh-CN"/>
                    </w:rPr>
                  </w:pPr>
                  <w:r>
                    <w:rPr>
                      <w:rFonts w:hint="eastAsia"/>
                      <w:b/>
                      <w:bCs/>
                      <w:color w:val="FF0000"/>
                      <w:kern w:val="0"/>
                      <w:sz w:val="21"/>
                      <w:szCs w:val="21"/>
                      <w:vertAlign w:val="baseline"/>
                      <w:lang w:val="en-US" w:eastAsia="zh-CN"/>
                    </w:rPr>
                    <w:t>去除率</w:t>
                  </w:r>
                </w:p>
              </w:tc>
              <w:tc>
                <w:tcPr>
                  <w:tcW w:w="1297" w:type="dxa"/>
                  <w:tcBorders>
                    <w:tl2br w:val="nil"/>
                    <w:tr2bl w:val="nil"/>
                  </w:tcBorders>
                  <w:vAlign w:val="center"/>
                </w:tcPr>
                <w:p w14:paraId="5D13F2A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color w:val="FF0000"/>
                      <w:kern w:val="0"/>
                      <w:sz w:val="21"/>
                      <w:szCs w:val="21"/>
                      <w:vertAlign w:val="baseline"/>
                      <w:lang w:val="en-US" w:eastAsia="zh-CN"/>
                    </w:rPr>
                  </w:pPr>
                  <w:r>
                    <w:rPr>
                      <w:rFonts w:hint="eastAsia"/>
                      <w:b/>
                      <w:bCs/>
                      <w:color w:val="FF0000"/>
                      <w:kern w:val="0"/>
                      <w:sz w:val="21"/>
                      <w:szCs w:val="21"/>
                      <w:vertAlign w:val="baseline"/>
                      <w:lang w:val="en-US" w:eastAsia="zh-CN"/>
                    </w:rPr>
                    <w:t>企业回用水标准</w:t>
                  </w:r>
                </w:p>
              </w:tc>
              <w:tc>
                <w:tcPr>
                  <w:tcW w:w="2068" w:type="dxa"/>
                  <w:tcBorders>
                    <w:tl2br w:val="nil"/>
                    <w:tr2bl w:val="nil"/>
                  </w:tcBorders>
                  <w:vAlign w:val="center"/>
                </w:tcPr>
                <w:p w14:paraId="0418589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b/>
                      <w:bCs/>
                      <w:color w:val="FF0000"/>
                      <w:kern w:val="0"/>
                      <w:sz w:val="21"/>
                      <w:szCs w:val="21"/>
                      <w:vertAlign w:val="baseline"/>
                      <w:lang w:val="en-US" w:eastAsia="zh-CN"/>
                    </w:rPr>
                  </w:pPr>
                  <w:r>
                    <w:rPr>
                      <w:rFonts w:hint="eastAsia"/>
                      <w:b/>
                      <w:bCs/>
                      <w:color w:val="FF0000"/>
                      <w:kern w:val="0"/>
                      <w:sz w:val="21"/>
                      <w:szCs w:val="21"/>
                      <w:vertAlign w:val="baseline"/>
                      <w:lang w:val="en-US" w:eastAsia="zh-CN"/>
                    </w:rPr>
                    <w:t>《城市污水再生利用工业用水水质》（GB/T19923-2005）</w:t>
                  </w:r>
                </w:p>
              </w:tc>
            </w:tr>
            <w:tr w14:paraId="3EB0B29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96" w:type="dxa"/>
                  <w:tcBorders>
                    <w:tl2br w:val="nil"/>
                    <w:tr2bl w:val="nil"/>
                  </w:tcBorders>
                  <w:vAlign w:val="center"/>
                </w:tcPr>
                <w:p w14:paraId="486BB60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COD</w:t>
                  </w:r>
                </w:p>
              </w:tc>
              <w:tc>
                <w:tcPr>
                  <w:tcW w:w="1296" w:type="dxa"/>
                  <w:tcBorders>
                    <w:tl2br w:val="nil"/>
                    <w:tr2bl w:val="nil"/>
                  </w:tcBorders>
                  <w:vAlign w:val="center"/>
                </w:tcPr>
                <w:p w14:paraId="1D64EB4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715</w:t>
                  </w:r>
                </w:p>
              </w:tc>
              <w:tc>
                <w:tcPr>
                  <w:tcW w:w="1296" w:type="dxa"/>
                  <w:tcBorders>
                    <w:tl2br w:val="nil"/>
                    <w:tr2bl w:val="nil"/>
                  </w:tcBorders>
                  <w:vAlign w:val="center"/>
                </w:tcPr>
                <w:p w14:paraId="6C3324C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27.8</w:t>
                  </w:r>
                </w:p>
              </w:tc>
              <w:tc>
                <w:tcPr>
                  <w:tcW w:w="1296" w:type="dxa"/>
                  <w:tcBorders>
                    <w:tl2br w:val="nil"/>
                    <w:tr2bl w:val="nil"/>
                  </w:tcBorders>
                  <w:vAlign w:val="center"/>
                </w:tcPr>
                <w:p w14:paraId="74C1BDB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96</w:t>
                  </w:r>
                </w:p>
              </w:tc>
              <w:tc>
                <w:tcPr>
                  <w:tcW w:w="1297" w:type="dxa"/>
                  <w:tcBorders>
                    <w:tl2br w:val="nil"/>
                    <w:tr2bl w:val="nil"/>
                  </w:tcBorders>
                  <w:vAlign w:val="center"/>
                </w:tcPr>
                <w:p w14:paraId="2AD4EF4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w:t>
                  </w:r>
                </w:p>
              </w:tc>
              <w:tc>
                <w:tcPr>
                  <w:tcW w:w="2068" w:type="dxa"/>
                  <w:tcBorders>
                    <w:tl2br w:val="nil"/>
                    <w:tr2bl w:val="nil"/>
                  </w:tcBorders>
                  <w:vAlign w:val="center"/>
                </w:tcPr>
                <w:p w14:paraId="0F3328C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60</w:t>
                  </w:r>
                </w:p>
              </w:tc>
            </w:tr>
            <w:tr w14:paraId="714B0C7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96" w:type="dxa"/>
                  <w:tcBorders>
                    <w:tl2br w:val="nil"/>
                    <w:tr2bl w:val="nil"/>
                  </w:tcBorders>
                  <w:vAlign w:val="center"/>
                </w:tcPr>
                <w:p w14:paraId="56400E9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SS</w:t>
                  </w:r>
                </w:p>
              </w:tc>
              <w:tc>
                <w:tcPr>
                  <w:tcW w:w="1296" w:type="dxa"/>
                  <w:tcBorders>
                    <w:tl2br w:val="nil"/>
                    <w:tr2bl w:val="nil"/>
                  </w:tcBorders>
                  <w:vAlign w:val="center"/>
                </w:tcPr>
                <w:p w14:paraId="235E85C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1550</w:t>
                  </w:r>
                </w:p>
              </w:tc>
              <w:tc>
                <w:tcPr>
                  <w:tcW w:w="1296" w:type="dxa"/>
                  <w:tcBorders>
                    <w:tl2br w:val="nil"/>
                    <w:tr2bl w:val="nil"/>
                  </w:tcBorders>
                  <w:vAlign w:val="center"/>
                </w:tcPr>
                <w:p w14:paraId="7F37C62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27.9</w:t>
                  </w:r>
                </w:p>
              </w:tc>
              <w:tc>
                <w:tcPr>
                  <w:tcW w:w="1296" w:type="dxa"/>
                  <w:tcBorders>
                    <w:tl2br w:val="nil"/>
                    <w:tr2bl w:val="nil"/>
                  </w:tcBorders>
                  <w:vAlign w:val="center"/>
                </w:tcPr>
                <w:p w14:paraId="43C8ABC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98</w:t>
                  </w:r>
                </w:p>
              </w:tc>
              <w:tc>
                <w:tcPr>
                  <w:tcW w:w="1297" w:type="dxa"/>
                  <w:tcBorders>
                    <w:tl2br w:val="nil"/>
                    <w:tr2bl w:val="nil"/>
                  </w:tcBorders>
                  <w:vAlign w:val="center"/>
                </w:tcPr>
                <w:p w14:paraId="0FB4C81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30</w:t>
                  </w:r>
                </w:p>
              </w:tc>
              <w:tc>
                <w:tcPr>
                  <w:tcW w:w="2068" w:type="dxa"/>
                  <w:tcBorders>
                    <w:tl2br w:val="nil"/>
                    <w:tr2bl w:val="nil"/>
                  </w:tcBorders>
                  <w:vAlign w:val="center"/>
                </w:tcPr>
                <w:p w14:paraId="1F1E2F6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w:t>
                  </w:r>
                </w:p>
              </w:tc>
            </w:tr>
            <w:tr w14:paraId="3BE8B90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96" w:type="dxa"/>
                  <w:tcBorders>
                    <w:tl2br w:val="nil"/>
                    <w:tr2bl w:val="nil"/>
                  </w:tcBorders>
                  <w:vAlign w:val="center"/>
                </w:tcPr>
                <w:p w14:paraId="56E41B1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NH3-N</w:t>
                  </w:r>
                </w:p>
              </w:tc>
              <w:tc>
                <w:tcPr>
                  <w:tcW w:w="1296" w:type="dxa"/>
                  <w:tcBorders>
                    <w:tl2br w:val="nil"/>
                    <w:tr2bl w:val="nil"/>
                  </w:tcBorders>
                  <w:vAlign w:val="center"/>
                </w:tcPr>
                <w:p w14:paraId="76825DA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200</w:t>
                  </w:r>
                </w:p>
              </w:tc>
              <w:tc>
                <w:tcPr>
                  <w:tcW w:w="1296" w:type="dxa"/>
                  <w:tcBorders>
                    <w:tl2br w:val="nil"/>
                    <w:tr2bl w:val="nil"/>
                  </w:tcBorders>
                  <w:vAlign w:val="center"/>
                </w:tcPr>
                <w:p w14:paraId="005D761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0.8</w:t>
                  </w:r>
                </w:p>
              </w:tc>
              <w:tc>
                <w:tcPr>
                  <w:tcW w:w="1296" w:type="dxa"/>
                  <w:tcBorders>
                    <w:tl2br w:val="nil"/>
                    <w:tr2bl w:val="nil"/>
                  </w:tcBorders>
                  <w:vAlign w:val="center"/>
                </w:tcPr>
                <w:p w14:paraId="44385DD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99.6</w:t>
                  </w:r>
                </w:p>
              </w:tc>
              <w:tc>
                <w:tcPr>
                  <w:tcW w:w="1297" w:type="dxa"/>
                  <w:tcBorders>
                    <w:tl2br w:val="nil"/>
                    <w:tr2bl w:val="nil"/>
                  </w:tcBorders>
                  <w:vAlign w:val="center"/>
                </w:tcPr>
                <w:p w14:paraId="1EE66D4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10</w:t>
                  </w:r>
                </w:p>
              </w:tc>
              <w:tc>
                <w:tcPr>
                  <w:tcW w:w="2068" w:type="dxa"/>
                  <w:tcBorders>
                    <w:tl2br w:val="nil"/>
                    <w:tr2bl w:val="nil"/>
                  </w:tcBorders>
                  <w:vAlign w:val="center"/>
                </w:tcPr>
                <w:p w14:paraId="5DCDD3B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10</w:t>
                  </w:r>
                </w:p>
              </w:tc>
            </w:tr>
            <w:tr w14:paraId="5BB435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96" w:type="dxa"/>
                  <w:tcBorders>
                    <w:tl2br w:val="nil"/>
                    <w:tr2bl w:val="nil"/>
                  </w:tcBorders>
                  <w:vAlign w:val="center"/>
                </w:tcPr>
                <w:p w14:paraId="0874ACE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硝酸盐</w:t>
                  </w:r>
                </w:p>
              </w:tc>
              <w:tc>
                <w:tcPr>
                  <w:tcW w:w="1296" w:type="dxa"/>
                  <w:tcBorders>
                    <w:tl2br w:val="nil"/>
                    <w:tr2bl w:val="nil"/>
                  </w:tcBorders>
                  <w:vAlign w:val="center"/>
                </w:tcPr>
                <w:p w14:paraId="60A76A5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315</w:t>
                  </w:r>
                </w:p>
              </w:tc>
              <w:tc>
                <w:tcPr>
                  <w:tcW w:w="1296" w:type="dxa"/>
                  <w:tcBorders>
                    <w:tl2br w:val="nil"/>
                    <w:tr2bl w:val="nil"/>
                  </w:tcBorders>
                  <w:vAlign w:val="center"/>
                </w:tcPr>
                <w:p w14:paraId="3B80D78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3.528</w:t>
                  </w:r>
                </w:p>
              </w:tc>
              <w:tc>
                <w:tcPr>
                  <w:tcW w:w="1296" w:type="dxa"/>
                  <w:tcBorders>
                    <w:tl2br w:val="nil"/>
                    <w:tr2bl w:val="nil"/>
                  </w:tcBorders>
                  <w:vAlign w:val="center"/>
                </w:tcPr>
                <w:p w14:paraId="7991613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98.8</w:t>
                  </w:r>
                </w:p>
              </w:tc>
              <w:tc>
                <w:tcPr>
                  <w:tcW w:w="1297" w:type="dxa"/>
                  <w:tcBorders>
                    <w:tl2br w:val="nil"/>
                    <w:tr2bl w:val="nil"/>
                  </w:tcBorders>
                  <w:vAlign w:val="center"/>
                </w:tcPr>
                <w:p w14:paraId="6E9C740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w:t>
                  </w:r>
                </w:p>
              </w:tc>
              <w:tc>
                <w:tcPr>
                  <w:tcW w:w="2068" w:type="dxa"/>
                  <w:tcBorders>
                    <w:tl2br w:val="nil"/>
                    <w:tr2bl w:val="nil"/>
                  </w:tcBorders>
                  <w:vAlign w:val="center"/>
                </w:tcPr>
                <w:p w14:paraId="6F3A311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w:t>
                  </w:r>
                </w:p>
              </w:tc>
            </w:tr>
            <w:tr w14:paraId="087663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96" w:type="dxa"/>
                  <w:tcBorders>
                    <w:tl2br w:val="nil"/>
                    <w:tr2bl w:val="nil"/>
                  </w:tcBorders>
                  <w:vAlign w:val="center"/>
                </w:tcPr>
                <w:p w14:paraId="077E3B1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铜</w:t>
                  </w:r>
                </w:p>
              </w:tc>
              <w:tc>
                <w:tcPr>
                  <w:tcW w:w="1296" w:type="dxa"/>
                  <w:tcBorders>
                    <w:tl2br w:val="nil"/>
                    <w:tr2bl w:val="nil"/>
                  </w:tcBorders>
                  <w:vAlign w:val="center"/>
                </w:tcPr>
                <w:p w14:paraId="53EA93D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23</w:t>
                  </w:r>
                </w:p>
              </w:tc>
              <w:tc>
                <w:tcPr>
                  <w:tcW w:w="1296" w:type="dxa"/>
                  <w:tcBorders>
                    <w:tl2br w:val="nil"/>
                    <w:tr2bl w:val="nil"/>
                  </w:tcBorders>
                  <w:vAlign w:val="center"/>
                </w:tcPr>
                <w:p w14:paraId="6D40EC7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0.331</w:t>
                  </w:r>
                </w:p>
              </w:tc>
              <w:tc>
                <w:tcPr>
                  <w:tcW w:w="1296" w:type="dxa"/>
                  <w:tcBorders>
                    <w:tl2br w:val="nil"/>
                    <w:tr2bl w:val="nil"/>
                  </w:tcBorders>
                  <w:vAlign w:val="center"/>
                </w:tcPr>
                <w:p w14:paraId="196A490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98.5</w:t>
                  </w:r>
                </w:p>
              </w:tc>
              <w:tc>
                <w:tcPr>
                  <w:tcW w:w="1297" w:type="dxa"/>
                  <w:tcBorders>
                    <w:tl2br w:val="nil"/>
                    <w:tr2bl w:val="nil"/>
                  </w:tcBorders>
                  <w:vAlign w:val="center"/>
                </w:tcPr>
                <w:p w14:paraId="7D80EF5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w:t>
                  </w:r>
                </w:p>
              </w:tc>
              <w:tc>
                <w:tcPr>
                  <w:tcW w:w="2068" w:type="dxa"/>
                  <w:tcBorders>
                    <w:tl2br w:val="nil"/>
                    <w:tr2bl w:val="nil"/>
                  </w:tcBorders>
                  <w:vAlign w:val="center"/>
                </w:tcPr>
                <w:p w14:paraId="50A7525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color w:val="FF0000"/>
                      <w:kern w:val="0"/>
                      <w:sz w:val="21"/>
                      <w:szCs w:val="21"/>
                      <w:vertAlign w:val="baseline"/>
                      <w:lang w:val="en-US" w:eastAsia="zh-CN"/>
                    </w:rPr>
                  </w:pPr>
                  <w:r>
                    <w:rPr>
                      <w:rFonts w:hint="eastAsia"/>
                      <w:b w:val="0"/>
                      <w:bCs w:val="0"/>
                      <w:color w:val="FF0000"/>
                      <w:kern w:val="0"/>
                      <w:sz w:val="21"/>
                      <w:szCs w:val="21"/>
                      <w:vertAlign w:val="baseline"/>
                      <w:lang w:val="en-US" w:eastAsia="zh-CN"/>
                    </w:rPr>
                    <w:t>/</w:t>
                  </w:r>
                </w:p>
              </w:tc>
            </w:tr>
          </w:tbl>
          <w:p w14:paraId="24893FB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b w:val="0"/>
                <w:bCs w:val="0"/>
                <w:color w:val="FF0000"/>
                <w:kern w:val="0"/>
                <w:sz w:val="21"/>
                <w:szCs w:val="21"/>
                <w:lang w:val="en-US" w:eastAsia="zh-CN"/>
              </w:rPr>
            </w:pPr>
            <w:r>
              <w:rPr>
                <w:rFonts w:hint="eastAsia"/>
                <w:b w:val="0"/>
                <w:bCs w:val="0"/>
                <w:color w:val="FF0000"/>
                <w:kern w:val="0"/>
                <w:sz w:val="21"/>
                <w:szCs w:val="21"/>
                <w:lang w:val="en-US" w:eastAsia="zh-CN"/>
              </w:rPr>
              <w:t>由上表可知，污水经中水回用系统处理后回用到生产中，回用水达到企业回用水水质标准，同时满足《城市污水再生利用 工业用水水质》（GB/T19923-2005）中相关限值。因此现有项目废水处理方案可行，废水回用可行。</w:t>
            </w:r>
          </w:p>
          <w:p w14:paraId="1AFEE1C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jc w:val="both"/>
              <w:textAlignment w:val="auto"/>
              <w:rPr>
                <w:rFonts w:hint="default"/>
                <w:b/>
                <w:bCs/>
                <w:color w:val="auto"/>
                <w:kern w:val="0"/>
                <w:sz w:val="21"/>
                <w:szCs w:val="21"/>
                <w:lang w:val="en-US" w:eastAsia="zh-CN"/>
              </w:rPr>
            </w:pPr>
            <w:r>
              <w:rPr>
                <w:rFonts w:hint="eastAsia"/>
                <w:b/>
                <w:bCs/>
                <w:color w:val="auto"/>
                <w:kern w:val="0"/>
                <w:sz w:val="21"/>
                <w:szCs w:val="21"/>
                <w:lang w:val="en-US" w:eastAsia="zh-CN"/>
              </w:rPr>
              <w:t>废气：</w:t>
            </w:r>
          </w:p>
          <w:p w14:paraId="02CFC1C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color w:val="auto"/>
                <w:kern w:val="0"/>
                <w:sz w:val="21"/>
                <w:szCs w:val="21"/>
                <w:lang w:val="en-US" w:eastAsia="zh-CN"/>
              </w:rPr>
            </w:pPr>
            <w:r>
              <w:rPr>
                <w:rFonts w:hint="eastAsia"/>
                <w:color w:val="auto"/>
                <w:kern w:val="0"/>
                <w:sz w:val="21"/>
                <w:szCs w:val="21"/>
                <w:lang w:val="en-US" w:eastAsia="zh-CN"/>
              </w:rPr>
              <w:t>废气监测结果见下表：</w:t>
            </w:r>
          </w:p>
          <w:p w14:paraId="77DC89E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color w:val="auto"/>
                <w:kern w:val="0"/>
                <w:sz w:val="21"/>
                <w:szCs w:val="21"/>
                <w:lang w:val="en-US" w:eastAsia="zh-CN"/>
              </w:rPr>
            </w:pPr>
            <w:r>
              <w:rPr>
                <w:rFonts w:hint="eastAsia"/>
                <w:b/>
                <w:bCs/>
                <w:color w:val="auto"/>
                <w:kern w:val="0"/>
                <w:sz w:val="21"/>
                <w:szCs w:val="21"/>
                <w:lang w:val="en-US" w:eastAsia="zh-CN"/>
              </w:rPr>
              <w:t>表2-8.1   有组织废气检测结果表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94"/>
              <w:gridCol w:w="1890"/>
              <w:gridCol w:w="1356"/>
              <w:gridCol w:w="174"/>
              <w:gridCol w:w="1182"/>
              <w:gridCol w:w="1158"/>
              <w:gridCol w:w="198"/>
              <w:gridCol w:w="1357"/>
            </w:tblGrid>
            <w:tr w14:paraId="73FDCF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449EFDD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检测点位</w:t>
                  </w:r>
                </w:p>
              </w:tc>
              <w:tc>
                <w:tcPr>
                  <w:tcW w:w="5425" w:type="dxa"/>
                  <w:gridSpan w:val="6"/>
                  <w:tcBorders>
                    <w:tl2br w:val="nil"/>
                    <w:tr2bl w:val="nil"/>
                  </w:tcBorders>
                  <w:vAlign w:val="center"/>
                </w:tcPr>
                <w:p w14:paraId="5A69436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DA001</w:t>
                  </w:r>
                </w:p>
              </w:tc>
            </w:tr>
            <w:tr w14:paraId="190CA7F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2DD4A22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污染源成立时间</w:t>
                  </w:r>
                </w:p>
              </w:tc>
              <w:tc>
                <w:tcPr>
                  <w:tcW w:w="1530" w:type="dxa"/>
                  <w:gridSpan w:val="2"/>
                  <w:tcBorders>
                    <w:tl2br w:val="nil"/>
                    <w:tr2bl w:val="nil"/>
                  </w:tcBorders>
                  <w:vAlign w:val="center"/>
                </w:tcPr>
                <w:p w14:paraId="189C474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w:t>
                  </w:r>
                </w:p>
              </w:tc>
              <w:tc>
                <w:tcPr>
                  <w:tcW w:w="2340" w:type="dxa"/>
                  <w:gridSpan w:val="2"/>
                  <w:tcBorders>
                    <w:tl2br w:val="nil"/>
                    <w:tr2bl w:val="nil"/>
                  </w:tcBorders>
                  <w:vAlign w:val="center"/>
                </w:tcPr>
                <w:p w14:paraId="6437772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测孔烟道截面积（m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cs="Times New Roman"/>
                      <w:color w:val="auto"/>
                      <w:kern w:val="0"/>
                      <w:sz w:val="21"/>
                      <w:szCs w:val="21"/>
                      <w:vertAlign w:val="baseline"/>
                      <w:lang w:val="en-US" w:eastAsia="zh-CN"/>
                    </w:rPr>
                    <w:t>）</w:t>
                  </w:r>
                </w:p>
              </w:tc>
              <w:tc>
                <w:tcPr>
                  <w:tcW w:w="1555" w:type="dxa"/>
                  <w:gridSpan w:val="2"/>
                  <w:tcBorders>
                    <w:tl2br w:val="nil"/>
                    <w:tr2bl w:val="nil"/>
                  </w:tcBorders>
                  <w:vAlign w:val="center"/>
                </w:tcPr>
                <w:p w14:paraId="5AC0B9C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0.5027</w:t>
                  </w:r>
                </w:p>
              </w:tc>
            </w:tr>
            <w:tr w14:paraId="65B4E4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199E274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燃料种类</w:t>
                  </w:r>
                </w:p>
              </w:tc>
              <w:tc>
                <w:tcPr>
                  <w:tcW w:w="1530" w:type="dxa"/>
                  <w:gridSpan w:val="2"/>
                  <w:tcBorders>
                    <w:tl2br w:val="nil"/>
                    <w:tr2bl w:val="nil"/>
                  </w:tcBorders>
                  <w:vAlign w:val="center"/>
                </w:tcPr>
                <w:p w14:paraId="4280C27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w:t>
                  </w:r>
                </w:p>
              </w:tc>
              <w:tc>
                <w:tcPr>
                  <w:tcW w:w="2340" w:type="dxa"/>
                  <w:gridSpan w:val="2"/>
                  <w:tcBorders>
                    <w:tl2br w:val="nil"/>
                    <w:tr2bl w:val="nil"/>
                  </w:tcBorders>
                  <w:vAlign w:val="center"/>
                </w:tcPr>
                <w:p w14:paraId="0413BE3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排气筒高度（m）</w:t>
                  </w:r>
                </w:p>
              </w:tc>
              <w:tc>
                <w:tcPr>
                  <w:tcW w:w="1555" w:type="dxa"/>
                  <w:gridSpan w:val="2"/>
                  <w:tcBorders>
                    <w:tl2br w:val="nil"/>
                    <w:tr2bl w:val="nil"/>
                  </w:tcBorders>
                  <w:vAlign w:val="center"/>
                </w:tcPr>
                <w:p w14:paraId="7412771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15</w:t>
                  </w:r>
                </w:p>
              </w:tc>
            </w:tr>
            <w:tr w14:paraId="5DA6465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2254D0F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净化处理设施</w:t>
                  </w:r>
                </w:p>
              </w:tc>
              <w:tc>
                <w:tcPr>
                  <w:tcW w:w="5425" w:type="dxa"/>
                  <w:gridSpan w:val="6"/>
                  <w:tcBorders>
                    <w:tl2br w:val="nil"/>
                    <w:tr2bl w:val="nil"/>
                  </w:tcBorders>
                  <w:vAlign w:val="center"/>
                </w:tcPr>
                <w:p w14:paraId="1216E77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二级活性炭吸附+三级水洗</w:t>
                  </w:r>
                </w:p>
              </w:tc>
            </w:tr>
            <w:tr w14:paraId="5AC93E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0C9021C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测试参数</w:t>
                  </w:r>
                </w:p>
              </w:tc>
              <w:tc>
                <w:tcPr>
                  <w:tcW w:w="1356" w:type="dxa"/>
                  <w:tcBorders>
                    <w:tl2br w:val="nil"/>
                    <w:tr2bl w:val="nil"/>
                  </w:tcBorders>
                  <w:vAlign w:val="center"/>
                </w:tcPr>
                <w:p w14:paraId="3B21FA0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第一次</w:t>
                  </w:r>
                </w:p>
              </w:tc>
              <w:tc>
                <w:tcPr>
                  <w:tcW w:w="1356" w:type="dxa"/>
                  <w:gridSpan w:val="2"/>
                  <w:tcBorders>
                    <w:tl2br w:val="nil"/>
                    <w:tr2bl w:val="nil"/>
                  </w:tcBorders>
                  <w:vAlign w:val="center"/>
                </w:tcPr>
                <w:p w14:paraId="0DAAE50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第二次</w:t>
                  </w:r>
                </w:p>
              </w:tc>
              <w:tc>
                <w:tcPr>
                  <w:tcW w:w="1356" w:type="dxa"/>
                  <w:gridSpan w:val="2"/>
                  <w:tcBorders>
                    <w:tl2br w:val="nil"/>
                    <w:tr2bl w:val="nil"/>
                  </w:tcBorders>
                  <w:vAlign w:val="center"/>
                </w:tcPr>
                <w:p w14:paraId="5C3E7C8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第三次</w:t>
                  </w:r>
                </w:p>
              </w:tc>
              <w:tc>
                <w:tcPr>
                  <w:tcW w:w="1357" w:type="dxa"/>
                  <w:tcBorders>
                    <w:tl2br w:val="nil"/>
                    <w:tr2bl w:val="nil"/>
                  </w:tcBorders>
                  <w:vAlign w:val="center"/>
                </w:tcPr>
                <w:p w14:paraId="74391D2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均值</w:t>
                  </w:r>
                </w:p>
              </w:tc>
            </w:tr>
            <w:tr w14:paraId="1EA96CE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2FB6FA1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烟气温度（℃）</w:t>
                  </w:r>
                </w:p>
              </w:tc>
              <w:tc>
                <w:tcPr>
                  <w:tcW w:w="1356" w:type="dxa"/>
                  <w:tcBorders>
                    <w:tl2br w:val="nil"/>
                    <w:tr2bl w:val="nil"/>
                  </w:tcBorders>
                  <w:vAlign w:val="center"/>
                </w:tcPr>
                <w:p w14:paraId="4AC822D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32.5</w:t>
                  </w:r>
                </w:p>
              </w:tc>
              <w:tc>
                <w:tcPr>
                  <w:tcW w:w="1356" w:type="dxa"/>
                  <w:gridSpan w:val="2"/>
                  <w:tcBorders>
                    <w:tl2br w:val="nil"/>
                    <w:tr2bl w:val="nil"/>
                  </w:tcBorders>
                  <w:vAlign w:val="center"/>
                </w:tcPr>
                <w:p w14:paraId="66C1CCE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32.7</w:t>
                  </w:r>
                </w:p>
              </w:tc>
              <w:tc>
                <w:tcPr>
                  <w:tcW w:w="1356" w:type="dxa"/>
                  <w:gridSpan w:val="2"/>
                  <w:tcBorders>
                    <w:tl2br w:val="nil"/>
                    <w:tr2bl w:val="nil"/>
                  </w:tcBorders>
                  <w:vAlign w:val="center"/>
                </w:tcPr>
                <w:p w14:paraId="32F59C0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33.0</w:t>
                  </w:r>
                </w:p>
              </w:tc>
              <w:tc>
                <w:tcPr>
                  <w:tcW w:w="1357" w:type="dxa"/>
                  <w:tcBorders>
                    <w:tl2br w:val="nil"/>
                    <w:tr2bl w:val="nil"/>
                  </w:tcBorders>
                  <w:vAlign w:val="center"/>
                </w:tcPr>
                <w:p w14:paraId="51DA0BB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32.7</w:t>
                  </w:r>
                </w:p>
              </w:tc>
            </w:tr>
            <w:tr w14:paraId="65206B4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2D789D0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烟气流速（m/s）</w:t>
                  </w:r>
                </w:p>
              </w:tc>
              <w:tc>
                <w:tcPr>
                  <w:tcW w:w="1356" w:type="dxa"/>
                  <w:tcBorders>
                    <w:tl2br w:val="nil"/>
                    <w:tr2bl w:val="nil"/>
                  </w:tcBorders>
                  <w:vAlign w:val="center"/>
                </w:tcPr>
                <w:p w14:paraId="7F5EEA7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2.1</w:t>
                  </w:r>
                </w:p>
              </w:tc>
              <w:tc>
                <w:tcPr>
                  <w:tcW w:w="1356" w:type="dxa"/>
                  <w:gridSpan w:val="2"/>
                  <w:tcBorders>
                    <w:tl2br w:val="nil"/>
                    <w:tr2bl w:val="nil"/>
                  </w:tcBorders>
                  <w:vAlign w:val="center"/>
                </w:tcPr>
                <w:p w14:paraId="6AECD41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2.1</w:t>
                  </w:r>
                </w:p>
              </w:tc>
              <w:tc>
                <w:tcPr>
                  <w:tcW w:w="1356" w:type="dxa"/>
                  <w:gridSpan w:val="2"/>
                  <w:tcBorders>
                    <w:tl2br w:val="nil"/>
                    <w:tr2bl w:val="nil"/>
                  </w:tcBorders>
                  <w:vAlign w:val="center"/>
                </w:tcPr>
                <w:p w14:paraId="0EBEB06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2.1</w:t>
                  </w:r>
                </w:p>
              </w:tc>
              <w:tc>
                <w:tcPr>
                  <w:tcW w:w="1357" w:type="dxa"/>
                  <w:tcBorders>
                    <w:tl2br w:val="nil"/>
                    <w:tr2bl w:val="nil"/>
                  </w:tcBorders>
                  <w:vAlign w:val="center"/>
                </w:tcPr>
                <w:p w14:paraId="171B0CA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2.1</w:t>
                  </w:r>
                </w:p>
              </w:tc>
            </w:tr>
            <w:tr w14:paraId="362F641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2BF90E8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测态烟气流量（m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/h）</w:t>
                  </w:r>
                </w:p>
              </w:tc>
              <w:tc>
                <w:tcPr>
                  <w:tcW w:w="1356" w:type="dxa"/>
                  <w:tcBorders>
                    <w:tl2br w:val="nil"/>
                    <w:tr2bl w:val="nil"/>
                  </w:tcBorders>
                  <w:vAlign w:val="center"/>
                </w:tcPr>
                <w:p w14:paraId="0EE7295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3727</w:t>
                  </w:r>
                </w:p>
              </w:tc>
              <w:tc>
                <w:tcPr>
                  <w:tcW w:w="1356" w:type="dxa"/>
                  <w:gridSpan w:val="2"/>
                  <w:tcBorders>
                    <w:tl2br w:val="nil"/>
                    <w:tr2bl w:val="nil"/>
                  </w:tcBorders>
                  <w:vAlign w:val="center"/>
                </w:tcPr>
                <w:p w14:paraId="2248C48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3752</w:t>
                  </w:r>
                </w:p>
              </w:tc>
              <w:tc>
                <w:tcPr>
                  <w:tcW w:w="1356" w:type="dxa"/>
                  <w:gridSpan w:val="2"/>
                  <w:tcBorders>
                    <w:tl2br w:val="nil"/>
                    <w:tr2bl w:val="nil"/>
                  </w:tcBorders>
                  <w:vAlign w:val="center"/>
                </w:tcPr>
                <w:p w14:paraId="3AC72F7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3754</w:t>
                  </w:r>
                </w:p>
              </w:tc>
              <w:tc>
                <w:tcPr>
                  <w:tcW w:w="1357" w:type="dxa"/>
                  <w:tcBorders>
                    <w:tl2br w:val="nil"/>
                    <w:tr2bl w:val="nil"/>
                  </w:tcBorders>
                  <w:vAlign w:val="center"/>
                </w:tcPr>
                <w:p w14:paraId="6CE15A1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3744</w:t>
                  </w:r>
                </w:p>
              </w:tc>
            </w:tr>
            <w:tr w14:paraId="39B36D0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15C3CBE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标态烟气流量（Nm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/h）</w:t>
                  </w:r>
                </w:p>
              </w:tc>
              <w:tc>
                <w:tcPr>
                  <w:tcW w:w="1356" w:type="dxa"/>
                  <w:tcBorders>
                    <w:tl2br w:val="nil"/>
                    <w:tr2bl w:val="nil"/>
                  </w:tcBorders>
                  <w:vAlign w:val="center"/>
                </w:tcPr>
                <w:p w14:paraId="1B0D1C6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3234</w:t>
                  </w:r>
                </w:p>
              </w:tc>
              <w:tc>
                <w:tcPr>
                  <w:tcW w:w="1356" w:type="dxa"/>
                  <w:gridSpan w:val="2"/>
                  <w:tcBorders>
                    <w:tl2br w:val="nil"/>
                    <w:tr2bl w:val="nil"/>
                  </w:tcBorders>
                  <w:vAlign w:val="center"/>
                </w:tcPr>
                <w:p w14:paraId="59C59C1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3253</w:t>
                  </w:r>
                </w:p>
              </w:tc>
              <w:tc>
                <w:tcPr>
                  <w:tcW w:w="1356" w:type="dxa"/>
                  <w:gridSpan w:val="2"/>
                  <w:tcBorders>
                    <w:tl2br w:val="nil"/>
                    <w:tr2bl w:val="nil"/>
                  </w:tcBorders>
                  <w:vAlign w:val="center"/>
                </w:tcPr>
                <w:p w14:paraId="304904A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3248</w:t>
                  </w:r>
                </w:p>
              </w:tc>
              <w:tc>
                <w:tcPr>
                  <w:tcW w:w="1357" w:type="dxa"/>
                  <w:tcBorders>
                    <w:tl2br w:val="nil"/>
                    <w:tr2bl w:val="nil"/>
                  </w:tcBorders>
                  <w:vAlign w:val="center"/>
                </w:tcPr>
                <w:p w14:paraId="62EF503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3245</w:t>
                  </w:r>
                </w:p>
              </w:tc>
            </w:tr>
            <w:tr w14:paraId="596BA3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411DF6D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含湿量（%）</w:t>
                  </w:r>
                </w:p>
              </w:tc>
              <w:tc>
                <w:tcPr>
                  <w:tcW w:w="1356" w:type="dxa"/>
                  <w:tcBorders>
                    <w:tl2br w:val="nil"/>
                    <w:tr2bl w:val="nil"/>
                  </w:tcBorders>
                  <w:vAlign w:val="center"/>
                </w:tcPr>
                <w:p w14:paraId="52BAD78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1.9</w:t>
                  </w:r>
                </w:p>
              </w:tc>
              <w:tc>
                <w:tcPr>
                  <w:tcW w:w="1356" w:type="dxa"/>
                  <w:gridSpan w:val="2"/>
                  <w:tcBorders>
                    <w:tl2br w:val="nil"/>
                    <w:tr2bl w:val="nil"/>
                  </w:tcBorders>
                  <w:vAlign w:val="center"/>
                </w:tcPr>
                <w:p w14:paraId="552F835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1.9</w:t>
                  </w:r>
                </w:p>
              </w:tc>
              <w:tc>
                <w:tcPr>
                  <w:tcW w:w="1356" w:type="dxa"/>
                  <w:gridSpan w:val="2"/>
                  <w:tcBorders>
                    <w:tl2br w:val="nil"/>
                    <w:tr2bl w:val="nil"/>
                  </w:tcBorders>
                  <w:vAlign w:val="center"/>
                </w:tcPr>
                <w:p w14:paraId="13FF4B3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2.0</w:t>
                  </w:r>
                </w:p>
              </w:tc>
              <w:tc>
                <w:tcPr>
                  <w:tcW w:w="1357" w:type="dxa"/>
                  <w:tcBorders>
                    <w:tl2br w:val="nil"/>
                    <w:tr2bl w:val="nil"/>
                  </w:tcBorders>
                  <w:vAlign w:val="center"/>
                </w:tcPr>
                <w:p w14:paraId="044D353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1.9</w:t>
                  </w:r>
                </w:p>
              </w:tc>
            </w:tr>
            <w:tr w14:paraId="1E1542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94" w:type="dxa"/>
                  <w:vMerge w:val="restart"/>
                  <w:tcBorders>
                    <w:tl2br w:val="nil"/>
                    <w:tr2bl w:val="nil"/>
                  </w:tcBorders>
                  <w:vAlign w:val="center"/>
                </w:tcPr>
                <w:p w14:paraId="5C7E21F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非甲烷总烃</w:t>
                  </w:r>
                </w:p>
              </w:tc>
              <w:tc>
                <w:tcPr>
                  <w:tcW w:w="1890" w:type="dxa"/>
                  <w:tcBorders>
                    <w:tl2br w:val="nil"/>
                    <w:tr2bl w:val="nil"/>
                  </w:tcBorders>
                  <w:vAlign w:val="center"/>
                </w:tcPr>
                <w:p w14:paraId="2C5780E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排放浓度（mg/m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w:t>
                  </w:r>
                </w:p>
              </w:tc>
              <w:tc>
                <w:tcPr>
                  <w:tcW w:w="1356" w:type="dxa"/>
                  <w:tcBorders>
                    <w:tl2br w:val="nil"/>
                    <w:tr2bl w:val="nil"/>
                  </w:tcBorders>
                  <w:vAlign w:val="center"/>
                </w:tcPr>
                <w:p w14:paraId="3516052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2.42</w:t>
                  </w:r>
                </w:p>
              </w:tc>
              <w:tc>
                <w:tcPr>
                  <w:tcW w:w="1356" w:type="dxa"/>
                  <w:gridSpan w:val="2"/>
                  <w:tcBorders>
                    <w:tl2br w:val="nil"/>
                    <w:tr2bl w:val="nil"/>
                  </w:tcBorders>
                  <w:vAlign w:val="center"/>
                </w:tcPr>
                <w:p w14:paraId="6B5111A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3.03</w:t>
                  </w:r>
                </w:p>
              </w:tc>
              <w:tc>
                <w:tcPr>
                  <w:tcW w:w="1356" w:type="dxa"/>
                  <w:gridSpan w:val="2"/>
                  <w:tcBorders>
                    <w:tl2br w:val="nil"/>
                    <w:tr2bl w:val="nil"/>
                  </w:tcBorders>
                  <w:vAlign w:val="center"/>
                </w:tcPr>
                <w:p w14:paraId="5953922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3.00</w:t>
                  </w:r>
                </w:p>
              </w:tc>
              <w:tc>
                <w:tcPr>
                  <w:tcW w:w="1357" w:type="dxa"/>
                  <w:tcBorders>
                    <w:tl2br w:val="nil"/>
                    <w:tr2bl w:val="nil"/>
                  </w:tcBorders>
                  <w:vAlign w:val="center"/>
                </w:tcPr>
                <w:p w14:paraId="71CA6E4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2.82</w:t>
                  </w:r>
                </w:p>
              </w:tc>
            </w:tr>
            <w:tr w14:paraId="4876C3F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94" w:type="dxa"/>
                  <w:vMerge w:val="continue"/>
                  <w:tcBorders>
                    <w:tl2br w:val="nil"/>
                    <w:tr2bl w:val="nil"/>
                  </w:tcBorders>
                  <w:vAlign w:val="center"/>
                </w:tcPr>
                <w:p w14:paraId="7EA4EBC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890" w:type="dxa"/>
                  <w:tcBorders>
                    <w:tl2br w:val="nil"/>
                    <w:tr2bl w:val="nil"/>
                  </w:tcBorders>
                  <w:vAlign w:val="center"/>
                </w:tcPr>
                <w:p w14:paraId="306AE2B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排放速率（kg/h）</w:t>
                  </w:r>
                </w:p>
              </w:tc>
              <w:tc>
                <w:tcPr>
                  <w:tcW w:w="1356" w:type="dxa"/>
                  <w:tcBorders>
                    <w:tl2br w:val="nil"/>
                    <w:tr2bl w:val="nil"/>
                  </w:tcBorders>
                  <w:vAlign w:val="center"/>
                </w:tcPr>
                <w:p w14:paraId="0C382C6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7.83×10</w:t>
                  </w:r>
                  <w:r>
                    <w:rPr>
                      <w:rFonts w:hint="default" w:ascii="Times New Roman" w:hAnsi="Times New Roman" w:cs="Times New Roman"/>
                      <w:color w:val="auto"/>
                      <w:kern w:val="0"/>
                      <w:sz w:val="21"/>
                      <w:szCs w:val="21"/>
                      <w:vertAlign w:val="superscript"/>
                      <w:lang w:val="en-US" w:eastAsia="zh-CN"/>
                    </w:rPr>
                    <w:t>-3</w:t>
                  </w:r>
                </w:p>
              </w:tc>
              <w:tc>
                <w:tcPr>
                  <w:tcW w:w="1356" w:type="dxa"/>
                  <w:gridSpan w:val="2"/>
                  <w:tcBorders>
                    <w:tl2br w:val="nil"/>
                    <w:tr2bl w:val="nil"/>
                  </w:tcBorders>
                  <w:vAlign w:val="center"/>
                </w:tcPr>
                <w:p w14:paraId="101AC02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9.86×10</w:t>
                  </w:r>
                  <w:r>
                    <w:rPr>
                      <w:rFonts w:hint="default" w:ascii="Times New Roman" w:hAnsi="Times New Roman" w:cs="Times New Roman"/>
                      <w:color w:val="auto"/>
                      <w:kern w:val="0"/>
                      <w:sz w:val="21"/>
                      <w:szCs w:val="21"/>
                      <w:vertAlign w:val="superscript"/>
                      <w:lang w:val="en-US" w:eastAsia="zh-CN"/>
                    </w:rPr>
                    <w:t>-3</w:t>
                  </w:r>
                </w:p>
              </w:tc>
              <w:tc>
                <w:tcPr>
                  <w:tcW w:w="1356" w:type="dxa"/>
                  <w:gridSpan w:val="2"/>
                  <w:tcBorders>
                    <w:tl2br w:val="nil"/>
                    <w:tr2bl w:val="nil"/>
                  </w:tcBorders>
                  <w:vAlign w:val="center"/>
                </w:tcPr>
                <w:p w14:paraId="7A9A426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9.74×10</w:t>
                  </w:r>
                  <w:r>
                    <w:rPr>
                      <w:rFonts w:hint="default" w:ascii="Times New Roman" w:hAnsi="Times New Roman" w:cs="Times New Roman"/>
                      <w:color w:val="auto"/>
                      <w:kern w:val="0"/>
                      <w:sz w:val="21"/>
                      <w:szCs w:val="21"/>
                      <w:vertAlign w:val="superscript"/>
                      <w:lang w:val="en-US" w:eastAsia="zh-CN"/>
                    </w:rPr>
                    <w:t>-3</w:t>
                  </w:r>
                </w:p>
              </w:tc>
              <w:tc>
                <w:tcPr>
                  <w:tcW w:w="1357" w:type="dxa"/>
                  <w:tcBorders>
                    <w:tl2br w:val="nil"/>
                    <w:tr2bl w:val="nil"/>
                  </w:tcBorders>
                  <w:vAlign w:val="center"/>
                </w:tcPr>
                <w:p w14:paraId="3A6AC0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9.15×10</w:t>
                  </w:r>
                  <w:r>
                    <w:rPr>
                      <w:rFonts w:hint="default" w:ascii="Times New Roman" w:hAnsi="Times New Roman" w:cs="Times New Roman"/>
                      <w:color w:val="auto"/>
                      <w:kern w:val="0"/>
                      <w:sz w:val="21"/>
                      <w:szCs w:val="21"/>
                      <w:vertAlign w:val="superscript"/>
                      <w:lang w:val="en-US" w:eastAsia="zh-CN"/>
                    </w:rPr>
                    <w:t>-3</w:t>
                  </w:r>
                </w:p>
              </w:tc>
            </w:tr>
          </w:tbl>
          <w:p w14:paraId="5ED9B4E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color w:val="auto"/>
                <w:kern w:val="0"/>
                <w:sz w:val="21"/>
                <w:szCs w:val="21"/>
                <w:lang w:val="en-US" w:eastAsia="zh-CN"/>
              </w:rPr>
            </w:pPr>
            <w:r>
              <w:rPr>
                <w:rFonts w:hint="eastAsia"/>
                <w:b/>
                <w:bCs/>
                <w:color w:val="auto"/>
                <w:kern w:val="0"/>
                <w:sz w:val="21"/>
                <w:szCs w:val="21"/>
                <w:lang w:val="en-US" w:eastAsia="zh-CN"/>
              </w:rPr>
              <w:t>表2-8.2   有组织废气检测结果表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94"/>
              <w:gridCol w:w="1890"/>
              <w:gridCol w:w="1650"/>
              <w:gridCol w:w="158"/>
              <w:gridCol w:w="1808"/>
              <w:gridCol w:w="194"/>
              <w:gridCol w:w="1615"/>
            </w:tblGrid>
            <w:tr w14:paraId="77E50C5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4C43478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检测点位</w:t>
                  </w:r>
                </w:p>
              </w:tc>
              <w:tc>
                <w:tcPr>
                  <w:tcW w:w="5425" w:type="dxa"/>
                  <w:gridSpan w:val="5"/>
                  <w:tcBorders>
                    <w:tl2br w:val="nil"/>
                    <w:tr2bl w:val="nil"/>
                  </w:tcBorders>
                  <w:vAlign w:val="center"/>
                </w:tcPr>
                <w:p w14:paraId="537723D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DA00</w:t>
                  </w:r>
                  <w:r>
                    <w:rPr>
                      <w:rFonts w:hint="eastAsia" w:cs="Times New Roman"/>
                      <w:color w:val="auto"/>
                      <w:kern w:val="0"/>
                      <w:sz w:val="21"/>
                      <w:szCs w:val="21"/>
                      <w:vertAlign w:val="baseline"/>
                      <w:lang w:val="en-US" w:eastAsia="zh-CN"/>
                    </w:rPr>
                    <w:t>2</w:t>
                  </w:r>
                </w:p>
              </w:tc>
            </w:tr>
            <w:tr w14:paraId="49E0D16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4CE0689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污染源成立时间</w:t>
                  </w:r>
                </w:p>
              </w:tc>
              <w:tc>
                <w:tcPr>
                  <w:tcW w:w="1650" w:type="dxa"/>
                  <w:tcBorders>
                    <w:tl2br w:val="nil"/>
                    <w:tr2bl w:val="nil"/>
                  </w:tcBorders>
                  <w:vAlign w:val="center"/>
                </w:tcPr>
                <w:p w14:paraId="7C95659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w:t>
                  </w:r>
                </w:p>
              </w:tc>
              <w:tc>
                <w:tcPr>
                  <w:tcW w:w="2160" w:type="dxa"/>
                  <w:gridSpan w:val="3"/>
                  <w:tcBorders>
                    <w:tl2br w:val="nil"/>
                    <w:tr2bl w:val="nil"/>
                  </w:tcBorders>
                  <w:vAlign w:val="center"/>
                </w:tcPr>
                <w:p w14:paraId="05785D0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测孔烟道截面积（m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cs="Times New Roman"/>
                      <w:color w:val="auto"/>
                      <w:kern w:val="0"/>
                      <w:sz w:val="21"/>
                      <w:szCs w:val="21"/>
                      <w:vertAlign w:val="baseline"/>
                      <w:lang w:val="en-US" w:eastAsia="zh-CN"/>
                    </w:rPr>
                    <w:t>）</w:t>
                  </w:r>
                </w:p>
              </w:tc>
              <w:tc>
                <w:tcPr>
                  <w:tcW w:w="1615" w:type="dxa"/>
                  <w:tcBorders>
                    <w:tl2br w:val="nil"/>
                    <w:tr2bl w:val="nil"/>
                  </w:tcBorders>
                  <w:vAlign w:val="center"/>
                </w:tcPr>
                <w:p w14:paraId="29A4A70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w:t>
                  </w:r>
                  <w:r>
                    <w:rPr>
                      <w:rFonts w:hint="eastAsia" w:cs="Times New Roman"/>
                      <w:color w:val="auto"/>
                      <w:kern w:val="0"/>
                      <w:sz w:val="21"/>
                      <w:szCs w:val="21"/>
                      <w:vertAlign w:val="baseline"/>
                      <w:lang w:val="en-US" w:eastAsia="zh-CN"/>
                    </w:rPr>
                    <w:t>1963</w:t>
                  </w:r>
                </w:p>
              </w:tc>
            </w:tr>
            <w:tr w14:paraId="5EF30A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66BA7FC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燃料种类</w:t>
                  </w:r>
                </w:p>
              </w:tc>
              <w:tc>
                <w:tcPr>
                  <w:tcW w:w="1650" w:type="dxa"/>
                  <w:tcBorders>
                    <w:tl2br w:val="nil"/>
                    <w:tr2bl w:val="nil"/>
                  </w:tcBorders>
                  <w:vAlign w:val="center"/>
                </w:tcPr>
                <w:p w14:paraId="24E63C4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w:t>
                  </w:r>
                </w:p>
              </w:tc>
              <w:tc>
                <w:tcPr>
                  <w:tcW w:w="2160" w:type="dxa"/>
                  <w:gridSpan w:val="3"/>
                  <w:tcBorders>
                    <w:tl2br w:val="nil"/>
                    <w:tr2bl w:val="nil"/>
                  </w:tcBorders>
                  <w:vAlign w:val="center"/>
                </w:tcPr>
                <w:p w14:paraId="066209F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排气筒高度（m）</w:t>
                  </w:r>
                </w:p>
              </w:tc>
              <w:tc>
                <w:tcPr>
                  <w:tcW w:w="1615" w:type="dxa"/>
                  <w:tcBorders>
                    <w:tl2br w:val="nil"/>
                    <w:tr2bl w:val="nil"/>
                  </w:tcBorders>
                  <w:vAlign w:val="center"/>
                </w:tcPr>
                <w:p w14:paraId="108C72F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15</w:t>
                  </w:r>
                </w:p>
              </w:tc>
            </w:tr>
            <w:tr w14:paraId="0020BC0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1D16A7C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净化处理设施</w:t>
                  </w:r>
                </w:p>
              </w:tc>
              <w:tc>
                <w:tcPr>
                  <w:tcW w:w="5425" w:type="dxa"/>
                  <w:gridSpan w:val="5"/>
                  <w:tcBorders>
                    <w:tl2br w:val="nil"/>
                    <w:tr2bl w:val="nil"/>
                  </w:tcBorders>
                  <w:vAlign w:val="center"/>
                </w:tcPr>
                <w:p w14:paraId="4651914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布袋除尘</w:t>
                  </w:r>
                </w:p>
              </w:tc>
            </w:tr>
            <w:tr w14:paraId="56261B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6B04578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测试参数</w:t>
                  </w:r>
                </w:p>
              </w:tc>
              <w:tc>
                <w:tcPr>
                  <w:tcW w:w="1808" w:type="dxa"/>
                  <w:gridSpan w:val="2"/>
                  <w:tcBorders>
                    <w:tl2br w:val="nil"/>
                    <w:tr2bl w:val="nil"/>
                  </w:tcBorders>
                  <w:vAlign w:val="center"/>
                </w:tcPr>
                <w:p w14:paraId="4508A26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第一次</w:t>
                  </w:r>
                </w:p>
              </w:tc>
              <w:tc>
                <w:tcPr>
                  <w:tcW w:w="1808" w:type="dxa"/>
                  <w:tcBorders>
                    <w:tl2br w:val="nil"/>
                    <w:tr2bl w:val="nil"/>
                  </w:tcBorders>
                  <w:vAlign w:val="center"/>
                </w:tcPr>
                <w:p w14:paraId="032BA83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第二次</w:t>
                  </w:r>
                </w:p>
              </w:tc>
              <w:tc>
                <w:tcPr>
                  <w:tcW w:w="1809" w:type="dxa"/>
                  <w:gridSpan w:val="2"/>
                  <w:tcBorders>
                    <w:tl2br w:val="nil"/>
                    <w:tr2bl w:val="nil"/>
                  </w:tcBorders>
                  <w:vAlign w:val="center"/>
                </w:tcPr>
                <w:p w14:paraId="4753ECD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第三次</w:t>
                  </w:r>
                </w:p>
              </w:tc>
            </w:tr>
            <w:tr w14:paraId="67D5DC9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56DC07C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烟气温度（℃）</w:t>
                  </w:r>
                </w:p>
              </w:tc>
              <w:tc>
                <w:tcPr>
                  <w:tcW w:w="1808" w:type="dxa"/>
                  <w:gridSpan w:val="2"/>
                  <w:tcBorders>
                    <w:tl2br w:val="nil"/>
                    <w:tr2bl w:val="nil"/>
                  </w:tcBorders>
                  <w:vAlign w:val="center"/>
                </w:tcPr>
                <w:p w14:paraId="6ACC506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30.5</w:t>
                  </w:r>
                </w:p>
              </w:tc>
              <w:tc>
                <w:tcPr>
                  <w:tcW w:w="1808" w:type="dxa"/>
                  <w:tcBorders>
                    <w:tl2br w:val="nil"/>
                    <w:tr2bl w:val="nil"/>
                  </w:tcBorders>
                  <w:vAlign w:val="center"/>
                </w:tcPr>
                <w:p w14:paraId="49323A0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30.7</w:t>
                  </w:r>
                </w:p>
              </w:tc>
              <w:tc>
                <w:tcPr>
                  <w:tcW w:w="1809" w:type="dxa"/>
                  <w:gridSpan w:val="2"/>
                  <w:tcBorders>
                    <w:tl2br w:val="nil"/>
                    <w:tr2bl w:val="nil"/>
                  </w:tcBorders>
                  <w:vAlign w:val="center"/>
                </w:tcPr>
                <w:p w14:paraId="53A86EF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30.6</w:t>
                  </w:r>
                </w:p>
              </w:tc>
            </w:tr>
            <w:tr w14:paraId="08B3A1A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1EC3510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烟气流速（m/s）</w:t>
                  </w:r>
                </w:p>
              </w:tc>
              <w:tc>
                <w:tcPr>
                  <w:tcW w:w="1808" w:type="dxa"/>
                  <w:gridSpan w:val="2"/>
                  <w:tcBorders>
                    <w:tl2br w:val="nil"/>
                    <w:tr2bl w:val="nil"/>
                  </w:tcBorders>
                  <w:vAlign w:val="center"/>
                </w:tcPr>
                <w:p w14:paraId="19CF4BE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3.3</w:t>
                  </w:r>
                </w:p>
              </w:tc>
              <w:tc>
                <w:tcPr>
                  <w:tcW w:w="1808" w:type="dxa"/>
                  <w:tcBorders>
                    <w:tl2br w:val="nil"/>
                    <w:tr2bl w:val="nil"/>
                  </w:tcBorders>
                  <w:vAlign w:val="center"/>
                </w:tcPr>
                <w:p w14:paraId="7EDEA7A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3.5</w:t>
                  </w:r>
                </w:p>
              </w:tc>
              <w:tc>
                <w:tcPr>
                  <w:tcW w:w="1809" w:type="dxa"/>
                  <w:gridSpan w:val="2"/>
                  <w:tcBorders>
                    <w:tl2br w:val="nil"/>
                    <w:tr2bl w:val="nil"/>
                  </w:tcBorders>
                  <w:vAlign w:val="center"/>
                </w:tcPr>
                <w:p w14:paraId="094AC9C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3.6</w:t>
                  </w:r>
                </w:p>
              </w:tc>
            </w:tr>
            <w:tr w14:paraId="77E8000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7EF3AF0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测态烟气流量（m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/h）</w:t>
                  </w:r>
                </w:p>
              </w:tc>
              <w:tc>
                <w:tcPr>
                  <w:tcW w:w="1808" w:type="dxa"/>
                  <w:gridSpan w:val="2"/>
                  <w:tcBorders>
                    <w:tl2br w:val="nil"/>
                    <w:tr2bl w:val="nil"/>
                  </w:tcBorders>
                  <w:vAlign w:val="center"/>
                </w:tcPr>
                <w:p w14:paraId="57C06A3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2315</w:t>
                  </w:r>
                </w:p>
              </w:tc>
              <w:tc>
                <w:tcPr>
                  <w:tcW w:w="1808" w:type="dxa"/>
                  <w:tcBorders>
                    <w:tl2br w:val="nil"/>
                    <w:tr2bl w:val="nil"/>
                  </w:tcBorders>
                  <w:vAlign w:val="center"/>
                </w:tcPr>
                <w:p w14:paraId="2D83A6E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2451</w:t>
                  </w:r>
                </w:p>
              </w:tc>
              <w:tc>
                <w:tcPr>
                  <w:tcW w:w="1809" w:type="dxa"/>
                  <w:gridSpan w:val="2"/>
                  <w:tcBorders>
                    <w:tl2br w:val="nil"/>
                    <w:tr2bl w:val="nil"/>
                  </w:tcBorders>
                  <w:vAlign w:val="center"/>
                </w:tcPr>
                <w:p w14:paraId="26ACC96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2520</w:t>
                  </w:r>
                </w:p>
              </w:tc>
            </w:tr>
            <w:tr w14:paraId="1A2D379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7793EDE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标态烟气流量（Nm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/h）</w:t>
                  </w:r>
                </w:p>
              </w:tc>
              <w:tc>
                <w:tcPr>
                  <w:tcW w:w="1808" w:type="dxa"/>
                  <w:gridSpan w:val="2"/>
                  <w:tcBorders>
                    <w:tl2br w:val="nil"/>
                    <w:tr2bl w:val="nil"/>
                  </w:tcBorders>
                  <w:vAlign w:val="center"/>
                </w:tcPr>
                <w:p w14:paraId="034D719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2020</w:t>
                  </w:r>
                </w:p>
              </w:tc>
              <w:tc>
                <w:tcPr>
                  <w:tcW w:w="1808" w:type="dxa"/>
                  <w:tcBorders>
                    <w:tl2br w:val="nil"/>
                    <w:tr2bl w:val="nil"/>
                  </w:tcBorders>
                  <w:vAlign w:val="center"/>
                </w:tcPr>
                <w:p w14:paraId="55EEA3F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2134</w:t>
                  </w:r>
                </w:p>
              </w:tc>
              <w:tc>
                <w:tcPr>
                  <w:tcW w:w="1809" w:type="dxa"/>
                  <w:gridSpan w:val="2"/>
                  <w:tcBorders>
                    <w:tl2br w:val="nil"/>
                    <w:tr2bl w:val="nil"/>
                  </w:tcBorders>
                  <w:vAlign w:val="center"/>
                </w:tcPr>
                <w:p w14:paraId="3F69B3F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2194</w:t>
                  </w:r>
                </w:p>
              </w:tc>
            </w:tr>
            <w:tr w14:paraId="6FA7BA4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3E52F51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含湿量（%）</w:t>
                  </w:r>
                </w:p>
              </w:tc>
              <w:tc>
                <w:tcPr>
                  <w:tcW w:w="1808" w:type="dxa"/>
                  <w:gridSpan w:val="2"/>
                  <w:tcBorders>
                    <w:tl2br w:val="nil"/>
                    <w:tr2bl w:val="nil"/>
                  </w:tcBorders>
                  <w:vAlign w:val="center"/>
                </w:tcPr>
                <w:p w14:paraId="441F9EA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1.9</w:t>
                  </w:r>
                </w:p>
              </w:tc>
              <w:tc>
                <w:tcPr>
                  <w:tcW w:w="1808" w:type="dxa"/>
                  <w:tcBorders>
                    <w:tl2br w:val="nil"/>
                    <w:tr2bl w:val="nil"/>
                  </w:tcBorders>
                  <w:vAlign w:val="center"/>
                </w:tcPr>
                <w:p w14:paraId="0FDC2B9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2.0</w:t>
                  </w:r>
                </w:p>
              </w:tc>
              <w:tc>
                <w:tcPr>
                  <w:tcW w:w="1809" w:type="dxa"/>
                  <w:gridSpan w:val="2"/>
                  <w:tcBorders>
                    <w:tl2br w:val="nil"/>
                    <w:tr2bl w:val="nil"/>
                  </w:tcBorders>
                  <w:vAlign w:val="center"/>
                </w:tcPr>
                <w:p w14:paraId="5EB4708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2.0</w:t>
                  </w:r>
                </w:p>
              </w:tc>
            </w:tr>
            <w:tr w14:paraId="71821A4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94" w:type="dxa"/>
                  <w:vMerge w:val="restart"/>
                  <w:tcBorders>
                    <w:tl2br w:val="nil"/>
                    <w:tr2bl w:val="nil"/>
                  </w:tcBorders>
                  <w:vAlign w:val="center"/>
                </w:tcPr>
                <w:p w14:paraId="2D62C64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颗粒物</w:t>
                  </w:r>
                </w:p>
              </w:tc>
              <w:tc>
                <w:tcPr>
                  <w:tcW w:w="1890" w:type="dxa"/>
                  <w:tcBorders>
                    <w:tl2br w:val="nil"/>
                    <w:tr2bl w:val="nil"/>
                  </w:tcBorders>
                  <w:vAlign w:val="center"/>
                </w:tcPr>
                <w:p w14:paraId="143CFCA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排放浓度（mg/m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w:t>
                  </w:r>
                </w:p>
              </w:tc>
              <w:tc>
                <w:tcPr>
                  <w:tcW w:w="1808" w:type="dxa"/>
                  <w:gridSpan w:val="2"/>
                  <w:tcBorders>
                    <w:tl2br w:val="nil"/>
                    <w:tr2bl w:val="nil"/>
                  </w:tcBorders>
                  <w:vAlign w:val="center"/>
                </w:tcPr>
                <w:p w14:paraId="769BC7D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808" w:type="dxa"/>
                  <w:tcBorders>
                    <w:tl2br w:val="nil"/>
                    <w:tr2bl w:val="nil"/>
                  </w:tcBorders>
                  <w:vAlign w:val="center"/>
                </w:tcPr>
                <w:p w14:paraId="69426CC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1.1</w:t>
                  </w:r>
                </w:p>
              </w:tc>
              <w:tc>
                <w:tcPr>
                  <w:tcW w:w="1809" w:type="dxa"/>
                  <w:gridSpan w:val="2"/>
                  <w:tcBorders>
                    <w:tl2br w:val="nil"/>
                    <w:tr2bl w:val="nil"/>
                  </w:tcBorders>
                  <w:vAlign w:val="center"/>
                </w:tcPr>
                <w:p w14:paraId="318C590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r>
            <w:tr w14:paraId="77A0BEB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94" w:type="dxa"/>
                  <w:vMerge w:val="continue"/>
                  <w:tcBorders>
                    <w:tl2br w:val="nil"/>
                    <w:tr2bl w:val="nil"/>
                  </w:tcBorders>
                  <w:vAlign w:val="center"/>
                </w:tcPr>
                <w:p w14:paraId="5C66F0A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890" w:type="dxa"/>
                  <w:tcBorders>
                    <w:tl2br w:val="nil"/>
                    <w:tr2bl w:val="nil"/>
                  </w:tcBorders>
                  <w:vAlign w:val="center"/>
                </w:tcPr>
                <w:p w14:paraId="4CBAA62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排放速率（kg/h）</w:t>
                  </w:r>
                </w:p>
              </w:tc>
              <w:tc>
                <w:tcPr>
                  <w:tcW w:w="1808" w:type="dxa"/>
                  <w:gridSpan w:val="2"/>
                  <w:tcBorders>
                    <w:tl2br w:val="nil"/>
                    <w:tr2bl w:val="nil"/>
                  </w:tcBorders>
                  <w:vAlign w:val="center"/>
                </w:tcPr>
                <w:p w14:paraId="6A9357E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w:t>
                  </w:r>
                </w:p>
              </w:tc>
              <w:tc>
                <w:tcPr>
                  <w:tcW w:w="1808" w:type="dxa"/>
                  <w:tcBorders>
                    <w:tl2br w:val="nil"/>
                    <w:tr2bl w:val="nil"/>
                  </w:tcBorders>
                  <w:vAlign w:val="center"/>
                </w:tcPr>
                <w:p w14:paraId="61EAAB7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2.3</w:t>
                  </w:r>
                  <w:r>
                    <w:rPr>
                      <w:rFonts w:hint="default" w:ascii="Times New Roman" w:hAnsi="Times New Roman" w:cs="Times New Roman"/>
                      <w:color w:val="auto"/>
                      <w:kern w:val="0"/>
                      <w:sz w:val="21"/>
                      <w:szCs w:val="21"/>
                      <w:vertAlign w:val="baseline"/>
                      <w:lang w:val="en-US" w:eastAsia="zh-CN"/>
                    </w:rPr>
                    <w:t>×10</w:t>
                  </w:r>
                  <w:r>
                    <w:rPr>
                      <w:rFonts w:hint="default" w:ascii="Times New Roman" w:hAnsi="Times New Roman" w:cs="Times New Roman"/>
                      <w:color w:val="auto"/>
                      <w:kern w:val="0"/>
                      <w:sz w:val="21"/>
                      <w:szCs w:val="21"/>
                      <w:vertAlign w:val="superscript"/>
                      <w:lang w:val="en-US" w:eastAsia="zh-CN"/>
                    </w:rPr>
                    <w:t>-3</w:t>
                  </w:r>
                </w:p>
              </w:tc>
              <w:tc>
                <w:tcPr>
                  <w:tcW w:w="1809" w:type="dxa"/>
                  <w:gridSpan w:val="2"/>
                  <w:tcBorders>
                    <w:tl2br w:val="nil"/>
                    <w:tr2bl w:val="nil"/>
                  </w:tcBorders>
                  <w:vAlign w:val="center"/>
                </w:tcPr>
                <w:p w14:paraId="2799FF7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w:t>
                  </w:r>
                </w:p>
              </w:tc>
            </w:tr>
            <w:tr w14:paraId="3CDDD0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609" w:type="dxa"/>
                  <w:gridSpan w:val="7"/>
                  <w:tcBorders>
                    <w:tl2br w:val="nil"/>
                    <w:tr2bl w:val="nil"/>
                  </w:tcBorders>
                  <w:vAlign w:val="center"/>
                </w:tcPr>
                <w:p w14:paraId="35DF55D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注：ND代表未检出，颗粒物的检出限为1.0mg/m</w:t>
                  </w:r>
                  <w:r>
                    <w:rPr>
                      <w:rFonts w:hint="eastAsia" w:cs="Times New Roman"/>
                      <w:color w:val="auto"/>
                      <w:kern w:val="0"/>
                      <w:sz w:val="21"/>
                      <w:szCs w:val="21"/>
                      <w:vertAlign w:val="superscript"/>
                      <w:lang w:val="en-US" w:eastAsia="zh-CN"/>
                    </w:rPr>
                    <w:t>3</w:t>
                  </w:r>
                  <w:r>
                    <w:rPr>
                      <w:rFonts w:hint="eastAsia" w:cs="Times New Roman"/>
                      <w:color w:val="auto"/>
                      <w:kern w:val="0"/>
                      <w:sz w:val="21"/>
                      <w:szCs w:val="21"/>
                      <w:vertAlign w:val="baseline"/>
                      <w:lang w:val="en-US" w:eastAsia="zh-CN"/>
                    </w:rPr>
                    <w:t>（以1m</w:t>
                  </w:r>
                  <w:r>
                    <w:rPr>
                      <w:rFonts w:hint="eastAsia" w:cs="Times New Roman"/>
                      <w:color w:val="auto"/>
                      <w:kern w:val="0"/>
                      <w:sz w:val="21"/>
                      <w:szCs w:val="21"/>
                      <w:vertAlign w:val="superscript"/>
                      <w:lang w:val="en-US" w:eastAsia="zh-CN"/>
                    </w:rPr>
                    <w:t>3</w:t>
                  </w:r>
                  <w:r>
                    <w:rPr>
                      <w:rFonts w:hint="eastAsia" w:cs="Times New Roman"/>
                      <w:color w:val="auto"/>
                      <w:kern w:val="0"/>
                      <w:sz w:val="21"/>
                      <w:szCs w:val="21"/>
                      <w:vertAlign w:val="baseline"/>
                      <w:lang w:val="en-US" w:eastAsia="zh-CN"/>
                    </w:rPr>
                    <w:t>计），相应排放速率不予计算。</w:t>
                  </w:r>
                </w:p>
              </w:tc>
            </w:tr>
          </w:tbl>
          <w:p w14:paraId="11F3DF1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color w:val="auto"/>
                <w:kern w:val="0"/>
                <w:sz w:val="21"/>
                <w:szCs w:val="21"/>
                <w:lang w:val="en-US" w:eastAsia="zh-CN"/>
              </w:rPr>
            </w:pPr>
            <w:r>
              <w:rPr>
                <w:rFonts w:hint="eastAsia"/>
                <w:b/>
                <w:bCs/>
                <w:color w:val="auto"/>
                <w:kern w:val="0"/>
                <w:sz w:val="21"/>
                <w:szCs w:val="21"/>
                <w:lang w:val="en-US" w:eastAsia="zh-CN"/>
              </w:rPr>
              <w:t>表2-8.3   有组织废气检测结果表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94"/>
              <w:gridCol w:w="1890"/>
              <w:gridCol w:w="1356"/>
              <w:gridCol w:w="174"/>
              <w:gridCol w:w="1182"/>
              <w:gridCol w:w="1158"/>
              <w:gridCol w:w="198"/>
              <w:gridCol w:w="1357"/>
            </w:tblGrid>
            <w:tr w14:paraId="0BC49EC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6C85076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检测点位</w:t>
                  </w:r>
                </w:p>
              </w:tc>
              <w:tc>
                <w:tcPr>
                  <w:tcW w:w="5425" w:type="dxa"/>
                  <w:gridSpan w:val="6"/>
                  <w:tcBorders>
                    <w:tl2br w:val="nil"/>
                    <w:tr2bl w:val="nil"/>
                  </w:tcBorders>
                  <w:vAlign w:val="center"/>
                </w:tcPr>
                <w:p w14:paraId="2424B4F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DA00</w:t>
                  </w:r>
                  <w:r>
                    <w:rPr>
                      <w:rFonts w:hint="eastAsia" w:cs="Times New Roman"/>
                      <w:color w:val="auto"/>
                      <w:kern w:val="0"/>
                      <w:sz w:val="21"/>
                      <w:szCs w:val="21"/>
                      <w:vertAlign w:val="baseline"/>
                      <w:lang w:val="en-US" w:eastAsia="zh-CN"/>
                    </w:rPr>
                    <w:t>3</w:t>
                  </w:r>
                </w:p>
              </w:tc>
            </w:tr>
            <w:tr w14:paraId="5D5D91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38940CC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污染源成立时间</w:t>
                  </w:r>
                </w:p>
              </w:tc>
              <w:tc>
                <w:tcPr>
                  <w:tcW w:w="1530" w:type="dxa"/>
                  <w:gridSpan w:val="2"/>
                  <w:tcBorders>
                    <w:tl2br w:val="nil"/>
                    <w:tr2bl w:val="nil"/>
                  </w:tcBorders>
                  <w:vAlign w:val="center"/>
                </w:tcPr>
                <w:p w14:paraId="5794A8B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w:t>
                  </w:r>
                </w:p>
              </w:tc>
              <w:tc>
                <w:tcPr>
                  <w:tcW w:w="2340" w:type="dxa"/>
                  <w:gridSpan w:val="2"/>
                  <w:tcBorders>
                    <w:tl2br w:val="nil"/>
                    <w:tr2bl w:val="nil"/>
                  </w:tcBorders>
                  <w:vAlign w:val="center"/>
                </w:tcPr>
                <w:p w14:paraId="7E867E8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测孔烟道截面积（m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cs="Times New Roman"/>
                      <w:color w:val="auto"/>
                      <w:kern w:val="0"/>
                      <w:sz w:val="21"/>
                      <w:szCs w:val="21"/>
                      <w:vertAlign w:val="baseline"/>
                      <w:lang w:val="en-US" w:eastAsia="zh-CN"/>
                    </w:rPr>
                    <w:t>）</w:t>
                  </w:r>
                </w:p>
              </w:tc>
              <w:tc>
                <w:tcPr>
                  <w:tcW w:w="1555" w:type="dxa"/>
                  <w:gridSpan w:val="2"/>
                  <w:tcBorders>
                    <w:tl2br w:val="nil"/>
                    <w:tr2bl w:val="nil"/>
                  </w:tcBorders>
                  <w:vAlign w:val="center"/>
                </w:tcPr>
                <w:p w14:paraId="1905E71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0.5</w:t>
                  </w:r>
                  <w:r>
                    <w:rPr>
                      <w:rFonts w:hint="eastAsia" w:cs="Times New Roman"/>
                      <w:color w:val="auto"/>
                      <w:kern w:val="0"/>
                      <w:sz w:val="21"/>
                      <w:szCs w:val="21"/>
                      <w:vertAlign w:val="baseline"/>
                      <w:lang w:val="en-US" w:eastAsia="zh-CN"/>
                    </w:rPr>
                    <w:t>1590</w:t>
                  </w:r>
                </w:p>
              </w:tc>
            </w:tr>
            <w:tr w14:paraId="7DD2A2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6BCCD8F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燃料种类</w:t>
                  </w:r>
                </w:p>
              </w:tc>
              <w:tc>
                <w:tcPr>
                  <w:tcW w:w="1530" w:type="dxa"/>
                  <w:gridSpan w:val="2"/>
                  <w:tcBorders>
                    <w:tl2br w:val="nil"/>
                    <w:tr2bl w:val="nil"/>
                  </w:tcBorders>
                  <w:vAlign w:val="center"/>
                </w:tcPr>
                <w:p w14:paraId="4732D0F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w:t>
                  </w:r>
                </w:p>
              </w:tc>
              <w:tc>
                <w:tcPr>
                  <w:tcW w:w="2340" w:type="dxa"/>
                  <w:gridSpan w:val="2"/>
                  <w:tcBorders>
                    <w:tl2br w:val="nil"/>
                    <w:tr2bl w:val="nil"/>
                  </w:tcBorders>
                  <w:vAlign w:val="center"/>
                </w:tcPr>
                <w:p w14:paraId="2D0208E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排气筒高度（m）</w:t>
                  </w:r>
                </w:p>
              </w:tc>
              <w:tc>
                <w:tcPr>
                  <w:tcW w:w="1555" w:type="dxa"/>
                  <w:gridSpan w:val="2"/>
                  <w:tcBorders>
                    <w:tl2br w:val="nil"/>
                    <w:tr2bl w:val="nil"/>
                  </w:tcBorders>
                  <w:vAlign w:val="center"/>
                </w:tcPr>
                <w:p w14:paraId="1D45AD7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25</w:t>
                  </w:r>
                </w:p>
              </w:tc>
            </w:tr>
            <w:tr w14:paraId="0009507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780EA85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净化处理设施</w:t>
                  </w:r>
                </w:p>
              </w:tc>
              <w:tc>
                <w:tcPr>
                  <w:tcW w:w="5425" w:type="dxa"/>
                  <w:gridSpan w:val="6"/>
                  <w:tcBorders>
                    <w:tl2br w:val="nil"/>
                    <w:tr2bl w:val="nil"/>
                  </w:tcBorders>
                  <w:vAlign w:val="center"/>
                </w:tcPr>
                <w:p w14:paraId="225EAB2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一级活性炭吸附+一级碱吸附+一级碱喷淋+布袋除尘</w:t>
                  </w:r>
                </w:p>
              </w:tc>
            </w:tr>
            <w:tr w14:paraId="2CF8B92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1ED3770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测试参数</w:t>
                  </w:r>
                </w:p>
              </w:tc>
              <w:tc>
                <w:tcPr>
                  <w:tcW w:w="1356" w:type="dxa"/>
                  <w:tcBorders>
                    <w:tl2br w:val="nil"/>
                    <w:tr2bl w:val="nil"/>
                  </w:tcBorders>
                  <w:vAlign w:val="center"/>
                </w:tcPr>
                <w:p w14:paraId="3C96B95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第一次</w:t>
                  </w:r>
                </w:p>
              </w:tc>
              <w:tc>
                <w:tcPr>
                  <w:tcW w:w="1356" w:type="dxa"/>
                  <w:gridSpan w:val="2"/>
                  <w:tcBorders>
                    <w:tl2br w:val="nil"/>
                    <w:tr2bl w:val="nil"/>
                  </w:tcBorders>
                  <w:vAlign w:val="center"/>
                </w:tcPr>
                <w:p w14:paraId="4A1BA67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第二次</w:t>
                  </w:r>
                </w:p>
              </w:tc>
              <w:tc>
                <w:tcPr>
                  <w:tcW w:w="1356" w:type="dxa"/>
                  <w:gridSpan w:val="2"/>
                  <w:tcBorders>
                    <w:tl2br w:val="nil"/>
                    <w:tr2bl w:val="nil"/>
                  </w:tcBorders>
                  <w:vAlign w:val="center"/>
                </w:tcPr>
                <w:p w14:paraId="7DFA63C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第三次</w:t>
                  </w:r>
                </w:p>
              </w:tc>
              <w:tc>
                <w:tcPr>
                  <w:tcW w:w="1357" w:type="dxa"/>
                  <w:tcBorders>
                    <w:tl2br w:val="nil"/>
                    <w:tr2bl w:val="nil"/>
                  </w:tcBorders>
                  <w:vAlign w:val="center"/>
                </w:tcPr>
                <w:p w14:paraId="76AF1D7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第四次</w:t>
                  </w:r>
                </w:p>
              </w:tc>
            </w:tr>
            <w:tr w14:paraId="39C4EE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5D8D1A3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烟气温度（℃）</w:t>
                  </w:r>
                </w:p>
              </w:tc>
              <w:tc>
                <w:tcPr>
                  <w:tcW w:w="1356" w:type="dxa"/>
                  <w:tcBorders>
                    <w:tl2br w:val="nil"/>
                    <w:tr2bl w:val="nil"/>
                  </w:tcBorders>
                  <w:vAlign w:val="center"/>
                </w:tcPr>
                <w:p w14:paraId="2D0BECC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156.0</w:t>
                  </w:r>
                </w:p>
              </w:tc>
              <w:tc>
                <w:tcPr>
                  <w:tcW w:w="1356" w:type="dxa"/>
                  <w:gridSpan w:val="2"/>
                  <w:tcBorders>
                    <w:tl2br w:val="nil"/>
                    <w:tr2bl w:val="nil"/>
                  </w:tcBorders>
                  <w:vAlign w:val="center"/>
                </w:tcPr>
                <w:p w14:paraId="697C125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155.3</w:t>
                  </w:r>
                </w:p>
              </w:tc>
              <w:tc>
                <w:tcPr>
                  <w:tcW w:w="1356" w:type="dxa"/>
                  <w:gridSpan w:val="2"/>
                  <w:tcBorders>
                    <w:tl2br w:val="nil"/>
                    <w:tr2bl w:val="nil"/>
                  </w:tcBorders>
                  <w:vAlign w:val="center"/>
                </w:tcPr>
                <w:p w14:paraId="3DC1FAF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156.1</w:t>
                  </w:r>
                </w:p>
              </w:tc>
              <w:tc>
                <w:tcPr>
                  <w:tcW w:w="1357" w:type="dxa"/>
                  <w:tcBorders>
                    <w:tl2br w:val="nil"/>
                    <w:tr2bl w:val="nil"/>
                  </w:tcBorders>
                  <w:vAlign w:val="center"/>
                </w:tcPr>
                <w:p w14:paraId="59EDB09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155.8</w:t>
                  </w:r>
                </w:p>
              </w:tc>
            </w:tr>
            <w:tr w14:paraId="626BFCF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3DF8EB5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含氧量（%）</w:t>
                  </w:r>
                </w:p>
              </w:tc>
              <w:tc>
                <w:tcPr>
                  <w:tcW w:w="1356" w:type="dxa"/>
                  <w:tcBorders>
                    <w:tl2br w:val="nil"/>
                    <w:tr2bl w:val="nil"/>
                  </w:tcBorders>
                  <w:vAlign w:val="center"/>
                </w:tcPr>
                <w:p w14:paraId="1FC45F3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19.8</w:t>
                  </w:r>
                </w:p>
              </w:tc>
              <w:tc>
                <w:tcPr>
                  <w:tcW w:w="1356" w:type="dxa"/>
                  <w:gridSpan w:val="2"/>
                  <w:tcBorders>
                    <w:tl2br w:val="nil"/>
                    <w:tr2bl w:val="nil"/>
                  </w:tcBorders>
                  <w:vAlign w:val="center"/>
                </w:tcPr>
                <w:p w14:paraId="54C55CE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19.8</w:t>
                  </w:r>
                </w:p>
              </w:tc>
              <w:tc>
                <w:tcPr>
                  <w:tcW w:w="1356" w:type="dxa"/>
                  <w:gridSpan w:val="2"/>
                  <w:tcBorders>
                    <w:tl2br w:val="nil"/>
                    <w:tr2bl w:val="nil"/>
                  </w:tcBorders>
                  <w:vAlign w:val="center"/>
                </w:tcPr>
                <w:p w14:paraId="2A789E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19.8</w:t>
                  </w:r>
                </w:p>
              </w:tc>
              <w:tc>
                <w:tcPr>
                  <w:tcW w:w="1357" w:type="dxa"/>
                  <w:tcBorders>
                    <w:tl2br w:val="nil"/>
                    <w:tr2bl w:val="nil"/>
                  </w:tcBorders>
                  <w:vAlign w:val="center"/>
                </w:tcPr>
                <w:p w14:paraId="21B6F97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19.8</w:t>
                  </w:r>
                </w:p>
              </w:tc>
            </w:tr>
            <w:tr w14:paraId="4FD480B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1DD56CC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烟气流速（m/s）</w:t>
                  </w:r>
                </w:p>
              </w:tc>
              <w:tc>
                <w:tcPr>
                  <w:tcW w:w="1356" w:type="dxa"/>
                  <w:tcBorders>
                    <w:tl2br w:val="nil"/>
                    <w:tr2bl w:val="nil"/>
                  </w:tcBorders>
                  <w:vAlign w:val="center"/>
                </w:tcPr>
                <w:p w14:paraId="2E0FFD9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13.0</w:t>
                  </w:r>
                </w:p>
              </w:tc>
              <w:tc>
                <w:tcPr>
                  <w:tcW w:w="1356" w:type="dxa"/>
                  <w:gridSpan w:val="2"/>
                  <w:tcBorders>
                    <w:tl2br w:val="nil"/>
                    <w:tr2bl w:val="nil"/>
                  </w:tcBorders>
                  <w:vAlign w:val="center"/>
                </w:tcPr>
                <w:p w14:paraId="71CDB8C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13.2</w:t>
                  </w:r>
                </w:p>
              </w:tc>
              <w:tc>
                <w:tcPr>
                  <w:tcW w:w="1356" w:type="dxa"/>
                  <w:gridSpan w:val="2"/>
                  <w:tcBorders>
                    <w:tl2br w:val="nil"/>
                    <w:tr2bl w:val="nil"/>
                  </w:tcBorders>
                  <w:vAlign w:val="center"/>
                </w:tcPr>
                <w:p w14:paraId="46A4085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13.2</w:t>
                  </w:r>
                </w:p>
              </w:tc>
              <w:tc>
                <w:tcPr>
                  <w:tcW w:w="1357" w:type="dxa"/>
                  <w:tcBorders>
                    <w:tl2br w:val="nil"/>
                    <w:tr2bl w:val="nil"/>
                  </w:tcBorders>
                  <w:vAlign w:val="center"/>
                </w:tcPr>
                <w:p w14:paraId="0B80361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13.2</w:t>
                  </w:r>
                </w:p>
              </w:tc>
            </w:tr>
            <w:tr w14:paraId="05070F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4F2534C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测态烟气流量（m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/h）</w:t>
                  </w:r>
                </w:p>
              </w:tc>
              <w:tc>
                <w:tcPr>
                  <w:tcW w:w="1356" w:type="dxa"/>
                  <w:tcBorders>
                    <w:tl2br w:val="nil"/>
                    <w:tr2bl w:val="nil"/>
                  </w:tcBorders>
                  <w:vAlign w:val="center"/>
                </w:tcPr>
                <w:p w14:paraId="6812299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7446</w:t>
                  </w:r>
                </w:p>
              </w:tc>
              <w:tc>
                <w:tcPr>
                  <w:tcW w:w="1356" w:type="dxa"/>
                  <w:gridSpan w:val="2"/>
                  <w:tcBorders>
                    <w:tl2br w:val="nil"/>
                    <w:tr2bl w:val="nil"/>
                  </w:tcBorders>
                  <w:vAlign w:val="center"/>
                </w:tcPr>
                <w:p w14:paraId="393FE18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7566</w:t>
                  </w:r>
                </w:p>
              </w:tc>
              <w:tc>
                <w:tcPr>
                  <w:tcW w:w="1356" w:type="dxa"/>
                  <w:gridSpan w:val="2"/>
                  <w:tcBorders>
                    <w:tl2br w:val="nil"/>
                    <w:tr2bl w:val="nil"/>
                  </w:tcBorders>
                  <w:vAlign w:val="center"/>
                </w:tcPr>
                <w:p w14:paraId="589EC7A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7539</w:t>
                  </w:r>
                </w:p>
              </w:tc>
              <w:tc>
                <w:tcPr>
                  <w:tcW w:w="1357" w:type="dxa"/>
                  <w:tcBorders>
                    <w:tl2br w:val="nil"/>
                    <w:tr2bl w:val="nil"/>
                  </w:tcBorders>
                  <w:vAlign w:val="center"/>
                </w:tcPr>
                <w:p w14:paraId="4E1FEB6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7538</w:t>
                  </w:r>
                </w:p>
              </w:tc>
            </w:tr>
            <w:tr w14:paraId="7925C54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6E50A29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标态烟气流量（Nm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/h）</w:t>
                  </w:r>
                </w:p>
              </w:tc>
              <w:tc>
                <w:tcPr>
                  <w:tcW w:w="1356" w:type="dxa"/>
                  <w:tcBorders>
                    <w:tl2br w:val="nil"/>
                    <w:tr2bl w:val="nil"/>
                  </w:tcBorders>
                  <w:vAlign w:val="center"/>
                </w:tcPr>
                <w:p w14:paraId="08AD61D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4560</w:t>
                  </w:r>
                </w:p>
              </w:tc>
              <w:tc>
                <w:tcPr>
                  <w:tcW w:w="1356" w:type="dxa"/>
                  <w:gridSpan w:val="2"/>
                  <w:tcBorders>
                    <w:tl2br w:val="nil"/>
                    <w:tr2bl w:val="nil"/>
                  </w:tcBorders>
                  <w:vAlign w:val="center"/>
                </w:tcPr>
                <w:p w14:paraId="7157D73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4629</w:t>
                  </w:r>
                </w:p>
              </w:tc>
              <w:tc>
                <w:tcPr>
                  <w:tcW w:w="1356" w:type="dxa"/>
                  <w:gridSpan w:val="2"/>
                  <w:tcBorders>
                    <w:tl2br w:val="nil"/>
                    <w:tr2bl w:val="nil"/>
                  </w:tcBorders>
                  <w:vAlign w:val="center"/>
                </w:tcPr>
                <w:p w14:paraId="797307D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4601</w:t>
                  </w:r>
                </w:p>
              </w:tc>
              <w:tc>
                <w:tcPr>
                  <w:tcW w:w="1357" w:type="dxa"/>
                  <w:tcBorders>
                    <w:tl2br w:val="nil"/>
                    <w:tr2bl w:val="nil"/>
                  </w:tcBorders>
                  <w:vAlign w:val="center"/>
                </w:tcPr>
                <w:p w14:paraId="0053AF6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4606</w:t>
                  </w:r>
                </w:p>
              </w:tc>
            </w:tr>
            <w:tr w14:paraId="3A306C1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148BA26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含湿量（%）</w:t>
                  </w:r>
                </w:p>
              </w:tc>
              <w:tc>
                <w:tcPr>
                  <w:tcW w:w="1356" w:type="dxa"/>
                  <w:tcBorders>
                    <w:tl2br w:val="nil"/>
                    <w:tr2bl w:val="nil"/>
                  </w:tcBorders>
                  <w:vAlign w:val="center"/>
                </w:tcPr>
                <w:p w14:paraId="23682C2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2.7</w:t>
                  </w:r>
                </w:p>
              </w:tc>
              <w:tc>
                <w:tcPr>
                  <w:tcW w:w="1356" w:type="dxa"/>
                  <w:gridSpan w:val="2"/>
                  <w:tcBorders>
                    <w:tl2br w:val="nil"/>
                    <w:tr2bl w:val="nil"/>
                  </w:tcBorders>
                  <w:vAlign w:val="center"/>
                </w:tcPr>
                <w:p w14:paraId="3516AE1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2.9</w:t>
                  </w:r>
                </w:p>
              </w:tc>
              <w:tc>
                <w:tcPr>
                  <w:tcW w:w="1356" w:type="dxa"/>
                  <w:gridSpan w:val="2"/>
                  <w:tcBorders>
                    <w:tl2br w:val="nil"/>
                    <w:tr2bl w:val="nil"/>
                  </w:tcBorders>
                  <w:vAlign w:val="center"/>
                </w:tcPr>
                <w:p w14:paraId="7E69CFD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2.9</w:t>
                  </w:r>
                </w:p>
              </w:tc>
              <w:tc>
                <w:tcPr>
                  <w:tcW w:w="1357" w:type="dxa"/>
                  <w:tcBorders>
                    <w:tl2br w:val="nil"/>
                    <w:tr2bl w:val="nil"/>
                  </w:tcBorders>
                  <w:vAlign w:val="center"/>
                </w:tcPr>
                <w:p w14:paraId="103675B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2.8</w:t>
                  </w:r>
                </w:p>
              </w:tc>
            </w:tr>
            <w:tr w14:paraId="358ACC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94" w:type="dxa"/>
                  <w:vMerge w:val="restart"/>
                  <w:tcBorders>
                    <w:tl2br w:val="nil"/>
                    <w:tr2bl w:val="nil"/>
                  </w:tcBorders>
                  <w:vAlign w:val="center"/>
                </w:tcPr>
                <w:p w14:paraId="511729F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氨</w:t>
                  </w:r>
                </w:p>
              </w:tc>
              <w:tc>
                <w:tcPr>
                  <w:tcW w:w="1890" w:type="dxa"/>
                  <w:tcBorders>
                    <w:tl2br w:val="nil"/>
                    <w:tr2bl w:val="nil"/>
                  </w:tcBorders>
                  <w:vAlign w:val="center"/>
                </w:tcPr>
                <w:p w14:paraId="12A4A8B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排放浓度（mg/m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w:t>
                  </w:r>
                </w:p>
              </w:tc>
              <w:tc>
                <w:tcPr>
                  <w:tcW w:w="1356" w:type="dxa"/>
                  <w:tcBorders>
                    <w:tl2br w:val="nil"/>
                    <w:tr2bl w:val="nil"/>
                  </w:tcBorders>
                  <w:vAlign w:val="center"/>
                </w:tcPr>
                <w:p w14:paraId="471E5FA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1.00</w:t>
                  </w:r>
                </w:p>
              </w:tc>
              <w:tc>
                <w:tcPr>
                  <w:tcW w:w="1356" w:type="dxa"/>
                  <w:gridSpan w:val="2"/>
                  <w:tcBorders>
                    <w:tl2br w:val="nil"/>
                    <w:tr2bl w:val="nil"/>
                  </w:tcBorders>
                  <w:vAlign w:val="center"/>
                </w:tcPr>
                <w:p w14:paraId="0896F44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7.22</w:t>
                  </w:r>
                </w:p>
              </w:tc>
              <w:tc>
                <w:tcPr>
                  <w:tcW w:w="1356" w:type="dxa"/>
                  <w:gridSpan w:val="2"/>
                  <w:tcBorders>
                    <w:tl2br w:val="nil"/>
                    <w:tr2bl w:val="nil"/>
                  </w:tcBorders>
                  <w:vAlign w:val="center"/>
                </w:tcPr>
                <w:p w14:paraId="143066A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0.92</w:t>
                  </w:r>
                </w:p>
              </w:tc>
              <w:tc>
                <w:tcPr>
                  <w:tcW w:w="1357" w:type="dxa"/>
                  <w:tcBorders>
                    <w:tl2br w:val="nil"/>
                    <w:tr2bl w:val="nil"/>
                  </w:tcBorders>
                  <w:vAlign w:val="center"/>
                </w:tcPr>
                <w:p w14:paraId="2467CBB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1.89</w:t>
                  </w:r>
                </w:p>
              </w:tc>
            </w:tr>
            <w:tr w14:paraId="0675B4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94" w:type="dxa"/>
                  <w:vMerge w:val="continue"/>
                  <w:tcBorders>
                    <w:tl2br w:val="nil"/>
                    <w:tr2bl w:val="nil"/>
                  </w:tcBorders>
                  <w:vAlign w:val="center"/>
                </w:tcPr>
                <w:p w14:paraId="50E5A13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890" w:type="dxa"/>
                  <w:tcBorders>
                    <w:tl2br w:val="nil"/>
                    <w:tr2bl w:val="nil"/>
                  </w:tcBorders>
                  <w:vAlign w:val="center"/>
                </w:tcPr>
                <w:p w14:paraId="57833DE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排放</w:t>
                  </w:r>
                  <w:r>
                    <w:rPr>
                      <w:rFonts w:hint="eastAsia" w:cs="Times New Roman"/>
                      <w:color w:val="auto"/>
                      <w:kern w:val="0"/>
                      <w:sz w:val="21"/>
                      <w:szCs w:val="21"/>
                      <w:vertAlign w:val="baseline"/>
                      <w:lang w:val="en-US" w:eastAsia="zh-CN"/>
                    </w:rPr>
                    <w:t>量</w:t>
                  </w:r>
                  <w:r>
                    <w:rPr>
                      <w:rFonts w:hint="default" w:ascii="Times New Roman" w:hAnsi="Times New Roman" w:cs="Times New Roman"/>
                      <w:color w:val="auto"/>
                      <w:kern w:val="0"/>
                      <w:sz w:val="21"/>
                      <w:szCs w:val="21"/>
                      <w:vertAlign w:val="baseline"/>
                      <w:lang w:val="en-US" w:eastAsia="zh-CN"/>
                    </w:rPr>
                    <w:t>（kg/h）</w:t>
                  </w:r>
                </w:p>
              </w:tc>
              <w:tc>
                <w:tcPr>
                  <w:tcW w:w="1356" w:type="dxa"/>
                  <w:tcBorders>
                    <w:tl2br w:val="nil"/>
                    <w:tr2bl w:val="nil"/>
                  </w:tcBorders>
                  <w:vAlign w:val="center"/>
                </w:tcPr>
                <w:p w14:paraId="631802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4.56</w:t>
                  </w:r>
                  <w:r>
                    <w:rPr>
                      <w:rFonts w:hint="default" w:ascii="Times New Roman" w:hAnsi="Times New Roman" w:cs="Times New Roman"/>
                      <w:color w:val="auto"/>
                      <w:kern w:val="0"/>
                      <w:sz w:val="21"/>
                      <w:szCs w:val="21"/>
                      <w:vertAlign w:val="baseline"/>
                      <w:lang w:val="en-US" w:eastAsia="zh-CN"/>
                    </w:rPr>
                    <w:t>×10</w:t>
                  </w:r>
                  <w:r>
                    <w:rPr>
                      <w:rFonts w:hint="default" w:ascii="Times New Roman" w:hAnsi="Times New Roman" w:cs="Times New Roman"/>
                      <w:color w:val="auto"/>
                      <w:kern w:val="0"/>
                      <w:sz w:val="21"/>
                      <w:szCs w:val="21"/>
                      <w:vertAlign w:val="superscript"/>
                      <w:lang w:val="en-US" w:eastAsia="zh-CN"/>
                    </w:rPr>
                    <w:t>-3</w:t>
                  </w:r>
                </w:p>
              </w:tc>
              <w:tc>
                <w:tcPr>
                  <w:tcW w:w="1356" w:type="dxa"/>
                  <w:gridSpan w:val="2"/>
                  <w:tcBorders>
                    <w:tl2br w:val="nil"/>
                    <w:tr2bl w:val="nil"/>
                  </w:tcBorders>
                  <w:vAlign w:val="center"/>
                </w:tcPr>
                <w:p w14:paraId="5F62AA2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2.3</w:t>
                  </w:r>
                  <w:r>
                    <w:rPr>
                      <w:rFonts w:hint="default" w:ascii="Times New Roman" w:hAnsi="Times New Roman" w:cs="Times New Roman"/>
                      <w:color w:val="auto"/>
                      <w:kern w:val="0"/>
                      <w:sz w:val="21"/>
                      <w:szCs w:val="21"/>
                      <w:vertAlign w:val="baseline"/>
                      <w:lang w:val="en-US" w:eastAsia="zh-CN"/>
                    </w:rPr>
                    <w:t>×10</w:t>
                  </w:r>
                  <w:r>
                    <w:rPr>
                      <w:rFonts w:hint="default" w:ascii="Times New Roman" w:hAnsi="Times New Roman" w:cs="Times New Roman"/>
                      <w:color w:val="auto"/>
                      <w:kern w:val="0"/>
                      <w:sz w:val="21"/>
                      <w:szCs w:val="21"/>
                      <w:vertAlign w:val="superscript"/>
                      <w:lang w:val="en-US" w:eastAsia="zh-CN"/>
                    </w:rPr>
                    <w:t>-3</w:t>
                  </w:r>
                </w:p>
              </w:tc>
              <w:tc>
                <w:tcPr>
                  <w:tcW w:w="1356" w:type="dxa"/>
                  <w:gridSpan w:val="2"/>
                  <w:tcBorders>
                    <w:tl2br w:val="nil"/>
                    <w:tr2bl w:val="nil"/>
                  </w:tcBorders>
                  <w:vAlign w:val="center"/>
                </w:tcPr>
                <w:p w14:paraId="3049AD8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4.2</w:t>
                  </w:r>
                  <w:r>
                    <w:rPr>
                      <w:rFonts w:hint="default" w:ascii="Times New Roman" w:hAnsi="Times New Roman" w:cs="Times New Roman"/>
                      <w:color w:val="auto"/>
                      <w:kern w:val="0"/>
                      <w:sz w:val="21"/>
                      <w:szCs w:val="21"/>
                      <w:vertAlign w:val="baseline"/>
                      <w:lang w:val="en-US" w:eastAsia="zh-CN"/>
                    </w:rPr>
                    <w:t>×10</w:t>
                  </w:r>
                  <w:r>
                    <w:rPr>
                      <w:rFonts w:hint="default" w:ascii="Times New Roman" w:hAnsi="Times New Roman" w:cs="Times New Roman"/>
                      <w:color w:val="auto"/>
                      <w:kern w:val="0"/>
                      <w:sz w:val="21"/>
                      <w:szCs w:val="21"/>
                      <w:vertAlign w:val="superscript"/>
                      <w:lang w:val="en-US" w:eastAsia="zh-CN"/>
                    </w:rPr>
                    <w:t>-3</w:t>
                  </w:r>
                </w:p>
              </w:tc>
              <w:tc>
                <w:tcPr>
                  <w:tcW w:w="1357" w:type="dxa"/>
                  <w:tcBorders>
                    <w:tl2br w:val="nil"/>
                    <w:tr2bl w:val="nil"/>
                  </w:tcBorders>
                  <w:vAlign w:val="center"/>
                </w:tcPr>
                <w:p w14:paraId="092DE98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8.71</w:t>
                  </w:r>
                  <w:r>
                    <w:rPr>
                      <w:rFonts w:hint="default" w:ascii="Times New Roman" w:hAnsi="Times New Roman" w:cs="Times New Roman"/>
                      <w:color w:val="auto"/>
                      <w:kern w:val="0"/>
                      <w:sz w:val="21"/>
                      <w:szCs w:val="21"/>
                      <w:vertAlign w:val="baseline"/>
                      <w:lang w:val="en-US" w:eastAsia="zh-CN"/>
                    </w:rPr>
                    <w:t>×10</w:t>
                  </w:r>
                  <w:r>
                    <w:rPr>
                      <w:rFonts w:hint="default" w:ascii="Times New Roman" w:hAnsi="Times New Roman" w:cs="Times New Roman"/>
                      <w:color w:val="auto"/>
                      <w:kern w:val="0"/>
                      <w:sz w:val="21"/>
                      <w:szCs w:val="21"/>
                      <w:vertAlign w:val="superscript"/>
                      <w:lang w:val="en-US" w:eastAsia="zh-CN"/>
                    </w:rPr>
                    <w:t>-3</w:t>
                  </w:r>
                </w:p>
              </w:tc>
            </w:tr>
            <w:tr w14:paraId="3179CF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94" w:type="dxa"/>
                  <w:vMerge w:val="continue"/>
                  <w:tcBorders>
                    <w:tl2br w:val="nil"/>
                    <w:tr2bl w:val="nil"/>
                  </w:tcBorders>
                  <w:vAlign w:val="center"/>
                </w:tcPr>
                <w:p w14:paraId="71379A9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890" w:type="dxa"/>
                  <w:tcBorders>
                    <w:tl2br w:val="nil"/>
                    <w:tr2bl w:val="nil"/>
                  </w:tcBorders>
                  <w:vAlign w:val="center"/>
                </w:tcPr>
                <w:p w14:paraId="30C3C36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排放量最大值（kg/h）</w:t>
                  </w:r>
                </w:p>
              </w:tc>
              <w:tc>
                <w:tcPr>
                  <w:tcW w:w="5425" w:type="dxa"/>
                  <w:gridSpan w:val="6"/>
                  <w:tcBorders>
                    <w:tl2br w:val="nil"/>
                    <w:tr2bl w:val="nil"/>
                  </w:tcBorders>
                  <w:vAlign w:val="center"/>
                </w:tcPr>
                <w:p w14:paraId="0E68CF7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8.71</w:t>
                  </w:r>
                  <w:r>
                    <w:rPr>
                      <w:rFonts w:hint="default" w:ascii="Times New Roman" w:hAnsi="Times New Roman" w:cs="Times New Roman"/>
                      <w:color w:val="auto"/>
                      <w:kern w:val="0"/>
                      <w:sz w:val="21"/>
                      <w:szCs w:val="21"/>
                      <w:vertAlign w:val="baseline"/>
                      <w:lang w:val="en-US" w:eastAsia="zh-CN"/>
                    </w:rPr>
                    <w:t>×10</w:t>
                  </w:r>
                  <w:r>
                    <w:rPr>
                      <w:rFonts w:hint="default" w:ascii="Times New Roman" w:hAnsi="Times New Roman" w:cs="Times New Roman"/>
                      <w:color w:val="auto"/>
                      <w:kern w:val="0"/>
                      <w:sz w:val="21"/>
                      <w:szCs w:val="21"/>
                      <w:vertAlign w:val="superscript"/>
                      <w:lang w:val="en-US" w:eastAsia="zh-CN"/>
                    </w:rPr>
                    <w:t>-3</w:t>
                  </w:r>
                </w:p>
              </w:tc>
            </w:tr>
          </w:tbl>
          <w:p w14:paraId="051EA39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color w:val="auto"/>
                <w:kern w:val="0"/>
                <w:sz w:val="21"/>
                <w:szCs w:val="21"/>
                <w:lang w:val="en-US" w:eastAsia="zh-CN"/>
              </w:rPr>
            </w:pPr>
            <w:r>
              <w:rPr>
                <w:rFonts w:hint="eastAsia"/>
                <w:b/>
                <w:bCs/>
                <w:color w:val="auto"/>
                <w:kern w:val="0"/>
                <w:sz w:val="21"/>
                <w:szCs w:val="21"/>
                <w:lang w:val="en-US" w:eastAsia="zh-CN"/>
              </w:rPr>
              <w:t>表2-8.4   有组织废气检测结果表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94"/>
              <w:gridCol w:w="1890"/>
              <w:gridCol w:w="1356"/>
              <w:gridCol w:w="174"/>
              <w:gridCol w:w="1182"/>
              <w:gridCol w:w="1158"/>
              <w:gridCol w:w="198"/>
              <w:gridCol w:w="1357"/>
            </w:tblGrid>
            <w:tr w14:paraId="4E58712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00C37BD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检测点位</w:t>
                  </w:r>
                </w:p>
              </w:tc>
              <w:tc>
                <w:tcPr>
                  <w:tcW w:w="5425" w:type="dxa"/>
                  <w:gridSpan w:val="6"/>
                  <w:tcBorders>
                    <w:tl2br w:val="nil"/>
                    <w:tr2bl w:val="nil"/>
                  </w:tcBorders>
                  <w:vAlign w:val="center"/>
                </w:tcPr>
                <w:p w14:paraId="490C30A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DA00</w:t>
                  </w:r>
                  <w:r>
                    <w:rPr>
                      <w:rFonts w:hint="eastAsia" w:cs="Times New Roman"/>
                      <w:color w:val="auto"/>
                      <w:kern w:val="0"/>
                      <w:sz w:val="21"/>
                      <w:szCs w:val="21"/>
                      <w:vertAlign w:val="baseline"/>
                      <w:lang w:val="en-US" w:eastAsia="zh-CN"/>
                    </w:rPr>
                    <w:t>3</w:t>
                  </w:r>
                </w:p>
              </w:tc>
            </w:tr>
            <w:tr w14:paraId="1D6D733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2FEF7F4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污染源成立时间</w:t>
                  </w:r>
                </w:p>
              </w:tc>
              <w:tc>
                <w:tcPr>
                  <w:tcW w:w="1530" w:type="dxa"/>
                  <w:gridSpan w:val="2"/>
                  <w:tcBorders>
                    <w:tl2br w:val="nil"/>
                    <w:tr2bl w:val="nil"/>
                  </w:tcBorders>
                  <w:vAlign w:val="center"/>
                </w:tcPr>
                <w:p w14:paraId="35E4A38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w:t>
                  </w:r>
                </w:p>
              </w:tc>
              <w:tc>
                <w:tcPr>
                  <w:tcW w:w="2340" w:type="dxa"/>
                  <w:gridSpan w:val="2"/>
                  <w:tcBorders>
                    <w:tl2br w:val="nil"/>
                    <w:tr2bl w:val="nil"/>
                  </w:tcBorders>
                  <w:vAlign w:val="center"/>
                </w:tcPr>
                <w:p w14:paraId="000D697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测孔烟道截面积（m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cs="Times New Roman"/>
                      <w:color w:val="auto"/>
                      <w:kern w:val="0"/>
                      <w:sz w:val="21"/>
                      <w:szCs w:val="21"/>
                      <w:vertAlign w:val="baseline"/>
                      <w:lang w:val="en-US" w:eastAsia="zh-CN"/>
                    </w:rPr>
                    <w:t>）</w:t>
                  </w:r>
                </w:p>
              </w:tc>
              <w:tc>
                <w:tcPr>
                  <w:tcW w:w="1555" w:type="dxa"/>
                  <w:gridSpan w:val="2"/>
                  <w:tcBorders>
                    <w:tl2br w:val="nil"/>
                    <w:tr2bl w:val="nil"/>
                  </w:tcBorders>
                  <w:vAlign w:val="center"/>
                </w:tcPr>
                <w:p w14:paraId="35E228E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0.5</w:t>
                  </w:r>
                  <w:r>
                    <w:rPr>
                      <w:rFonts w:hint="eastAsia" w:cs="Times New Roman"/>
                      <w:color w:val="auto"/>
                      <w:kern w:val="0"/>
                      <w:sz w:val="21"/>
                      <w:szCs w:val="21"/>
                      <w:vertAlign w:val="baseline"/>
                      <w:lang w:val="en-US" w:eastAsia="zh-CN"/>
                    </w:rPr>
                    <w:t>1590</w:t>
                  </w:r>
                </w:p>
              </w:tc>
            </w:tr>
            <w:tr w14:paraId="682CF4C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5771BDD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燃料种类</w:t>
                  </w:r>
                </w:p>
              </w:tc>
              <w:tc>
                <w:tcPr>
                  <w:tcW w:w="1530" w:type="dxa"/>
                  <w:gridSpan w:val="2"/>
                  <w:tcBorders>
                    <w:tl2br w:val="nil"/>
                    <w:tr2bl w:val="nil"/>
                  </w:tcBorders>
                  <w:vAlign w:val="center"/>
                </w:tcPr>
                <w:p w14:paraId="45EF1FB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w:t>
                  </w:r>
                </w:p>
              </w:tc>
              <w:tc>
                <w:tcPr>
                  <w:tcW w:w="2340" w:type="dxa"/>
                  <w:gridSpan w:val="2"/>
                  <w:tcBorders>
                    <w:tl2br w:val="nil"/>
                    <w:tr2bl w:val="nil"/>
                  </w:tcBorders>
                  <w:vAlign w:val="center"/>
                </w:tcPr>
                <w:p w14:paraId="63C337B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排气筒高度（m）</w:t>
                  </w:r>
                </w:p>
              </w:tc>
              <w:tc>
                <w:tcPr>
                  <w:tcW w:w="1555" w:type="dxa"/>
                  <w:gridSpan w:val="2"/>
                  <w:tcBorders>
                    <w:tl2br w:val="nil"/>
                    <w:tr2bl w:val="nil"/>
                  </w:tcBorders>
                  <w:vAlign w:val="center"/>
                </w:tcPr>
                <w:p w14:paraId="39D4760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25</w:t>
                  </w:r>
                </w:p>
              </w:tc>
            </w:tr>
            <w:tr w14:paraId="184B0AC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4C963AA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净化处理设施</w:t>
                  </w:r>
                </w:p>
              </w:tc>
              <w:tc>
                <w:tcPr>
                  <w:tcW w:w="5425" w:type="dxa"/>
                  <w:gridSpan w:val="6"/>
                  <w:tcBorders>
                    <w:tl2br w:val="nil"/>
                    <w:tr2bl w:val="nil"/>
                  </w:tcBorders>
                  <w:vAlign w:val="center"/>
                </w:tcPr>
                <w:p w14:paraId="3F7FDD3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一级活性炭吸附+一级碱吸附+一级碱喷淋+布袋除尘</w:t>
                  </w:r>
                </w:p>
              </w:tc>
            </w:tr>
            <w:tr w14:paraId="4CD1F9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252" w:type="dxa"/>
                  <w:gridSpan w:val="7"/>
                  <w:tcBorders>
                    <w:tl2br w:val="nil"/>
                    <w:tr2bl w:val="nil"/>
                  </w:tcBorders>
                  <w:vAlign w:val="center"/>
                </w:tcPr>
                <w:p w14:paraId="3E6F242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测试参数</w:t>
                  </w:r>
                </w:p>
              </w:tc>
              <w:tc>
                <w:tcPr>
                  <w:tcW w:w="1357" w:type="dxa"/>
                  <w:tcBorders>
                    <w:tl2br w:val="nil"/>
                    <w:tr2bl w:val="nil"/>
                  </w:tcBorders>
                  <w:vAlign w:val="center"/>
                </w:tcPr>
                <w:p w14:paraId="5FCAB5C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均值</w:t>
                  </w:r>
                </w:p>
              </w:tc>
            </w:tr>
            <w:tr w14:paraId="484DD2A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5375E37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烟气温度（℃）</w:t>
                  </w:r>
                </w:p>
              </w:tc>
              <w:tc>
                <w:tcPr>
                  <w:tcW w:w="4068" w:type="dxa"/>
                  <w:gridSpan w:val="5"/>
                  <w:tcBorders>
                    <w:tl2br w:val="nil"/>
                    <w:tr2bl w:val="nil"/>
                  </w:tcBorders>
                  <w:vAlign w:val="center"/>
                </w:tcPr>
                <w:p w14:paraId="7E43744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156.0</w:t>
                  </w:r>
                </w:p>
              </w:tc>
              <w:tc>
                <w:tcPr>
                  <w:tcW w:w="1357" w:type="dxa"/>
                  <w:vMerge w:val="restart"/>
                  <w:tcBorders>
                    <w:tl2br w:val="nil"/>
                    <w:tr2bl w:val="nil"/>
                  </w:tcBorders>
                  <w:vAlign w:val="center"/>
                </w:tcPr>
                <w:p w14:paraId="2C2A7EC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w:t>
                  </w:r>
                </w:p>
              </w:tc>
            </w:tr>
            <w:tr w14:paraId="6498CB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303A136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含氧量（%）</w:t>
                  </w:r>
                </w:p>
              </w:tc>
              <w:tc>
                <w:tcPr>
                  <w:tcW w:w="4068" w:type="dxa"/>
                  <w:gridSpan w:val="5"/>
                  <w:tcBorders>
                    <w:tl2br w:val="nil"/>
                    <w:tr2bl w:val="nil"/>
                  </w:tcBorders>
                  <w:vAlign w:val="center"/>
                </w:tcPr>
                <w:p w14:paraId="6A10384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19.8</w:t>
                  </w:r>
                </w:p>
              </w:tc>
              <w:tc>
                <w:tcPr>
                  <w:tcW w:w="1357" w:type="dxa"/>
                  <w:vMerge w:val="continue"/>
                  <w:tcBorders>
                    <w:tl2br w:val="nil"/>
                    <w:tr2bl w:val="nil"/>
                  </w:tcBorders>
                  <w:vAlign w:val="center"/>
                </w:tcPr>
                <w:p w14:paraId="7F718AB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kern w:val="0"/>
                      <w:sz w:val="21"/>
                      <w:szCs w:val="21"/>
                      <w:vertAlign w:val="baseline"/>
                      <w:lang w:val="en-US" w:eastAsia="zh-CN"/>
                    </w:rPr>
                  </w:pPr>
                </w:p>
              </w:tc>
            </w:tr>
            <w:tr w14:paraId="57CD94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30DED22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烟气流速（m/s）</w:t>
                  </w:r>
                </w:p>
              </w:tc>
              <w:tc>
                <w:tcPr>
                  <w:tcW w:w="4068" w:type="dxa"/>
                  <w:gridSpan w:val="5"/>
                  <w:tcBorders>
                    <w:tl2br w:val="nil"/>
                    <w:tr2bl w:val="nil"/>
                  </w:tcBorders>
                  <w:vAlign w:val="center"/>
                </w:tcPr>
                <w:p w14:paraId="79C9686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13.0</w:t>
                  </w:r>
                </w:p>
              </w:tc>
              <w:tc>
                <w:tcPr>
                  <w:tcW w:w="1357" w:type="dxa"/>
                  <w:vMerge w:val="continue"/>
                  <w:tcBorders>
                    <w:tl2br w:val="nil"/>
                    <w:tr2bl w:val="nil"/>
                  </w:tcBorders>
                  <w:vAlign w:val="center"/>
                </w:tcPr>
                <w:p w14:paraId="5888646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p>
              </w:tc>
            </w:tr>
            <w:tr w14:paraId="38B3316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49BA00A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测态烟气流量（m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/h）</w:t>
                  </w:r>
                </w:p>
              </w:tc>
              <w:tc>
                <w:tcPr>
                  <w:tcW w:w="4068" w:type="dxa"/>
                  <w:gridSpan w:val="5"/>
                  <w:tcBorders>
                    <w:tl2br w:val="nil"/>
                    <w:tr2bl w:val="nil"/>
                  </w:tcBorders>
                  <w:vAlign w:val="center"/>
                </w:tcPr>
                <w:p w14:paraId="3D28BB7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7446</w:t>
                  </w:r>
                </w:p>
              </w:tc>
              <w:tc>
                <w:tcPr>
                  <w:tcW w:w="1357" w:type="dxa"/>
                  <w:vMerge w:val="continue"/>
                  <w:tcBorders>
                    <w:tl2br w:val="nil"/>
                    <w:tr2bl w:val="nil"/>
                  </w:tcBorders>
                  <w:vAlign w:val="center"/>
                </w:tcPr>
                <w:p w14:paraId="198AFC5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p>
              </w:tc>
            </w:tr>
            <w:tr w14:paraId="0F5FF7E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7010552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标态烟气流量（Nm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/h）</w:t>
                  </w:r>
                </w:p>
              </w:tc>
              <w:tc>
                <w:tcPr>
                  <w:tcW w:w="4068" w:type="dxa"/>
                  <w:gridSpan w:val="5"/>
                  <w:tcBorders>
                    <w:tl2br w:val="nil"/>
                    <w:tr2bl w:val="nil"/>
                  </w:tcBorders>
                  <w:vAlign w:val="center"/>
                </w:tcPr>
                <w:p w14:paraId="3228E29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4560</w:t>
                  </w:r>
                </w:p>
              </w:tc>
              <w:tc>
                <w:tcPr>
                  <w:tcW w:w="1357" w:type="dxa"/>
                  <w:vMerge w:val="continue"/>
                  <w:tcBorders>
                    <w:tl2br w:val="nil"/>
                    <w:tr2bl w:val="nil"/>
                  </w:tcBorders>
                  <w:vAlign w:val="center"/>
                </w:tcPr>
                <w:p w14:paraId="39212D3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p>
              </w:tc>
            </w:tr>
            <w:tr w14:paraId="54B1CD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22695B5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含湿量（%）</w:t>
                  </w:r>
                </w:p>
              </w:tc>
              <w:tc>
                <w:tcPr>
                  <w:tcW w:w="4068" w:type="dxa"/>
                  <w:gridSpan w:val="5"/>
                  <w:tcBorders>
                    <w:tl2br w:val="nil"/>
                    <w:tr2bl w:val="nil"/>
                  </w:tcBorders>
                  <w:vAlign w:val="center"/>
                </w:tcPr>
                <w:p w14:paraId="2F9C582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2.7</w:t>
                  </w:r>
                </w:p>
              </w:tc>
              <w:tc>
                <w:tcPr>
                  <w:tcW w:w="1357" w:type="dxa"/>
                  <w:vMerge w:val="continue"/>
                  <w:tcBorders>
                    <w:tl2br w:val="nil"/>
                    <w:tr2bl w:val="nil"/>
                  </w:tcBorders>
                  <w:vAlign w:val="center"/>
                </w:tcPr>
                <w:p w14:paraId="353DF7B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p>
              </w:tc>
            </w:tr>
            <w:tr w14:paraId="7BE12E6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94" w:type="dxa"/>
                  <w:vMerge w:val="restart"/>
                  <w:tcBorders>
                    <w:tl2br w:val="nil"/>
                    <w:tr2bl w:val="nil"/>
                  </w:tcBorders>
                  <w:vAlign w:val="center"/>
                </w:tcPr>
                <w:p w14:paraId="53C4F5F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氟化氢</w:t>
                  </w:r>
                </w:p>
              </w:tc>
              <w:tc>
                <w:tcPr>
                  <w:tcW w:w="1890" w:type="dxa"/>
                  <w:tcBorders>
                    <w:tl2br w:val="nil"/>
                    <w:tr2bl w:val="nil"/>
                  </w:tcBorders>
                  <w:vAlign w:val="center"/>
                </w:tcPr>
                <w:p w14:paraId="3F5A419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排放浓度（mg/m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w:t>
                  </w:r>
                </w:p>
              </w:tc>
              <w:tc>
                <w:tcPr>
                  <w:tcW w:w="1356" w:type="dxa"/>
                  <w:tcBorders>
                    <w:tl2br w:val="nil"/>
                    <w:tr2bl w:val="nil"/>
                  </w:tcBorders>
                  <w:vAlign w:val="center"/>
                </w:tcPr>
                <w:p w14:paraId="1316044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56" w:type="dxa"/>
                  <w:gridSpan w:val="2"/>
                  <w:tcBorders>
                    <w:tl2br w:val="nil"/>
                    <w:tr2bl w:val="nil"/>
                  </w:tcBorders>
                  <w:vAlign w:val="center"/>
                </w:tcPr>
                <w:p w14:paraId="42F261B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56" w:type="dxa"/>
                  <w:gridSpan w:val="2"/>
                  <w:tcBorders>
                    <w:tl2br w:val="nil"/>
                    <w:tr2bl w:val="nil"/>
                  </w:tcBorders>
                  <w:vAlign w:val="center"/>
                </w:tcPr>
                <w:p w14:paraId="0F14B43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57" w:type="dxa"/>
                  <w:tcBorders>
                    <w:tl2br w:val="nil"/>
                    <w:tr2bl w:val="nil"/>
                  </w:tcBorders>
                  <w:vAlign w:val="center"/>
                </w:tcPr>
                <w:p w14:paraId="54341D1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r>
            <w:tr w14:paraId="6295FE9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94" w:type="dxa"/>
                  <w:vMerge w:val="continue"/>
                  <w:tcBorders>
                    <w:tl2br w:val="nil"/>
                    <w:tr2bl w:val="nil"/>
                  </w:tcBorders>
                  <w:vAlign w:val="center"/>
                </w:tcPr>
                <w:p w14:paraId="7DC2BC1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890" w:type="dxa"/>
                  <w:tcBorders>
                    <w:tl2br w:val="nil"/>
                    <w:tr2bl w:val="nil"/>
                  </w:tcBorders>
                  <w:vAlign w:val="center"/>
                </w:tcPr>
                <w:p w14:paraId="31C78F4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排放</w:t>
                  </w:r>
                  <w:r>
                    <w:rPr>
                      <w:rFonts w:hint="eastAsia" w:cs="Times New Roman"/>
                      <w:color w:val="auto"/>
                      <w:kern w:val="0"/>
                      <w:sz w:val="21"/>
                      <w:szCs w:val="21"/>
                      <w:vertAlign w:val="baseline"/>
                      <w:lang w:val="en-US" w:eastAsia="zh-CN"/>
                    </w:rPr>
                    <w:t>量</w:t>
                  </w:r>
                  <w:r>
                    <w:rPr>
                      <w:rFonts w:hint="default" w:ascii="Times New Roman" w:hAnsi="Times New Roman" w:cs="Times New Roman"/>
                      <w:color w:val="auto"/>
                      <w:kern w:val="0"/>
                      <w:sz w:val="21"/>
                      <w:szCs w:val="21"/>
                      <w:vertAlign w:val="baseline"/>
                      <w:lang w:val="en-US" w:eastAsia="zh-CN"/>
                    </w:rPr>
                    <w:t>（kg/h）</w:t>
                  </w:r>
                </w:p>
              </w:tc>
              <w:tc>
                <w:tcPr>
                  <w:tcW w:w="1356" w:type="dxa"/>
                  <w:tcBorders>
                    <w:tl2br w:val="nil"/>
                    <w:tr2bl w:val="nil"/>
                  </w:tcBorders>
                  <w:vAlign w:val="center"/>
                </w:tcPr>
                <w:p w14:paraId="661F77B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w:t>
                  </w:r>
                </w:p>
              </w:tc>
              <w:tc>
                <w:tcPr>
                  <w:tcW w:w="1356" w:type="dxa"/>
                  <w:gridSpan w:val="2"/>
                  <w:tcBorders>
                    <w:tl2br w:val="nil"/>
                    <w:tr2bl w:val="nil"/>
                  </w:tcBorders>
                  <w:vAlign w:val="center"/>
                </w:tcPr>
                <w:p w14:paraId="678368E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w:t>
                  </w:r>
                </w:p>
              </w:tc>
              <w:tc>
                <w:tcPr>
                  <w:tcW w:w="1356" w:type="dxa"/>
                  <w:gridSpan w:val="2"/>
                  <w:tcBorders>
                    <w:tl2br w:val="nil"/>
                    <w:tr2bl w:val="nil"/>
                  </w:tcBorders>
                  <w:vAlign w:val="center"/>
                </w:tcPr>
                <w:p w14:paraId="3EB9923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w:t>
                  </w:r>
                </w:p>
              </w:tc>
              <w:tc>
                <w:tcPr>
                  <w:tcW w:w="1357" w:type="dxa"/>
                  <w:tcBorders>
                    <w:tl2br w:val="nil"/>
                    <w:tr2bl w:val="nil"/>
                  </w:tcBorders>
                  <w:vAlign w:val="center"/>
                </w:tcPr>
                <w:p w14:paraId="14D5A45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w:t>
                  </w:r>
                </w:p>
              </w:tc>
            </w:tr>
            <w:tr w14:paraId="021E2CB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609" w:type="dxa"/>
                  <w:gridSpan w:val="8"/>
                  <w:tcBorders>
                    <w:tl2br w:val="nil"/>
                    <w:tr2bl w:val="nil"/>
                  </w:tcBorders>
                  <w:vAlign w:val="center"/>
                </w:tcPr>
                <w:p w14:paraId="45AC5AC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注：ND代表未检出，氟化氢的检出限为0.08mg/m</w:t>
                  </w:r>
                  <w:r>
                    <w:rPr>
                      <w:rFonts w:hint="eastAsia" w:cs="Times New Roman"/>
                      <w:color w:val="auto"/>
                      <w:kern w:val="0"/>
                      <w:sz w:val="21"/>
                      <w:szCs w:val="21"/>
                      <w:vertAlign w:val="superscript"/>
                      <w:lang w:val="en-US" w:eastAsia="zh-CN"/>
                    </w:rPr>
                    <w:t>3</w:t>
                  </w:r>
                  <w:r>
                    <w:rPr>
                      <w:rFonts w:hint="eastAsia" w:cs="Times New Roman"/>
                      <w:color w:val="auto"/>
                      <w:kern w:val="0"/>
                      <w:sz w:val="21"/>
                      <w:szCs w:val="21"/>
                      <w:vertAlign w:val="baseline"/>
                      <w:lang w:val="en-US" w:eastAsia="zh-CN"/>
                    </w:rPr>
                    <w:t>（以10L计），相应排放速率不予计算。</w:t>
                  </w:r>
                </w:p>
              </w:tc>
            </w:tr>
          </w:tbl>
          <w:p w14:paraId="5F461A2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color w:val="auto"/>
                <w:kern w:val="0"/>
                <w:sz w:val="21"/>
                <w:szCs w:val="21"/>
                <w:lang w:val="en-US" w:eastAsia="zh-CN"/>
              </w:rPr>
            </w:pPr>
            <w:r>
              <w:rPr>
                <w:rFonts w:hint="eastAsia"/>
                <w:b/>
                <w:bCs/>
                <w:color w:val="auto"/>
                <w:kern w:val="0"/>
                <w:sz w:val="21"/>
                <w:szCs w:val="21"/>
                <w:lang w:val="en-US" w:eastAsia="zh-CN"/>
              </w:rPr>
              <w:t>表2-8.5   有组织废气检测结果表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94"/>
              <w:gridCol w:w="1890"/>
              <w:gridCol w:w="1356"/>
              <w:gridCol w:w="174"/>
              <w:gridCol w:w="1182"/>
              <w:gridCol w:w="1158"/>
              <w:gridCol w:w="198"/>
              <w:gridCol w:w="1357"/>
            </w:tblGrid>
            <w:tr w14:paraId="61FF957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6754687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检测点位</w:t>
                  </w:r>
                </w:p>
              </w:tc>
              <w:tc>
                <w:tcPr>
                  <w:tcW w:w="5425" w:type="dxa"/>
                  <w:gridSpan w:val="6"/>
                  <w:tcBorders>
                    <w:tl2br w:val="nil"/>
                    <w:tr2bl w:val="nil"/>
                  </w:tcBorders>
                  <w:vAlign w:val="center"/>
                </w:tcPr>
                <w:p w14:paraId="725C195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DA00</w:t>
                  </w:r>
                  <w:r>
                    <w:rPr>
                      <w:rFonts w:hint="eastAsia" w:cs="Times New Roman"/>
                      <w:color w:val="auto"/>
                      <w:kern w:val="0"/>
                      <w:sz w:val="21"/>
                      <w:szCs w:val="21"/>
                      <w:vertAlign w:val="baseline"/>
                      <w:lang w:val="en-US" w:eastAsia="zh-CN"/>
                    </w:rPr>
                    <w:t>3</w:t>
                  </w:r>
                </w:p>
              </w:tc>
            </w:tr>
            <w:tr w14:paraId="754D437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59D428F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污染源成立时间</w:t>
                  </w:r>
                </w:p>
              </w:tc>
              <w:tc>
                <w:tcPr>
                  <w:tcW w:w="1530" w:type="dxa"/>
                  <w:gridSpan w:val="2"/>
                  <w:tcBorders>
                    <w:tl2br w:val="nil"/>
                    <w:tr2bl w:val="nil"/>
                  </w:tcBorders>
                  <w:vAlign w:val="center"/>
                </w:tcPr>
                <w:p w14:paraId="07068F7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w:t>
                  </w:r>
                </w:p>
              </w:tc>
              <w:tc>
                <w:tcPr>
                  <w:tcW w:w="2340" w:type="dxa"/>
                  <w:gridSpan w:val="2"/>
                  <w:tcBorders>
                    <w:tl2br w:val="nil"/>
                    <w:tr2bl w:val="nil"/>
                  </w:tcBorders>
                  <w:vAlign w:val="center"/>
                </w:tcPr>
                <w:p w14:paraId="3362095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测孔烟道截面积（m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cs="Times New Roman"/>
                      <w:color w:val="auto"/>
                      <w:kern w:val="0"/>
                      <w:sz w:val="21"/>
                      <w:szCs w:val="21"/>
                      <w:vertAlign w:val="baseline"/>
                      <w:lang w:val="en-US" w:eastAsia="zh-CN"/>
                    </w:rPr>
                    <w:t>）</w:t>
                  </w:r>
                </w:p>
              </w:tc>
              <w:tc>
                <w:tcPr>
                  <w:tcW w:w="1555" w:type="dxa"/>
                  <w:gridSpan w:val="2"/>
                  <w:tcBorders>
                    <w:tl2br w:val="nil"/>
                    <w:tr2bl w:val="nil"/>
                  </w:tcBorders>
                  <w:vAlign w:val="center"/>
                </w:tcPr>
                <w:p w14:paraId="412950F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0.5</w:t>
                  </w:r>
                  <w:r>
                    <w:rPr>
                      <w:rFonts w:hint="eastAsia" w:cs="Times New Roman"/>
                      <w:color w:val="auto"/>
                      <w:kern w:val="0"/>
                      <w:sz w:val="21"/>
                      <w:szCs w:val="21"/>
                      <w:vertAlign w:val="baseline"/>
                      <w:lang w:val="en-US" w:eastAsia="zh-CN"/>
                    </w:rPr>
                    <w:t>1590</w:t>
                  </w:r>
                </w:p>
              </w:tc>
            </w:tr>
            <w:tr w14:paraId="753A9B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3C90051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燃料种类</w:t>
                  </w:r>
                </w:p>
              </w:tc>
              <w:tc>
                <w:tcPr>
                  <w:tcW w:w="1530" w:type="dxa"/>
                  <w:gridSpan w:val="2"/>
                  <w:tcBorders>
                    <w:tl2br w:val="nil"/>
                    <w:tr2bl w:val="nil"/>
                  </w:tcBorders>
                  <w:vAlign w:val="center"/>
                </w:tcPr>
                <w:p w14:paraId="0A13843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w:t>
                  </w:r>
                </w:p>
              </w:tc>
              <w:tc>
                <w:tcPr>
                  <w:tcW w:w="2340" w:type="dxa"/>
                  <w:gridSpan w:val="2"/>
                  <w:tcBorders>
                    <w:tl2br w:val="nil"/>
                    <w:tr2bl w:val="nil"/>
                  </w:tcBorders>
                  <w:vAlign w:val="center"/>
                </w:tcPr>
                <w:p w14:paraId="78CBC53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排气筒高度（m）</w:t>
                  </w:r>
                </w:p>
              </w:tc>
              <w:tc>
                <w:tcPr>
                  <w:tcW w:w="1555" w:type="dxa"/>
                  <w:gridSpan w:val="2"/>
                  <w:tcBorders>
                    <w:tl2br w:val="nil"/>
                    <w:tr2bl w:val="nil"/>
                  </w:tcBorders>
                  <w:vAlign w:val="center"/>
                </w:tcPr>
                <w:p w14:paraId="5888CEC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25</w:t>
                  </w:r>
                </w:p>
              </w:tc>
            </w:tr>
            <w:tr w14:paraId="0DF88C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37014FB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净化处理设施</w:t>
                  </w:r>
                </w:p>
              </w:tc>
              <w:tc>
                <w:tcPr>
                  <w:tcW w:w="5425" w:type="dxa"/>
                  <w:gridSpan w:val="6"/>
                  <w:tcBorders>
                    <w:tl2br w:val="nil"/>
                    <w:tr2bl w:val="nil"/>
                  </w:tcBorders>
                  <w:vAlign w:val="center"/>
                </w:tcPr>
                <w:p w14:paraId="782F308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一级活性炭吸附+一级碱吸附+一级碱喷淋+布袋除尘</w:t>
                  </w:r>
                </w:p>
              </w:tc>
            </w:tr>
            <w:tr w14:paraId="67C50B0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252" w:type="dxa"/>
                  <w:gridSpan w:val="7"/>
                  <w:tcBorders>
                    <w:tl2br w:val="nil"/>
                    <w:tr2bl w:val="nil"/>
                  </w:tcBorders>
                  <w:vAlign w:val="center"/>
                </w:tcPr>
                <w:p w14:paraId="4FAF28D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测试参数</w:t>
                  </w:r>
                </w:p>
              </w:tc>
              <w:tc>
                <w:tcPr>
                  <w:tcW w:w="1357" w:type="dxa"/>
                  <w:tcBorders>
                    <w:tl2br w:val="nil"/>
                    <w:tr2bl w:val="nil"/>
                  </w:tcBorders>
                  <w:vAlign w:val="center"/>
                </w:tcPr>
                <w:p w14:paraId="7B41082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均值</w:t>
                  </w:r>
                </w:p>
              </w:tc>
            </w:tr>
            <w:tr w14:paraId="29E611A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0EEE2B8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烟气温度（℃）</w:t>
                  </w:r>
                </w:p>
              </w:tc>
              <w:tc>
                <w:tcPr>
                  <w:tcW w:w="4068" w:type="dxa"/>
                  <w:gridSpan w:val="5"/>
                  <w:tcBorders>
                    <w:tl2br w:val="nil"/>
                    <w:tr2bl w:val="nil"/>
                  </w:tcBorders>
                  <w:vAlign w:val="center"/>
                </w:tcPr>
                <w:p w14:paraId="781A965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155.3</w:t>
                  </w:r>
                </w:p>
              </w:tc>
              <w:tc>
                <w:tcPr>
                  <w:tcW w:w="1357" w:type="dxa"/>
                  <w:vMerge w:val="restart"/>
                  <w:tcBorders>
                    <w:tl2br w:val="nil"/>
                    <w:tr2bl w:val="nil"/>
                  </w:tcBorders>
                  <w:vAlign w:val="center"/>
                </w:tcPr>
                <w:p w14:paraId="31B4A53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w:t>
                  </w:r>
                </w:p>
              </w:tc>
            </w:tr>
            <w:tr w14:paraId="6605A76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150C8B0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含氧量（%）</w:t>
                  </w:r>
                </w:p>
              </w:tc>
              <w:tc>
                <w:tcPr>
                  <w:tcW w:w="4068" w:type="dxa"/>
                  <w:gridSpan w:val="5"/>
                  <w:tcBorders>
                    <w:tl2br w:val="nil"/>
                    <w:tr2bl w:val="nil"/>
                  </w:tcBorders>
                  <w:vAlign w:val="center"/>
                </w:tcPr>
                <w:p w14:paraId="0E0E8F6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19.8</w:t>
                  </w:r>
                </w:p>
              </w:tc>
              <w:tc>
                <w:tcPr>
                  <w:tcW w:w="1357" w:type="dxa"/>
                  <w:vMerge w:val="continue"/>
                  <w:tcBorders>
                    <w:tl2br w:val="nil"/>
                    <w:tr2bl w:val="nil"/>
                  </w:tcBorders>
                  <w:vAlign w:val="center"/>
                </w:tcPr>
                <w:p w14:paraId="7DAF039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kern w:val="0"/>
                      <w:sz w:val="21"/>
                      <w:szCs w:val="21"/>
                      <w:vertAlign w:val="baseline"/>
                      <w:lang w:val="en-US" w:eastAsia="zh-CN"/>
                    </w:rPr>
                  </w:pPr>
                </w:p>
              </w:tc>
            </w:tr>
            <w:tr w14:paraId="17CE7E3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4113632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烟气流速（m/s）</w:t>
                  </w:r>
                </w:p>
              </w:tc>
              <w:tc>
                <w:tcPr>
                  <w:tcW w:w="4068" w:type="dxa"/>
                  <w:gridSpan w:val="5"/>
                  <w:tcBorders>
                    <w:tl2br w:val="nil"/>
                    <w:tr2bl w:val="nil"/>
                  </w:tcBorders>
                  <w:vAlign w:val="center"/>
                </w:tcPr>
                <w:p w14:paraId="02D6A3D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13.2</w:t>
                  </w:r>
                </w:p>
              </w:tc>
              <w:tc>
                <w:tcPr>
                  <w:tcW w:w="1357" w:type="dxa"/>
                  <w:vMerge w:val="continue"/>
                  <w:tcBorders>
                    <w:tl2br w:val="nil"/>
                    <w:tr2bl w:val="nil"/>
                  </w:tcBorders>
                  <w:vAlign w:val="center"/>
                </w:tcPr>
                <w:p w14:paraId="64120B7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p>
              </w:tc>
            </w:tr>
            <w:tr w14:paraId="4E8B58A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62C102F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测态烟气流量（m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/h）</w:t>
                  </w:r>
                </w:p>
              </w:tc>
              <w:tc>
                <w:tcPr>
                  <w:tcW w:w="4068" w:type="dxa"/>
                  <w:gridSpan w:val="5"/>
                  <w:tcBorders>
                    <w:tl2br w:val="nil"/>
                    <w:tr2bl w:val="nil"/>
                  </w:tcBorders>
                  <w:vAlign w:val="center"/>
                </w:tcPr>
                <w:p w14:paraId="705E0A6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7566</w:t>
                  </w:r>
                </w:p>
              </w:tc>
              <w:tc>
                <w:tcPr>
                  <w:tcW w:w="1357" w:type="dxa"/>
                  <w:vMerge w:val="continue"/>
                  <w:tcBorders>
                    <w:tl2br w:val="nil"/>
                    <w:tr2bl w:val="nil"/>
                  </w:tcBorders>
                  <w:vAlign w:val="center"/>
                </w:tcPr>
                <w:p w14:paraId="6CF7F37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p>
              </w:tc>
            </w:tr>
            <w:tr w14:paraId="3FE244C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053FABF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标态烟气流量（Nm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/h）</w:t>
                  </w:r>
                </w:p>
              </w:tc>
              <w:tc>
                <w:tcPr>
                  <w:tcW w:w="4068" w:type="dxa"/>
                  <w:gridSpan w:val="5"/>
                  <w:tcBorders>
                    <w:tl2br w:val="nil"/>
                    <w:tr2bl w:val="nil"/>
                  </w:tcBorders>
                  <w:vAlign w:val="center"/>
                </w:tcPr>
                <w:p w14:paraId="2488221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4629</w:t>
                  </w:r>
                </w:p>
              </w:tc>
              <w:tc>
                <w:tcPr>
                  <w:tcW w:w="1357" w:type="dxa"/>
                  <w:vMerge w:val="continue"/>
                  <w:tcBorders>
                    <w:tl2br w:val="nil"/>
                    <w:tr2bl w:val="nil"/>
                  </w:tcBorders>
                  <w:vAlign w:val="center"/>
                </w:tcPr>
                <w:p w14:paraId="0F451F8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p>
              </w:tc>
            </w:tr>
            <w:tr w14:paraId="43356A5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6A074FC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含湿量（%）</w:t>
                  </w:r>
                </w:p>
              </w:tc>
              <w:tc>
                <w:tcPr>
                  <w:tcW w:w="4068" w:type="dxa"/>
                  <w:gridSpan w:val="5"/>
                  <w:tcBorders>
                    <w:tl2br w:val="nil"/>
                    <w:tr2bl w:val="nil"/>
                  </w:tcBorders>
                  <w:vAlign w:val="center"/>
                </w:tcPr>
                <w:p w14:paraId="63FD647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2.9</w:t>
                  </w:r>
                </w:p>
              </w:tc>
              <w:tc>
                <w:tcPr>
                  <w:tcW w:w="1357" w:type="dxa"/>
                  <w:vMerge w:val="continue"/>
                  <w:tcBorders>
                    <w:tl2br w:val="nil"/>
                    <w:tr2bl w:val="nil"/>
                  </w:tcBorders>
                  <w:vAlign w:val="center"/>
                </w:tcPr>
                <w:p w14:paraId="7EAF8EF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p>
              </w:tc>
            </w:tr>
            <w:tr w14:paraId="4AD899C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94" w:type="dxa"/>
                  <w:vMerge w:val="restart"/>
                  <w:tcBorders>
                    <w:tl2br w:val="nil"/>
                    <w:tr2bl w:val="nil"/>
                  </w:tcBorders>
                  <w:vAlign w:val="center"/>
                </w:tcPr>
                <w:p w14:paraId="4CC5739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氯化氢</w:t>
                  </w:r>
                </w:p>
              </w:tc>
              <w:tc>
                <w:tcPr>
                  <w:tcW w:w="1890" w:type="dxa"/>
                  <w:tcBorders>
                    <w:tl2br w:val="nil"/>
                    <w:tr2bl w:val="nil"/>
                  </w:tcBorders>
                  <w:vAlign w:val="center"/>
                </w:tcPr>
                <w:p w14:paraId="4B998FB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排放浓度（mg/m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w:t>
                  </w:r>
                </w:p>
              </w:tc>
              <w:tc>
                <w:tcPr>
                  <w:tcW w:w="1356" w:type="dxa"/>
                  <w:tcBorders>
                    <w:tl2br w:val="nil"/>
                    <w:tr2bl w:val="nil"/>
                  </w:tcBorders>
                  <w:vAlign w:val="center"/>
                </w:tcPr>
                <w:p w14:paraId="34C3676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56" w:type="dxa"/>
                  <w:gridSpan w:val="2"/>
                  <w:tcBorders>
                    <w:tl2br w:val="nil"/>
                    <w:tr2bl w:val="nil"/>
                  </w:tcBorders>
                  <w:vAlign w:val="center"/>
                </w:tcPr>
                <w:p w14:paraId="2F38FFB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56" w:type="dxa"/>
                  <w:gridSpan w:val="2"/>
                  <w:tcBorders>
                    <w:tl2br w:val="nil"/>
                    <w:tr2bl w:val="nil"/>
                  </w:tcBorders>
                  <w:vAlign w:val="center"/>
                </w:tcPr>
                <w:p w14:paraId="32EBC7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57" w:type="dxa"/>
                  <w:tcBorders>
                    <w:tl2br w:val="nil"/>
                    <w:tr2bl w:val="nil"/>
                  </w:tcBorders>
                  <w:vAlign w:val="center"/>
                </w:tcPr>
                <w:p w14:paraId="655DE63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r>
            <w:tr w14:paraId="085C991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94" w:type="dxa"/>
                  <w:vMerge w:val="continue"/>
                  <w:tcBorders>
                    <w:tl2br w:val="nil"/>
                    <w:tr2bl w:val="nil"/>
                  </w:tcBorders>
                  <w:vAlign w:val="center"/>
                </w:tcPr>
                <w:p w14:paraId="061D37B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890" w:type="dxa"/>
                  <w:tcBorders>
                    <w:tl2br w:val="nil"/>
                    <w:tr2bl w:val="nil"/>
                  </w:tcBorders>
                  <w:vAlign w:val="center"/>
                </w:tcPr>
                <w:p w14:paraId="3BE8697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排放</w:t>
                  </w:r>
                  <w:r>
                    <w:rPr>
                      <w:rFonts w:hint="eastAsia" w:cs="Times New Roman"/>
                      <w:color w:val="auto"/>
                      <w:kern w:val="0"/>
                      <w:sz w:val="21"/>
                      <w:szCs w:val="21"/>
                      <w:vertAlign w:val="baseline"/>
                      <w:lang w:val="en-US" w:eastAsia="zh-CN"/>
                    </w:rPr>
                    <w:t>量</w:t>
                  </w:r>
                  <w:r>
                    <w:rPr>
                      <w:rFonts w:hint="default" w:ascii="Times New Roman" w:hAnsi="Times New Roman" w:cs="Times New Roman"/>
                      <w:color w:val="auto"/>
                      <w:kern w:val="0"/>
                      <w:sz w:val="21"/>
                      <w:szCs w:val="21"/>
                      <w:vertAlign w:val="baseline"/>
                      <w:lang w:val="en-US" w:eastAsia="zh-CN"/>
                    </w:rPr>
                    <w:t>（kg/h）</w:t>
                  </w:r>
                </w:p>
              </w:tc>
              <w:tc>
                <w:tcPr>
                  <w:tcW w:w="1356" w:type="dxa"/>
                  <w:tcBorders>
                    <w:tl2br w:val="nil"/>
                    <w:tr2bl w:val="nil"/>
                  </w:tcBorders>
                  <w:vAlign w:val="center"/>
                </w:tcPr>
                <w:p w14:paraId="1DE5547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w:t>
                  </w:r>
                </w:p>
              </w:tc>
              <w:tc>
                <w:tcPr>
                  <w:tcW w:w="1356" w:type="dxa"/>
                  <w:gridSpan w:val="2"/>
                  <w:tcBorders>
                    <w:tl2br w:val="nil"/>
                    <w:tr2bl w:val="nil"/>
                  </w:tcBorders>
                  <w:vAlign w:val="center"/>
                </w:tcPr>
                <w:p w14:paraId="1901333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w:t>
                  </w:r>
                </w:p>
              </w:tc>
              <w:tc>
                <w:tcPr>
                  <w:tcW w:w="1356" w:type="dxa"/>
                  <w:gridSpan w:val="2"/>
                  <w:tcBorders>
                    <w:tl2br w:val="nil"/>
                    <w:tr2bl w:val="nil"/>
                  </w:tcBorders>
                  <w:vAlign w:val="center"/>
                </w:tcPr>
                <w:p w14:paraId="01D4BB6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w:t>
                  </w:r>
                </w:p>
              </w:tc>
              <w:tc>
                <w:tcPr>
                  <w:tcW w:w="1357" w:type="dxa"/>
                  <w:tcBorders>
                    <w:tl2br w:val="nil"/>
                    <w:tr2bl w:val="nil"/>
                  </w:tcBorders>
                  <w:vAlign w:val="center"/>
                </w:tcPr>
                <w:p w14:paraId="11AF917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w:t>
                  </w:r>
                </w:p>
              </w:tc>
            </w:tr>
            <w:tr w14:paraId="0E294D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609" w:type="dxa"/>
                  <w:gridSpan w:val="8"/>
                  <w:tcBorders>
                    <w:tl2br w:val="nil"/>
                    <w:tr2bl w:val="nil"/>
                  </w:tcBorders>
                  <w:vAlign w:val="center"/>
                </w:tcPr>
                <w:p w14:paraId="4B6C51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注：ND代表未检出，氯化氢的检出限为0.9mg/m</w:t>
                  </w:r>
                  <w:r>
                    <w:rPr>
                      <w:rFonts w:hint="eastAsia" w:cs="Times New Roman"/>
                      <w:color w:val="auto"/>
                      <w:kern w:val="0"/>
                      <w:sz w:val="21"/>
                      <w:szCs w:val="21"/>
                      <w:vertAlign w:val="superscript"/>
                      <w:lang w:val="en-US" w:eastAsia="zh-CN"/>
                    </w:rPr>
                    <w:t>3</w:t>
                  </w:r>
                  <w:r>
                    <w:rPr>
                      <w:rFonts w:hint="eastAsia" w:cs="Times New Roman"/>
                      <w:color w:val="auto"/>
                      <w:kern w:val="0"/>
                      <w:sz w:val="21"/>
                      <w:szCs w:val="21"/>
                      <w:vertAlign w:val="baseline"/>
                      <w:lang w:val="en-US" w:eastAsia="zh-CN"/>
                    </w:rPr>
                    <w:t>（以10L计），相应排放速率不予计算。</w:t>
                  </w:r>
                </w:p>
              </w:tc>
            </w:tr>
          </w:tbl>
          <w:p w14:paraId="76DB817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color w:val="auto"/>
                <w:kern w:val="0"/>
                <w:sz w:val="21"/>
                <w:szCs w:val="21"/>
                <w:lang w:val="en-US" w:eastAsia="zh-CN"/>
              </w:rPr>
            </w:pPr>
            <w:r>
              <w:rPr>
                <w:rFonts w:hint="eastAsia"/>
                <w:b/>
                <w:bCs/>
                <w:color w:val="auto"/>
                <w:kern w:val="0"/>
                <w:sz w:val="21"/>
                <w:szCs w:val="21"/>
                <w:lang w:val="en-US" w:eastAsia="zh-CN"/>
              </w:rPr>
              <w:t>表2-8.6   有组织废气检测结果表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94"/>
              <w:gridCol w:w="1890"/>
              <w:gridCol w:w="1356"/>
              <w:gridCol w:w="174"/>
              <w:gridCol w:w="1182"/>
              <w:gridCol w:w="1158"/>
              <w:gridCol w:w="198"/>
              <w:gridCol w:w="1357"/>
            </w:tblGrid>
            <w:tr w14:paraId="38F0B3F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70C47E3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检测点位</w:t>
                  </w:r>
                </w:p>
              </w:tc>
              <w:tc>
                <w:tcPr>
                  <w:tcW w:w="5425" w:type="dxa"/>
                  <w:gridSpan w:val="6"/>
                  <w:tcBorders>
                    <w:tl2br w:val="nil"/>
                    <w:tr2bl w:val="nil"/>
                  </w:tcBorders>
                  <w:vAlign w:val="center"/>
                </w:tcPr>
                <w:p w14:paraId="11E3532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DA00</w:t>
                  </w:r>
                  <w:r>
                    <w:rPr>
                      <w:rFonts w:hint="eastAsia" w:cs="Times New Roman"/>
                      <w:color w:val="auto"/>
                      <w:kern w:val="0"/>
                      <w:sz w:val="21"/>
                      <w:szCs w:val="21"/>
                      <w:vertAlign w:val="baseline"/>
                      <w:lang w:val="en-US" w:eastAsia="zh-CN"/>
                    </w:rPr>
                    <w:t>4</w:t>
                  </w:r>
                </w:p>
              </w:tc>
            </w:tr>
            <w:tr w14:paraId="6B06A58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183E18C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污染源成立时间</w:t>
                  </w:r>
                </w:p>
              </w:tc>
              <w:tc>
                <w:tcPr>
                  <w:tcW w:w="1530" w:type="dxa"/>
                  <w:gridSpan w:val="2"/>
                  <w:tcBorders>
                    <w:tl2br w:val="nil"/>
                    <w:tr2bl w:val="nil"/>
                  </w:tcBorders>
                  <w:vAlign w:val="center"/>
                </w:tcPr>
                <w:p w14:paraId="73377E9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w:t>
                  </w:r>
                </w:p>
              </w:tc>
              <w:tc>
                <w:tcPr>
                  <w:tcW w:w="2340" w:type="dxa"/>
                  <w:gridSpan w:val="2"/>
                  <w:tcBorders>
                    <w:tl2br w:val="nil"/>
                    <w:tr2bl w:val="nil"/>
                  </w:tcBorders>
                  <w:vAlign w:val="center"/>
                </w:tcPr>
                <w:p w14:paraId="05EEE8E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测孔烟道截面积（m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cs="Times New Roman"/>
                      <w:color w:val="auto"/>
                      <w:kern w:val="0"/>
                      <w:sz w:val="21"/>
                      <w:szCs w:val="21"/>
                      <w:vertAlign w:val="baseline"/>
                      <w:lang w:val="en-US" w:eastAsia="zh-CN"/>
                    </w:rPr>
                    <w:t>）</w:t>
                  </w:r>
                </w:p>
              </w:tc>
              <w:tc>
                <w:tcPr>
                  <w:tcW w:w="1555" w:type="dxa"/>
                  <w:gridSpan w:val="2"/>
                  <w:tcBorders>
                    <w:tl2br w:val="nil"/>
                    <w:tr2bl w:val="nil"/>
                  </w:tcBorders>
                  <w:vAlign w:val="center"/>
                </w:tcPr>
                <w:p w14:paraId="0AA5F0B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w:t>
                  </w:r>
                  <w:r>
                    <w:rPr>
                      <w:rFonts w:hint="eastAsia" w:cs="Times New Roman"/>
                      <w:color w:val="auto"/>
                      <w:kern w:val="0"/>
                      <w:sz w:val="21"/>
                      <w:szCs w:val="21"/>
                      <w:vertAlign w:val="baseline"/>
                      <w:lang w:val="en-US" w:eastAsia="zh-CN"/>
                    </w:rPr>
                    <w:t>0707</w:t>
                  </w:r>
                </w:p>
              </w:tc>
            </w:tr>
            <w:tr w14:paraId="3961398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54C41B0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燃料种类</w:t>
                  </w:r>
                </w:p>
              </w:tc>
              <w:tc>
                <w:tcPr>
                  <w:tcW w:w="1530" w:type="dxa"/>
                  <w:gridSpan w:val="2"/>
                  <w:tcBorders>
                    <w:tl2br w:val="nil"/>
                    <w:tr2bl w:val="nil"/>
                  </w:tcBorders>
                  <w:vAlign w:val="center"/>
                </w:tcPr>
                <w:p w14:paraId="1C4F6B3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w:t>
                  </w:r>
                </w:p>
              </w:tc>
              <w:tc>
                <w:tcPr>
                  <w:tcW w:w="2340" w:type="dxa"/>
                  <w:gridSpan w:val="2"/>
                  <w:tcBorders>
                    <w:tl2br w:val="nil"/>
                    <w:tr2bl w:val="nil"/>
                  </w:tcBorders>
                  <w:vAlign w:val="center"/>
                </w:tcPr>
                <w:p w14:paraId="2C7339A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排气筒高度（m）</w:t>
                  </w:r>
                </w:p>
              </w:tc>
              <w:tc>
                <w:tcPr>
                  <w:tcW w:w="1555" w:type="dxa"/>
                  <w:gridSpan w:val="2"/>
                  <w:tcBorders>
                    <w:tl2br w:val="nil"/>
                    <w:tr2bl w:val="nil"/>
                  </w:tcBorders>
                  <w:vAlign w:val="center"/>
                </w:tcPr>
                <w:p w14:paraId="665241D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15</w:t>
                  </w:r>
                </w:p>
              </w:tc>
            </w:tr>
            <w:tr w14:paraId="7432127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6940AFC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净化处理设施</w:t>
                  </w:r>
                </w:p>
              </w:tc>
              <w:tc>
                <w:tcPr>
                  <w:tcW w:w="5425" w:type="dxa"/>
                  <w:gridSpan w:val="6"/>
                  <w:tcBorders>
                    <w:tl2br w:val="nil"/>
                    <w:tr2bl w:val="nil"/>
                  </w:tcBorders>
                  <w:vAlign w:val="center"/>
                </w:tcPr>
                <w:p w14:paraId="5ABBB38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二级活性炭吸附</w:t>
                  </w:r>
                </w:p>
              </w:tc>
            </w:tr>
            <w:tr w14:paraId="39129E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4C6914A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测试参数</w:t>
                  </w:r>
                </w:p>
              </w:tc>
              <w:tc>
                <w:tcPr>
                  <w:tcW w:w="1356" w:type="dxa"/>
                  <w:tcBorders>
                    <w:tl2br w:val="nil"/>
                    <w:tr2bl w:val="nil"/>
                  </w:tcBorders>
                  <w:vAlign w:val="center"/>
                </w:tcPr>
                <w:p w14:paraId="78DEEFA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第一次</w:t>
                  </w:r>
                </w:p>
              </w:tc>
              <w:tc>
                <w:tcPr>
                  <w:tcW w:w="1356" w:type="dxa"/>
                  <w:gridSpan w:val="2"/>
                  <w:tcBorders>
                    <w:tl2br w:val="nil"/>
                    <w:tr2bl w:val="nil"/>
                  </w:tcBorders>
                  <w:vAlign w:val="center"/>
                </w:tcPr>
                <w:p w14:paraId="4918045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第二次</w:t>
                  </w:r>
                </w:p>
              </w:tc>
              <w:tc>
                <w:tcPr>
                  <w:tcW w:w="1356" w:type="dxa"/>
                  <w:gridSpan w:val="2"/>
                  <w:tcBorders>
                    <w:tl2br w:val="nil"/>
                    <w:tr2bl w:val="nil"/>
                  </w:tcBorders>
                  <w:vAlign w:val="center"/>
                </w:tcPr>
                <w:p w14:paraId="23969B1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第三次</w:t>
                  </w:r>
                </w:p>
              </w:tc>
              <w:tc>
                <w:tcPr>
                  <w:tcW w:w="1357" w:type="dxa"/>
                  <w:tcBorders>
                    <w:tl2br w:val="nil"/>
                    <w:tr2bl w:val="nil"/>
                  </w:tcBorders>
                  <w:vAlign w:val="center"/>
                </w:tcPr>
                <w:p w14:paraId="70EEF9B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均值</w:t>
                  </w:r>
                </w:p>
              </w:tc>
            </w:tr>
            <w:tr w14:paraId="4F103ED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6B47F0C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烟气温度（℃）</w:t>
                  </w:r>
                </w:p>
              </w:tc>
              <w:tc>
                <w:tcPr>
                  <w:tcW w:w="1356" w:type="dxa"/>
                  <w:tcBorders>
                    <w:tl2br w:val="nil"/>
                    <w:tr2bl w:val="nil"/>
                  </w:tcBorders>
                  <w:vAlign w:val="center"/>
                </w:tcPr>
                <w:p w14:paraId="74E6D9A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31.3</w:t>
                  </w:r>
                </w:p>
              </w:tc>
              <w:tc>
                <w:tcPr>
                  <w:tcW w:w="1356" w:type="dxa"/>
                  <w:gridSpan w:val="2"/>
                  <w:tcBorders>
                    <w:tl2br w:val="nil"/>
                    <w:tr2bl w:val="nil"/>
                  </w:tcBorders>
                  <w:vAlign w:val="center"/>
                </w:tcPr>
                <w:p w14:paraId="4C29561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31.5</w:t>
                  </w:r>
                </w:p>
              </w:tc>
              <w:tc>
                <w:tcPr>
                  <w:tcW w:w="1356" w:type="dxa"/>
                  <w:gridSpan w:val="2"/>
                  <w:tcBorders>
                    <w:tl2br w:val="nil"/>
                    <w:tr2bl w:val="nil"/>
                  </w:tcBorders>
                  <w:vAlign w:val="center"/>
                </w:tcPr>
                <w:p w14:paraId="75AA6D3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31.9</w:t>
                  </w:r>
                </w:p>
              </w:tc>
              <w:tc>
                <w:tcPr>
                  <w:tcW w:w="1357" w:type="dxa"/>
                  <w:tcBorders>
                    <w:tl2br w:val="nil"/>
                    <w:tr2bl w:val="nil"/>
                  </w:tcBorders>
                  <w:vAlign w:val="center"/>
                </w:tcPr>
                <w:p w14:paraId="3F4BB25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31.6</w:t>
                  </w:r>
                </w:p>
              </w:tc>
            </w:tr>
            <w:tr w14:paraId="2AC81C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4B0BA1A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烟气流速（m/s）</w:t>
                  </w:r>
                </w:p>
              </w:tc>
              <w:tc>
                <w:tcPr>
                  <w:tcW w:w="1356" w:type="dxa"/>
                  <w:tcBorders>
                    <w:tl2br w:val="nil"/>
                    <w:tr2bl w:val="nil"/>
                  </w:tcBorders>
                  <w:vAlign w:val="center"/>
                </w:tcPr>
                <w:p w14:paraId="29228E8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2.1</w:t>
                  </w:r>
                </w:p>
              </w:tc>
              <w:tc>
                <w:tcPr>
                  <w:tcW w:w="1356" w:type="dxa"/>
                  <w:gridSpan w:val="2"/>
                  <w:tcBorders>
                    <w:tl2br w:val="nil"/>
                    <w:tr2bl w:val="nil"/>
                  </w:tcBorders>
                  <w:vAlign w:val="center"/>
                </w:tcPr>
                <w:p w14:paraId="355A48E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2.1</w:t>
                  </w:r>
                </w:p>
              </w:tc>
              <w:tc>
                <w:tcPr>
                  <w:tcW w:w="1356" w:type="dxa"/>
                  <w:gridSpan w:val="2"/>
                  <w:tcBorders>
                    <w:tl2br w:val="nil"/>
                    <w:tr2bl w:val="nil"/>
                  </w:tcBorders>
                  <w:vAlign w:val="center"/>
                </w:tcPr>
                <w:p w14:paraId="2E3633B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2.3</w:t>
                  </w:r>
                </w:p>
              </w:tc>
              <w:tc>
                <w:tcPr>
                  <w:tcW w:w="1357" w:type="dxa"/>
                  <w:tcBorders>
                    <w:tl2br w:val="nil"/>
                    <w:tr2bl w:val="nil"/>
                  </w:tcBorders>
                  <w:vAlign w:val="center"/>
                </w:tcPr>
                <w:p w14:paraId="4B35F3E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2.2</w:t>
                  </w:r>
                </w:p>
              </w:tc>
            </w:tr>
            <w:tr w14:paraId="05FB5A9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1B06B8D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测态烟气流量（m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/h）</w:t>
                  </w:r>
                </w:p>
              </w:tc>
              <w:tc>
                <w:tcPr>
                  <w:tcW w:w="1356" w:type="dxa"/>
                  <w:tcBorders>
                    <w:tl2br w:val="nil"/>
                    <w:tr2bl w:val="nil"/>
                  </w:tcBorders>
                  <w:vAlign w:val="center"/>
                </w:tcPr>
                <w:p w14:paraId="4377434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534</w:t>
                  </w:r>
                </w:p>
              </w:tc>
              <w:tc>
                <w:tcPr>
                  <w:tcW w:w="1356" w:type="dxa"/>
                  <w:gridSpan w:val="2"/>
                  <w:tcBorders>
                    <w:tl2br w:val="nil"/>
                    <w:tr2bl w:val="nil"/>
                  </w:tcBorders>
                  <w:vAlign w:val="center"/>
                </w:tcPr>
                <w:p w14:paraId="1EA4F7B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525</w:t>
                  </w:r>
                </w:p>
              </w:tc>
              <w:tc>
                <w:tcPr>
                  <w:tcW w:w="1356" w:type="dxa"/>
                  <w:gridSpan w:val="2"/>
                  <w:tcBorders>
                    <w:tl2br w:val="nil"/>
                    <w:tr2bl w:val="nil"/>
                  </w:tcBorders>
                  <w:vAlign w:val="center"/>
                </w:tcPr>
                <w:p w14:paraId="0000FBE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594</w:t>
                  </w:r>
                </w:p>
              </w:tc>
              <w:tc>
                <w:tcPr>
                  <w:tcW w:w="1357" w:type="dxa"/>
                  <w:tcBorders>
                    <w:tl2br w:val="nil"/>
                    <w:tr2bl w:val="nil"/>
                  </w:tcBorders>
                  <w:vAlign w:val="center"/>
                </w:tcPr>
                <w:p w14:paraId="39EA069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551</w:t>
                  </w:r>
                </w:p>
              </w:tc>
            </w:tr>
            <w:tr w14:paraId="67B6A4E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0164F3F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标态烟气流量（Nm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/h）</w:t>
                  </w:r>
                </w:p>
              </w:tc>
              <w:tc>
                <w:tcPr>
                  <w:tcW w:w="1356" w:type="dxa"/>
                  <w:tcBorders>
                    <w:tl2br w:val="nil"/>
                    <w:tr2bl w:val="nil"/>
                  </w:tcBorders>
                  <w:vAlign w:val="center"/>
                </w:tcPr>
                <w:p w14:paraId="20942AA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465</w:t>
                  </w:r>
                </w:p>
              </w:tc>
              <w:tc>
                <w:tcPr>
                  <w:tcW w:w="1356" w:type="dxa"/>
                  <w:gridSpan w:val="2"/>
                  <w:tcBorders>
                    <w:tl2br w:val="nil"/>
                    <w:tr2bl w:val="nil"/>
                  </w:tcBorders>
                  <w:vAlign w:val="center"/>
                </w:tcPr>
                <w:p w14:paraId="648BA1D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456</w:t>
                  </w:r>
                </w:p>
              </w:tc>
              <w:tc>
                <w:tcPr>
                  <w:tcW w:w="1356" w:type="dxa"/>
                  <w:gridSpan w:val="2"/>
                  <w:tcBorders>
                    <w:tl2br w:val="nil"/>
                    <w:tr2bl w:val="nil"/>
                  </w:tcBorders>
                  <w:vAlign w:val="center"/>
                </w:tcPr>
                <w:p w14:paraId="1846E30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516</w:t>
                  </w:r>
                </w:p>
              </w:tc>
              <w:tc>
                <w:tcPr>
                  <w:tcW w:w="1357" w:type="dxa"/>
                  <w:tcBorders>
                    <w:tl2br w:val="nil"/>
                    <w:tr2bl w:val="nil"/>
                  </w:tcBorders>
                  <w:vAlign w:val="center"/>
                </w:tcPr>
                <w:p w14:paraId="4B1CE41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479</w:t>
                  </w:r>
                </w:p>
              </w:tc>
            </w:tr>
            <w:tr w14:paraId="551CBC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2FB3389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含湿量（%）</w:t>
                  </w:r>
                </w:p>
              </w:tc>
              <w:tc>
                <w:tcPr>
                  <w:tcW w:w="1356" w:type="dxa"/>
                  <w:tcBorders>
                    <w:tl2br w:val="nil"/>
                    <w:tr2bl w:val="nil"/>
                  </w:tcBorders>
                  <w:vAlign w:val="center"/>
                </w:tcPr>
                <w:p w14:paraId="3FF9418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2.0</w:t>
                  </w:r>
                </w:p>
              </w:tc>
              <w:tc>
                <w:tcPr>
                  <w:tcW w:w="1356" w:type="dxa"/>
                  <w:gridSpan w:val="2"/>
                  <w:tcBorders>
                    <w:tl2br w:val="nil"/>
                    <w:tr2bl w:val="nil"/>
                  </w:tcBorders>
                  <w:vAlign w:val="center"/>
                </w:tcPr>
                <w:p w14:paraId="06871EC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2.0</w:t>
                  </w:r>
                </w:p>
              </w:tc>
              <w:tc>
                <w:tcPr>
                  <w:tcW w:w="1356" w:type="dxa"/>
                  <w:gridSpan w:val="2"/>
                  <w:tcBorders>
                    <w:tl2br w:val="nil"/>
                    <w:tr2bl w:val="nil"/>
                  </w:tcBorders>
                  <w:vAlign w:val="center"/>
                </w:tcPr>
                <w:p w14:paraId="32F58CB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1.9</w:t>
                  </w:r>
                </w:p>
              </w:tc>
              <w:tc>
                <w:tcPr>
                  <w:tcW w:w="1357" w:type="dxa"/>
                  <w:tcBorders>
                    <w:tl2br w:val="nil"/>
                    <w:tr2bl w:val="nil"/>
                  </w:tcBorders>
                  <w:vAlign w:val="center"/>
                </w:tcPr>
                <w:p w14:paraId="5D02E78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2.0</w:t>
                  </w:r>
                </w:p>
              </w:tc>
            </w:tr>
            <w:tr w14:paraId="105C99F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94" w:type="dxa"/>
                  <w:vMerge w:val="restart"/>
                  <w:tcBorders>
                    <w:tl2br w:val="nil"/>
                    <w:tr2bl w:val="nil"/>
                  </w:tcBorders>
                  <w:vAlign w:val="center"/>
                </w:tcPr>
                <w:p w14:paraId="225395D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非甲烷总烃</w:t>
                  </w:r>
                </w:p>
              </w:tc>
              <w:tc>
                <w:tcPr>
                  <w:tcW w:w="1890" w:type="dxa"/>
                  <w:tcBorders>
                    <w:tl2br w:val="nil"/>
                    <w:tr2bl w:val="nil"/>
                  </w:tcBorders>
                  <w:vAlign w:val="center"/>
                </w:tcPr>
                <w:p w14:paraId="304A748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排放浓度（mg/m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w:t>
                  </w:r>
                </w:p>
              </w:tc>
              <w:tc>
                <w:tcPr>
                  <w:tcW w:w="1356" w:type="dxa"/>
                  <w:tcBorders>
                    <w:tl2br w:val="nil"/>
                    <w:tr2bl w:val="nil"/>
                  </w:tcBorders>
                  <w:vAlign w:val="center"/>
                </w:tcPr>
                <w:p w14:paraId="4D12F5E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0.55</w:t>
                  </w:r>
                </w:p>
              </w:tc>
              <w:tc>
                <w:tcPr>
                  <w:tcW w:w="1356" w:type="dxa"/>
                  <w:gridSpan w:val="2"/>
                  <w:tcBorders>
                    <w:tl2br w:val="nil"/>
                    <w:tr2bl w:val="nil"/>
                  </w:tcBorders>
                  <w:vAlign w:val="center"/>
                </w:tcPr>
                <w:p w14:paraId="68036A3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0.58</w:t>
                  </w:r>
                </w:p>
              </w:tc>
              <w:tc>
                <w:tcPr>
                  <w:tcW w:w="1356" w:type="dxa"/>
                  <w:gridSpan w:val="2"/>
                  <w:tcBorders>
                    <w:tl2br w:val="nil"/>
                    <w:tr2bl w:val="nil"/>
                  </w:tcBorders>
                  <w:vAlign w:val="center"/>
                </w:tcPr>
                <w:p w14:paraId="70630EB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0.50</w:t>
                  </w:r>
                </w:p>
              </w:tc>
              <w:tc>
                <w:tcPr>
                  <w:tcW w:w="1357" w:type="dxa"/>
                  <w:tcBorders>
                    <w:tl2br w:val="nil"/>
                    <w:tr2bl w:val="nil"/>
                  </w:tcBorders>
                  <w:vAlign w:val="center"/>
                </w:tcPr>
                <w:p w14:paraId="2FE8EF1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0.54</w:t>
                  </w:r>
                </w:p>
              </w:tc>
            </w:tr>
            <w:tr w14:paraId="122EE9F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94" w:type="dxa"/>
                  <w:vMerge w:val="continue"/>
                  <w:tcBorders>
                    <w:tl2br w:val="nil"/>
                    <w:tr2bl w:val="nil"/>
                  </w:tcBorders>
                  <w:vAlign w:val="center"/>
                </w:tcPr>
                <w:p w14:paraId="06CF85C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890" w:type="dxa"/>
                  <w:tcBorders>
                    <w:tl2br w:val="nil"/>
                    <w:tr2bl w:val="nil"/>
                  </w:tcBorders>
                  <w:vAlign w:val="center"/>
                </w:tcPr>
                <w:p w14:paraId="4EAEE16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排放速率（kg/h）</w:t>
                  </w:r>
                </w:p>
              </w:tc>
              <w:tc>
                <w:tcPr>
                  <w:tcW w:w="1356" w:type="dxa"/>
                  <w:tcBorders>
                    <w:tl2br w:val="nil"/>
                    <w:tr2bl w:val="nil"/>
                  </w:tcBorders>
                  <w:vAlign w:val="center"/>
                </w:tcPr>
                <w:p w14:paraId="6FB3BF1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2.6</w:t>
                  </w:r>
                  <w:r>
                    <w:rPr>
                      <w:rFonts w:hint="default" w:ascii="Times New Roman" w:hAnsi="Times New Roman" w:cs="Times New Roman"/>
                      <w:color w:val="auto"/>
                      <w:kern w:val="0"/>
                      <w:sz w:val="21"/>
                      <w:szCs w:val="21"/>
                      <w:vertAlign w:val="baseline"/>
                      <w:lang w:val="en-US" w:eastAsia="zh-CN"/>
                    </w:rPr>
                    <w:t>×10</w:t>
                  </w:r>
                  <w:r>
                    <w:rPr>
                      <w:rFonts w:hint="default" w:ascii="Times New Roman" w:hAnsi="Times New Roman" w:cs="Times New Roman"/>
                      <w:color w:val="auto"/>
                      <w:kern w:val="0"/>
                      <w:sz w:val="21"/>
                      <w:szCs w:val="21"/>
                      <w:vertAlign w:val="superscript"/>
                      <w:lang w:val="en-US" w:eastAsia="zh-CN"/>
                    </w:rPr>
                    <w:t>-</w:t>
                  </w:r>
                  <w:r>
                    <w:rPr>
                      <w:rFonts w:hint="eastAsia" w:cs="Times New Roman"/>
                      <w:color w:val="auto"/>
                      <w:kern w:val="0"/>
                      <w:sz w:val="21"/>
                      <w:szCs w:val="21"/>
                      <w:vertAlign w:val="superscript"/>
                      <w:lang w:val="en-US" w:eastAsia="zh-CN"/>
                    </w:rPr>
                    <w:t>4</w:t>
                  </w:r>
                </w:p>
              </w:tc>
              <w:tc>
                <w:tcPr>
                  <w:tcW w:w="1356" w:type="dxa"/>
                  <w:gridSpan w:val="2"/>
                  <w:tcBorders>
                    <w:tl2br w:val="nil"/>
                    <w:tr2bl w:val="nil"/>
                  </w:tcBorders>
                  <w:vAlign w:val="center"/>
                </w:tcPr>
                <w:p w14:paraId="3910E8A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2.6</w:t>
                  </w:r>
                  <w:r>
                    <w:rPr>
                      <w:rFonts w:hint="default" w:ascii="Times New Roman" w:hAnsi="Times New Roman" w:cs="Times New Roman"/>
                      <w:color w:val="auto"/>
                      <w:kern w:val="0"/>
                      <w:sz w:val="21"/>
                      <w:szCs w:val="21"/>
                      <w:vertAlign w:val="baseline"/>
                      <w:lang w:val="en-US" w:eastAsia="zh-CN"/>
                    </w:rPr>
                    <w:t>×10</w:t>
                  </w:r>
                  <w:r>
                    <w:rPr>
                      <w:rFonts w:hint="default" w:ascii="Times New Roman" w:hAnsi="Times New Roman" w:cs="Times New Roman"/>
                      <w:color w:val="auto"/>
                      <w:kern w:val="0"/>
                      <w:sz w:val="21"/>
                      <w:szCs w:val="21"/>
                      <w:vertAlign w:val="superscript"/>
                      <w:lang w:val="en-US" w:eastAsia="zh-CN"/>
                    </w:rPr>
                    <w:t>-</w:t>
                  </w:r>
                  <w:r>
                    <w:rPr>
                      <w:rFonts w:hint="eastAsia" w:cs="Times New Roman"/>
                      <w:color w:val="auto"/>
                      <w:kern w:val="0"/>
                      <w:sz w:val="21"/>
                      <w:szCs w:val="21"/>
                      <w:vertAlign w:val="superscript"/>
                      <w:lang w:val="en-US" w:eastAsia="zh-CN"/>
                    </w:rPr>
                    <w:t>4</w:t>
                  </w:r>
                </w:p>
              </w:tc>
              <w:tc>
                <w:tcPr>
                  <w:tcW w:w="1356" w:type="dxa"/>
                  <w:gridSpan w:val="2"/>
                  <w:tcBorders>
                    <w:tl2br w:val="nil"/>
                    <w:tr2bl w:val="nil"/>
                  </w:tcBorders>
                  <w:vAlign w:val="center"/>
                </w:tcPr>
                <w:p w14:paraId="446C2EF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2.6</w:t>
                  </w:r>
                  <w:r>
                    <w:rPr>
                      <w:rFonts w:hint="default" w:ascii="Times New Roman" w:hAnsi="Times New Roman" w:cs="Times New Roman"/>
                      <w:color w:val="auto"/>
                      <w:kern w:val="0"/>
                      <w:sz w:val="21"/>
                      <w:szCs w:val="21"/>
                      <w:vertAlign w:val="baseline"/>
                      <w:lang w:val="en-US" w:eastAsia="zh-CN"/>
                    </w:rPr>
                    <w:t>×10</w:t>
                  </w:r>
                  <w:r>
                    <w:rPr>
                      <w:rFonts w:hint="default" w:ascii="Times New Roman" w:hAnsi="Times New Roman" w:cs="Times New Roman"/>
                      <w:color w:val="auto"/>
                      <w:kern w:val="0"/>
                      <w:sz w:val="21"/>
                      <w:szCs w:val="21"/>
                      <w:vertAlign w:val="superscript"/>
                      <w:lang w:val="en-US" w:eastAsia="zh-CN"/>
                    </w:rPr>
                    <w:t>-</w:t>
                  </w:r>
                  <w:r>
                    <w:rPr>
                      <w:rFonts w:hint="eastAsia" w:cs="Times New Roman"/>
                      <w:color w:val="auto"/>
                      <w:kern w:val="0"/>
                      <w:sz w:val="21"/>
                      <w:szCs w:val="21"/>
                      <w:vertAlign w:val="superscript"/>
                      <w:lang w:val="en-US" w:eastAsia="zh-CN"/>
                    </w:rPr>
                    <w:t>4</w:t>
                  </w:r>
                </w:p>
              </w:tc>
              <w:tc>
                <w:tcPr>
                  <w:tcW w:w="1357" w:type="dxa"/>
                  <w:tcBorders>
                    <w:tl2br w:val="nil"/>
                    <w:tr2bl w:val="nil"/>
                  </w:tcBorders>
                  <w:vAlign w:val="center"/>
                </w:tcPr>
                <w:p w14:paraId="78FB91D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2.6</w:t>
                  </w:r>
                  <w:r>
                    <w:rPr>
                      <w:rFonts w:hint="default" w:ascii="Times New Roman" w:hAnsi="Times New Roman" w:cs="Times New Roman"/>
                      <w:color w:val="auto"/>
                      <w:kern w:val="0"/>
                      <w:sz w:val="21"/>
                      <w:szCs w:val="21"/>
                      <w:vertAlign w:val="baseline"/>
                      <w:lang w:val="en-US" w:eastAsia="zh-CN"/>
                    </w:rPr>
                    <w:t>×10</w:t>
                  </w:r>
                  <w:r>
                    <w:rPr>
                      <w:rFonts w:hint="default" w:ascii="Times New Roman" w:hAnsi="Times New Roman" w:cs="Times New Roman"/>
                      <w:color w:val="auto"/>
                      <w:kern w:val="0"/>
                      <w:sz w:val="21"/>
                      <w:szCs w:val="21"/>
                      <w:vertAlign w:val="superscript"/>
                      <w:lang w:val="en-US" w:eastAsia="zh-CN"/>
                    </w:rPr>
                    <w:t>-</w:t>
                  </w:r>
                  <w:r>
                    <w:rPr>
                      <w:rFonts w:hint="eastAsia" w:cs="Times New Roman"/>
                      <w:color w:val="auto"/>
                      <w:kern w:val="0"/>
                      <w:sz w:val="21"/>
                      <w:szCs w:val="21"/>
                      <w:vertAlign w:val="superscript"/>
                      <w:lang w:val="en-US" w:eastAsia="zh-CN"/>
                    </w:rPr>
                    <w:t>4</w:t>
                  </w:r>
                </w:p>
              </w:tc>
            </w:tr>
          </w:tbl>
          <w:p w14:paraId="2997385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color w:val="auto"/>
                <w:kern w:val="0"/>
                <w:sz w:val="21"/>
                <w:szCs w:val="21"/>
                <w:lang w:val="en-US" w:eastAsia="zh-CN"/>
              </w:rPr>
            </w:pPr>
            <w:r>
              <w:rPr>
                <w:rFonts w:hint="eastAsia"/>
                <w:b/>
                <w:bCs/>
                <w:color w:val="auto"/>
                <w:kern w:val="0"/>
                <w:sz w:val="21"/>
                <w:szCs w:val="21"/>
                <w:lang w:val="en-US" w:eastAsia="zh-CN"/>
              </w:rPr>
              <w:t>表2-8.7   有组织废气检测结果表</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94"/>
              <w:gridCol w:w="1890"/>
              <w:gridCol w:w="1650"/>
              <w:gridCol w:w="158"/>
              <w:gridCol w:w="1808"/>
              <w:gridCol w:w="194"/>
              <w:gridCol w:w="1615"/>
            </w:tblGrid>
            <w:tr w14:paraId="5D8669E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6B213E0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检测点位</w:t>
                  </w:r>
                </w:p>
              </w:tc>
              <w:tc>
                <w:tcPr>
                  <w:tcW w:w="5425" w:type="dxa"/>
                  <w:gridSpan w:val="5"/>
                  <w:tcBorders>
                    <w:tl2br w:val="nil"/>
                    <w:tr2bl w:val="nil"/>
                  </w:tcBorders>
                  <w:vAlign w:val="center"/>
                </w:tcPr>
                <w:p w14:paraId="34AE6A2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DA00</w:t>
                  </w:r>
                  <w:r>
                    <w:rPr>
                      <w:rFonts w:hint="eastAsia" w:cs="Times New Roman"/>
                      <w:color w:val="auto"/>
                      <w:kern w:val="0"/>
                      <w:sz w:val="21"/>
                      <w:szCs w:val="21"/>
                      <w:vertAlign w:val="baseline"/>
                      <w:lang w:val="en-US" w:eastAsia="zh-CN"/>
                    </w:rPr>
                    <w:t>5</w:t>
                  </w:r>
                </w:p>
              </w:tc>
            </w:tr>
            <w:tr w14:paraId="6E2541A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3A3E1AF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污染源成立时间</w:t>
                  </w:r>
                </w:p>
              </w:tc>
              <w:tc>
                <w:tcPr>
                  <w:tcW w:w="1650" w:type="dxa"/>
                  <w:tcBorders>
                    <w:tl2br w:val="nil"/>
                    <w:tr2bl w:val="nil"/>
                  </w:tcBorders>
                  <w:vAlign w:val="center"/>
                </w:tcPr>
                <w:p w14:paraId="7F36759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w:t>
                  </w:r>
                </w:p>
              </w:tc>
              <w:tc>
                <w:tcPr>
                  <w:tcW w:w="2160" w:type="dxa"/>
                  <w:gridSpan w:val="3"/>
                  <w:tcBorders>
                    <w:tl2br w:val="nil"/>
                    <w:tr2bl w:val="nil"/>
                  </w:tcBorders>
                  <w:vAlign w:val="center"/>
                </w:tcPr>
                <w:p w14:paraId="4CDCF06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测孔烟道截面积（m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cs="Times New Roman"/>
                      <w:color w:val="auto"/>
                      <w:kern w:val="0"/>
                      <w:sz w:val="21"/>
                      <w:szCs w:val="21"/>
                      <w:vertAlign w:val="baseline"/>
                      <w:lang w:val="en-US" w:eastAsia="zh-CN"/>
                    </w:rPr>
                    <w:t>）</w:t>
                  </w:r>
                </w:p>
              </w:tc>
              <w:tc>
                <w:tcPr>
                  <w:tcW w:w="1615" w:type="dxa"/>
                  <w:tcBorders>
                    <w:tl2br w:val="nil"/>
                    <w:tr2bl w:val="nil"/>
                  </w:tcBorders>
                  <w:vAlign w:val="center"/>
                </w:tcPr>
                <w:p w14:paraId="1DD826E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w:t>
                  </w:r>
                  <w:r>
                    <w:rPr>
                      <w:rFonts w:hint="eastAsia" w:cs="Times New Roman"/>
                      <w:color w:val="auto"/>
                      <w:kern w:val="0"/>
                      <w:sz w:val="21"/>
                      <w:szCs w:val="21"/>
                      <w:vertAlign w:val="baseline"/>
                      <w:lang w:val="en-US" w:eastAsia="zh-CN"/>
                    </w:rPr>
                    <w:t>1963</w:t>
                  </w:r>
                </w:p>
              </w:tc>
            </w:tr>
            <w:tr w14:paraId="0D3658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6166488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燃料种类</w:t>
                  </w:r>
                </w:p>
              </w:tc>
              <w:tc>
                <w:tcPr>
                  <w:tcW w:w="1650" w:type="dxa"/>
                  <w:tcBorders>
                    <w:tl2br w:val="nil"/>
                    <w:tr2bl w:val="nil"/>
                  </w:tcBorders>
                  <w:vAlign w:val="center"/>
                </w:tcPr>
                <w:p w14:paraId="6821337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w:t>
                  </w:r>
                </w:p>
              </w:tc>
              <w:tc>
                <w:tcPr>
                  <w:tcW w:w="2160" w:type="dxa"/>
                  <w:gridSpan w:val="3"/>
                  <w:tcBorders>
                    <w:tl2br w:val="nil"/>
                    <w:tr2bl w:val="nil"/>
                  </w:tcBorders>
                  <w:vAlign w:val="center"/>
                </w:tcPr>
                <w:p w14:paraId="192743C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排气筒高度（m）</w:t>
                  </w:r>
                </w:p>
              </w:tc>
              <w:tc>
                <w:tcPr>
                  <w:tcW w:w="1615" w:type="dxa"/>
                  <w:tcBorders>
                    <w:tl2br w:val="nil"/>
                    <w:tr2bl w:val="nil"/>
                  </w:tcBorders>
                  <w:vAlign w:val="center"/>
                </w:tcPr>
                <w:p w14:paraId="4777AF4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15</w:t>
                  </w:r>
                </w:p>
              </w:tc>
            </w:tr>
            <w:tr w14:paraId="517A4CF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29781B3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净化处理设施</w:t>
                  </w:r>
                </w:p>
              </w:tc>
              <w:tc>
                <w:tcPr>
                  <w:tcW w:w="5425" w:type="dxa"/>
                  <w:gridSpan w:val="5"/>
                  <w:tcBorders>
                    <w:tl2br w:val="nil"/>
                    <w:tr2bl w:val="nil"/>
                  </w:tcBorders>
                  <w:vAlign w:val="center"/>
                </w:tcPr>
                <w:p w14:paraId="2995A65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袋式除尘器</w:t>
                  </w:r>
                </w:p>
              </w:tc>
            </w:tr>
            <w:tr w14:paraId="76D8431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6D3EFE3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测试参数</w:t>
                  </w:r>
                </w:p>
              </w:tc>
              <w:tc>
                <w:tcPr>
                  <w:tcW w:w="1808" w:type="dxa"/>
                  <w:gridSpan w:val="2"/>
                  <w:tcBorders>
                    <w:tl2br w:val="nil"/>
                    <w:tr2bl w:val="nil"/>
                  </w:tcBorders>
                  <w:vAlign w:val="center"/>
                </w:tcPr>
                <w:p w14:paraId="6E0AA64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第一次</w:t>
                  </w:r>
                </w:p>
              </w:tc>
              <w:tc>
                <w:tcPr>
                  <w:tcW w:w="1808" w:type="dxa"/>
                  <w:tcBorders>
                    <w:tl2br w:val="nil"/>
                    <w:tr2bl w:val="nil"/>
                  </w:tcBorders>
                  <w:vAlign w:val="center"/>
                </w:tcPr>
                <w:p w14:paraId="3DF1C87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第二次</w:t>
                  </w:r>
                </w:p>
              </w:tc>
              <w:tc>
                <w:tcPr>
                  <w:tcW w:w="1809" w:type="dxa"/>
                  <w:gridSpan w:val="2"/>
                  <w:tcBorders>
                    <w:tl2br w:val="nil"/>
                    <w:tr2bl w:val="nil"/>
                  </w:tcBorders>
                  <w:vAlign w:val="center"/>
                </w:tcPr>
                <w:p w14:paraId="7E391AF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第三次</w:t>
                  </w:r>
                </w:p>
              </w:tc>
            </w:tr>
            <w:tr w14:paraId="370C12B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7B07407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烟气温度（℃）</w:t>
                  </w:r>
                </w:p>
              </w:tc>
              <w:tc>
                <w:tcPr>
                  <w:tcW w:w="1808" w:type="dxa"/>
                  <w:gridSpan w:val="2"/>
                  <w:tcBorders>
                    <w:tl2br w:val="nil"/>
                    <w:tr2bl w:val="nil"/>
                  </w:tcBorders>
                  <w:vAlign w:val="center"/>
                </w:tcPr>
                <w:p w14:paraId="3FCE277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31.2</w:t>
                  </w:r>
                </w:p>
              </w:tc>
              <w:tc>
                <w:tcPr>
                  <w:tcW w:w="1808" w:type="dxa"/>
                  <w:tcBorders>
                    <w:tl2br w:val="nil"/>
                    <w:tr2bl w:val="nil"/>
                  </w:tcBorders>
                  <w:vAlign w:val="center"/>
                </w:tcPr>
                <w:p w14:paraId="53E2CBB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31.5</w:t>
                  </w:r>
                </w:p>
              </w:tc>
              <w:tc>
                <w:tcPr>
                  <w:tcW w:w="1809" w:type="dxa"/>
                  <w:gridSpan w:val="2"/>
                  <w:tcBorders>
                    <w:tl2br w:val="nil"/>
                    <w:tr2bl w:val="nil"/>
                  </w:tcBorders>
                  <w:vAlign w:val="center"/>
                </w:tcPr>
                <w:p w14:paraId="7101C79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31.6</w:t>
                  </w:r>
                </w:p>
              </w:tc>
            </w:tr>
            <w:tr w14:paraId="2B5A80A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43F4A54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烟气流速（m/s）</w:t>
                  </w:r>
                </w:p>
              </w:tc>
              <w:tc>
                <w:tcPr>
                  <w:tcW w:w="1808" w:type="dxa"/>
                  <w:gridSpan w:val="2"/>
                  <w:tcBorders>
                    <w:tl2br w:val="nil"/>
                    <w:tr2bl w:val="nil"/>
                  </w:tcBorders>
                  <w:vAlign w:val="center"/>
                </w:tcPr>
                <w:p w14:paraId="6B0DB8A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3.2</w:t>
                  </w:r>
                </w:p>
              </w:tc>
              <w:tc>
                <w:tcPr>
                  <w:tcW w:w="1808" w:type="dxa"/>
                  <w:tcBorders>
                    <w:tl2br w:val="nil"/>
                    <w:tr2bl w:val="nil"/>
                  </w:tcBorders>
                  <w:vAlign w:val="center"/>
                </w:tcPr>
                <w:p w14:paraId="17927F6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3.0</w:t>
                  </w:r>
                </w:p>
              </w:tc>
              <w:tc>
                <w:tcPr>
                  <w:tcW w:w="1809" w:type="dxa"/>
                  <w:gridSpan w:val="2"/>
                  <w:tcBorders>
                    <w:tl2br w:val="nil"/>
                    <w:tr2bl w:val="nil"/>
                  </w:tcBorders>
                  <w:vAlign w:val="center"/>
                </w:tcPr>
                <w:p w14:paraId="632FD14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3.3</w:t>
                  </w:r>
                </w:p>
              </w:tc>
            </w:tr>
            <w:tr w14:paraId="591112E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566E7AA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测态烟气流量（m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/h）</w:t>
                  </w:r>
                </w:p>
              </w:tc>
              <w:tc>
                <w:tcPr>
                  <w:tcW w:w="1808" w:type="dxa"/>
                  <w:gridSpan w:val="2"/>
                  <w:tcBorders>
                    <w:tl2br w:val="nil"/>
                    <w:tr2bl w:val="nil"/>
                  </w:tcBorders>
                  <w:vAlign w:val="center"/>
                </w:tcPr>
                <w:p w14:paraId="13CCE40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2292</w:t>
                  </w:r>
                </w:p>
              </w:tc>
              <w:tc>
                <w:tcPr>
                  <w:tcW w:w="1808" w:type="dxa"/>
                  <w:tcBorders>
                    <w:tl2br w:val="nil"/>
                    <w:tr2bl w:val="nil"/>
                  </w:tcBorders>
                  <w:vAlign w:val="center"/>
                </w:tcPr>
                <w:p w14:paraId="6FB9095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2149</w:t>
                  </w:r>
                </w:p>
              </w:tc>
              <w:tc>
                <w:tcPr>
                  <w:tcW w:w="1809" w:type="dxa"/>
                  <w:gridSpan w:val="2"/>
                  <w:tcBorders>
                    <w:tl2br w:val="nil"/>
                    <w:tr2bl w:val="nil"/>
                  </w:tcBorders>
                  <w:vAlign w:val="center"/>
                </w:tcPr>
                <w:p w14:paraId="0C76ADD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2309</w:t>
                  </w:r>
                </w:p>
              </w:tc>
            </w:tr>
            <w:tr w14:paraId="2B4B930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3767FD6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标态烟气流量（Nm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/h）</w:t>
                  </w:r>
                </w:p>
              </w:tc>
              <w:tc>
                <w:tcPr>
                  <w:tcW w:w="1808" w:type="dxa"/>
                  <w:gridSpan w:val="2"/>
                  <w:tcBorders>
                    <w:tl2br w:val="nil"/>
                    <w:tr2bl w:val="nil"/>
                  </w:tcBorders>
                  <w:vAlign w:val="center"/>
                </w:tcPr>
                <w:p w14:paraId="015D564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1997</w:t>
                  </w:r>
                </w:p>
              </w:tc>
              <w:tc>
                <w:tcPr>
                  <w:tcW w:w="1808" w:type="dxa"/>
                  <w:tcBorders>
                    <w:tl2br w:val="nil"/>
                    <w:tr2bl w:val="nil"/>
                  </w:tcBorders>
                  <w:vAlign w:val="center"/>
                </w:tcPr>
                <w:p w14:paraId="43985C6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1868</w:t>
                  </w:r>
                </w:p>
              </w:tc>
              <w:tc>
                <w:tcPr>
                  <w:tcW w:w="1809" w:type="dxa"/>
                  <w:gridSpan w:val="2"/>
                  <w:tcBorders>
                    <w:tl2br w:val="nil"/>
                    <w:tr2bl w:val="nil"/>
                  </w:tcBorders>
                  <w:vAlign w:val="center"/>
                </w:tcPr>
                <w:p w14:paraId="179B91F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2008</w:t>
                  </w:r>
                </w:p>
              </w:tc>
            </w:tr>
            <w:tr w14:paraId="4FE5D53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184" w:type="dxa"/>
                  <w:gridSpan w:val="2"/>
                  <w:tcBorders>
                    <w:tl2br w:val="nil"/>
                    <w:tr2bl w:val="nil"/>
                  </w:tcBorders>
                  <w:vAlign w:val="center"/>
                </w:tcPr>
                <w:p w14:paraId="416E862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含湿量（%）</w:t>
                  </w:r>
                </w:p>
              </w:tc>
              <w:tc>
                <w:tcPr>
                  <w:tcW w:w="1808" w:type="dxa"/>
                  <w:gridSpan w:val="2"/>
                  <w:tcBorders>
                    <w:tl2br w:val="nil"/>
                    <w:tr2bl w:val="nil"/>
                  </w:tcBorders>
                  <w:vAlign w:val="center"/>
                </w:tcPr>
                <w:p w14:paraId="3825B6D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1.9</w:t>
                  </w:r>
                </w:p>
              </w:tc>
              <w:tc>
                <w:tcPr>
                  <w:tcW w:w="1808" w:type="dxa"/>
                  <w:tcBorders>
                    <w:tl2br w:val="nil"/>
                    <w:tr2bl w:val="nil"/>
                  </w:tcBorders>
                  <w:vAlign w:val="center"/>
                </w:tcPr>
                <w:p w14:paraId="2434120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2.0</w:t>
                  </w:r>
                </w:p>
              </w:tc>
              <w:tc>
                <w:tcPr>
                  <w:tcW w:w="1809" w:type="dxa"/>
                  <w:gridSpan w:val="2"/>
                  <w:tcBorders>
                    <w:tl2br w:val="nil"/>
                    <w:tr2bl w:val="nil"/>
                  </w:tcBorders>
                  <w:vAlign w:val="center"/>
                </w:tcPr>
                <w:p w14:paraId="0E47CCB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1.9</w:t>
                  </w:r>
                </w:p>
              </w:tc>
            </w:tr>
            <w:tr w14:paraId="31DCD11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94" w:type="dxa"/>
                  <w:vMerge w:val="restart"/>
                  <w:tcBorders>
                    <w:tl2br w:val="nil"/>
                    <w:tr2bl w:val="nil"/>
                  </w:tcBorders>
                  <w:vAlign w:val="center"/>
                </w:tcPr>
                <w:p w14:paraId="6D91261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颗粒物</w:t>
                  </w:r>
                </w:p>
              </w:tc>
              <w:tc>
                <w:tcPr>
                  <w:tcW w:w="1890" w:type="dxa"/>
                  <w:tcBorders>
                    <w:tl2br w:val="nil"/>
                    <w:tr2bl w:val="nil"/>
                  </w:tcBorders>
                  <w:vAlign w:val="center"/>
                </w:tcPr>
                <w:p w14:paraId="2403B16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排放浓度（mg/m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w:t>
                  </w:r>
                </w:p>
              </w:tc>
              <w:tc>
                <w:tcPr>
                  <w:tcW w:w="1808" w:type="dxa"/>
                  <w:gridSpan w:val="2"/>
                  <w:tcBorders>
                    <w:tl2br w:val="nil"/>
                    <w:tr2bl w:val="nil"/>
                  </w:tcBorders>
                  <w:vAlign w:val="center"/>
                </w:tcPr>
                <w:p w14:paraId="1AA773F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808" w:type="dxa"/>
                  <w:tcBorders>
                    <w:tl2br w:val="nil"/>
                    <w:tr2bl w:val="nil"/>
                  </w:tcBorders>
                  <w:vAlign w:val="center"/>
                </w:tcPr>
                <w:p w14:paraId="656CBDB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1.2</w:t>
                  </w:r>
                </w:p>
              </w:tc>
              <w:tc>
                <w:tcPr>
                  <w:tcW w:w="1809" w:type="dxa"/>
                  <w:gridSpan w:val="2"/>
                  <w:tcBorders>
                    <w:tl2br w:val="nil"/>
                    <w:tr2bl w:val="nil"/>
                  </w:tcBorders>
                  <w:vAlign w:val="center"/>
                </w:tcPr>
                <w:p w14:paraId="1837EAA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1.3</w:t>
                  </w:r>
                </w:p>
              </w:tc>
            </w:tr>
            <w:tr w14:paraId="5045750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94" w:type="dxa"/>
                  <w:vMerge w:val="continue"/>
                  <w:tcBorders>
                    <w:tl2br w:val="nil"/>
                    <w:tr2bl w:val="nil"/>
                  </w:tcBorders>
                  <w:vAlign w:val="center"/>
                </w:tcPr>
                <w:p w14:paraId="3ED1877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890" w:type="dxa"/>
                  <w:tcBorders>
                    <w:tl2br w:val="nil"/>
                    <w:tr2bl w:val="nil"/>
                  </w:tcBorders>
                  <w:vAlign w:val="center"/>
                </w:tcPr>
                <w:p w14:paraId="3696C11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排放速率（kg/h）</w:t>
                  </w:r>
                </w:p>
              </w:tc>
              <w:tc>
                <w:tcPr>
                  <w:tcW w:w="1808" w:type="dxa"/>
                  <w:gridSpan w:val="2"/>
                  <w:tcBorders>
                    <w:tl2br w:val="nil"/>
                    <w:tr2bl w:val="nil"/>
                  </w:tcBorders>
                  <w:vAlign w:val="center"/>
                </w:tcPr>
                <w:p w14:paraId="4B22D61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w:t>
                  </w:r>
                </w:p>
              </w:tc>
              <w:tc>
                <w:tcPr>
                  <w:tcW w:w="1808" w:type="dxa"/>
                  <w:tcBorders>
                    <w:tl2br w:val="nil"/>
                    <w:tr2bl w:val="nil"/>
                  </w:tcBorders>
                  <w:vAlign w:val="center"/>
                </w:tcPr>
                <w:p w14:paraId="7B60A14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2.2</w:t>
                  </w:r>
                  <w:r>
                    <w:rPr>
                      <w:rFonts w:hint="default" w:ascii="Times New Roman" w:hAnsi="Times New Roman" w:cs="Times New Roman"/>
                      <w:color w:val="auto"/>
                      <w:kern w:val="0"/>
                      <w:sz w:val="21"/>
                      <w:szCs w:val="21"/>
                      <w:vertAlign w:val="baseline"/>
                      <w:lang w:val="en-US" w:eastAsia="zh-CN"/>
                    </w:rPr>
                    <w:t>×10</w:t>
                  </w:r>
                  <w:r>
                    <w:rPr>
                      <w:rFonts w:hint="default" w:ascii="Times New Roman" w:hAnsi="Times New Roman" w:cs="Times New Roman"/>
                      <w:color w:val="auto"/>
                      <w:kern w:val="0"/>
                      <w:sz w:val="21"/>
                      <w:szCs w:val="21"/>
                      <w:vertAlign w:val="superscript"/>
                      <w:lang w:val="en-US" w:eastAsia="zh-CN"/>
                    </w:rPr>
                    <w:t>-3</w:t>
                  </w:r>
                </w:p>
              </w:tc>
              <w:tc>
                <w:tcPr>
                  <w:tcW w:w="1809" w:type="dxa"/>
                  <w:gridSpan w:val="2"/>
                  <w:tcBorders>
                    <w:tl2br w:val="nil"/>
                    <w:tr2bl w:val="nil"/>
                  </w:tcBorders>
                  <w:vAlign w:val="center"/>
                </w:tcPr>
                <w:p w14:paraId="614B2C3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2.6</w:t>
                  </w:r>
                  <w:r>
                    <w:rPr>
                      <w:rFonts w:hint="default" w:ascii="Times New Roman" w:hAnsi="Times New Roman" w:cs="Times New Roman"/>
                      <w:color w:val="auto"/>
                      <w:kern w:val="0"/>
                      <w:sz w:val="21"/>
                      <w:szCs w:val="21"/>
                      <w:vertAlign w:val="baseline"/>
                      <w:lang w:val="en-US" w:eastAsia="zh-CN"/>
                    </w:rPr>
                    <w:t>×10</w:t>
                  </w:r>
                  <w:r>
                    <w:rPr>
                      <w:rFonts w:hint="default" w:ascii="Times New Roman" w:hAnsi="Times New Roman" w:cs="Times New Roman"/>
                      <w:color w:val="auto"/>
                      <w:kern w:val="0"/>
                      <w:sz w:val="21"/>
                      <w:szCs w:val="21"/>
                      <w:vertAlign w:val="superscript"/>
                      <w:lang w:val="en-US" w:eastAsia="zh-CN"/>
                    </w:rPr>
                    <w:t>-3</w:t>
                  </w:r>
                </w:p>
              </w:tc>
            </w:tr>
            <w:tr w14:paraId="6985C85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609" w:type="dxa"/>
                  <w:gridSpan w:val="7"/>
                  <w:tcBorders>
                    <w:tl2br w:val="nil"/>
                    <w:tr2bl w:val="nil"/>
                  </w:tcBorders>
                  <w:vAlign w:val="center"/>
                </w:tcPr>
                <w:p w14:paraId="4798C49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注：ND代表未检出，颗粒物的检出限为1.0mg/m</w:t>
                  </w:r>
                  <w:r>
                    <w:rPr>
                      <w:rFonts w:hint="eastAsia" w:cs="Times New Roman"/>
                      <w:color w:val="auto"/>
                      <w:kern w:val="0"/>
                      <w:sz w:val="21"/>
                      <w:szCs w:val="21"/>
                      <w:vertAlign w:val="superscript"/>
                      <w:lang w:val="en-US" w:eastAsia="zh-CN"/>
                    </w:rPr>
                    <w:t>3</w:t>
                  </w:r>
                  <w:r>
                    <w:rPr>
                      <w:rFonts w:hint="eastAsia" w:cs="Times New Roman"/>
                      <w:color w:val="auto"/>
                      <w:kern w:val="0"/>
                      <w:sz w:val="21"/>
                      <w:szCs w:val="21"/>
                      <w:vertAlign w:val="baseline"/>
                      <w:lang w:val="en-US" w:eastAsia="zh-CN"/>
                    </w:rPr>
                    <w:t>（以1m</w:t>
                  </w:r>
                  <w:r>
                    <w:rPr>
                      <w:rFonts w:hint="eastAsia" w:cs="Times New Roman"/>
                      <w:color w:val="auto"/>
                      <w:kern w:val="0"/>
                      <w:sz w:val="21"/>
                      <w:szCs w:val="21"/>
                      <w:vertAlign w:val="superscript"/>
                      <w:lang w:val="en-US" w:eastAsia="zh-CN"/>
                    </w:rPr>
                    <w:t>3</w:t>
                  </w:r>
                  <w:r>
                    <w:rPr>
                      <w:rFonts w:hint="eastAsia" w:cs="Times New Roman"/>
                      <w:color w:val="auto"/>
                      <w:kern w:val="0"/>
                      <w:sz w:val="21"/>
                      <w:szCs w:val="21"/>
                      <w:vertAlign w:val="baseline"/>
                      <w:lang w:val="en-US" w:eastAsia="zh-CN"/>
                    </w:rPr>
                    <w:t>计），相应排放速率不予计算。</w:t>
                  </w:r>
                </w:p>
              </w:tc>
            </w:tr>
          </w:tbl>
          <w:p w14:paraId="0F24613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color w:val="auto"/>
                <w:kern w:val="0"/>
                <w:sz w:val="21"/>
                <w:szCs w:val="21"/>
                <w:lang w:val="en-US" w:eastAsia="zh-CN"/>
              </w:rPr>
            </w:pPr>
            <w:r>
              <w:rPr>
                <w:rFonts w:hint="eastAsia"/>
                <w:b/>
                <w:bCs/>
                <w:color w:val="auto"/>
                <w:kern w:val="0"/>
                <w:sz w:val="21"/>
                <w:szCs w:val="21"/>
                <w:lang w:val="en-US" w:eastAsia="zh-CN"/>
              </w:rPr>
              <w:t>表2-9.1   无组织废气检测结果</w:t>
            </w:r>
          </w:p>
          <w:tbl>
            <w:tblPr>
              <w:tblStyle w:val="60"/>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356"/>
              <w:gridCol w:w="1197"/>
              <w:gridCol w:w="1197"/>
              <w:gridCol w:w="1197"/>
              <w:gridCol w:w="1197"/>
              <w:gridCol w:w="1308"/>
              <w:gridCol w:w="1094"/>
            </w:tblGrid>
            <w:tr w14:paraId="1CE761E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94" w:type="pct"/>
                  <w:tcBorders>
                    <w:tl2br w:val="nil"/>
                    <w:tr2bl w:val="nil"/>
                  </w:tcBorders>
                  <w:vAlign w:val="center"/>
                </w:tcPr>
                <w:p w14:paraId="364EB2B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检测项目</w:t>
                  </w:r>
                </w:p>
              </w:tc>
              <w:tc>
                <w:tcPr>
                  <w:tcW w:w="700" w:type="pct"/>
                  <w:tcBorders>
                    <w:tl2br w:val="nil"/>
                    <w:tr2bl w:val="nil"/>
                  </w:tcBorders>
                  <w:vAlign w:val="center"/>
                </w:tcPr>
                <w:p w14:paraId="6B6C8B4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上风向G1</w:t>
                  </w:r>
                </w:p>
              </w:tc>
              <w:tc>
                <w:tcPr>
                  <w:tcW w:w="700" w:type="pct"/>
                  <w:tcBorders>
                    <w:tl2br w:val="nil"/>
                    <w:tr2bl w:val="nil"/>
                  </w:tcBorders>
                  <w:vAlign w:val="center"/>
                </w:tcPr>
                <w:p w14:paraId="350B450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下风向G2</w:t>
                  </w:r>
                </w:p>
              </w:tc>
              <w:tc>
                <w:tcPr>
                  <w:tcW w:w="700" w:type="pct"/>
                  <w:tcBorders>
                    <w:tl2br w:val="nil"/>
                    <w:tr2bl w:val="nil"/>
                  </w:tcBorders>
                  <w:vAlign w:val="center"/>
                </w:tcPr>
                <w:p w14:paraId="3EA9971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下风向G3</w:t>
                  </w:r>
                </w:p>
              </w:tc>
              <w:tc>
                <w:tcPr>
                  <w:tcW w:w="700" w:type="pct"/>
                  <w:tcBorders>
                    <w:tl2br w:val="nil"/>
                    <w:tr2bl w:val="nil"/>
                  </w:tcBorders>
                  <w:vAlign w:val="center"/>
                </w:tcPr>
                <w:p w14:paraId="6B5E760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下风向G4</w:t>
                  </w:r>
                </w:p>
              </w:tc>
              <w:tc>
                <w:tcPr>
                  <w:tcW w:w="765" w:type="pct"/>
                  <w:tcBorders>
                    <w:tl2br w:val="nil"/>
                    <w:tr2bl w:val="nil"/>
                  </w:tcBorders>
                  <w:vAlign w:val="center"/>
                </w:tcPr>
                <w:p w14:paraId="168A795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检测最大值</w:t>
                  </w:r>
                </w:p>
              </w:tc>
              <w:tc>
                <w:tcPr>
                  <w:tcW w:w="639" w:type="pct"/>
                  <w:tcBorders>
                    <w:tl2br w:val="nil"/>
                    <w:tr2bl w:val="nil"/>
                  </w:tcBorders>
                  <w:vAlign w:val="center"/>
                </w:tcPr>
                <w:p w14:paraId="7264E59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标准限值</w:t>
                  </w:r>
                </w:p>
              </w:tc>
            </w:tr>
            <w:tr w14:paraId="279ECEA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794" w:type="pct"/>
                  <w:tcBorders>
                    <w:tl2br w:val="nil"/>
                    <w:tr2bl w:val="nil"/>
                  </w:tcBorders>
                  <w:vAlign w:val="center"/>
                </w:tcPr>
                <w:p w14:paraId="2C832EE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非甲烷总烃（mg/m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w:t>
                  </w:r>
                </w:p>
              </w:tc>
              <w:tc>
                <w:tcPr>
                  <w:tcW w:w="700" w:type="pct"/>
                  <w:tcBorders>
                    <w:tl2br w:val="nil"/>
                    <w:tr2bl w:val="nil"/>
                  </w:tcBorders>
                  <w:vAlign w:val="center"/>
                </w:tcPr>
                <w:p w14:paraId="7CE435C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0.49</w:t>
                  </w:r>
                </w:p>
              </w:tc>
              <w:tc>
                <w:tcPr>
                  <w:tcW w:w="700" w:type="pct"/>
                  <w:tcBorders>
                    <w:tl2br w:val="nil"/>
                    <w:tr2bl w:val="nil"/>
                  </w:tcBorders>
                  <w:vAlign w:val="center"/>
                </w:tcPr>
                <w:p w14:paraId="55C40EE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0.73</w:t>
                  </w:r>
                </w:p>
              </w:tc>
              <w:tc>
                <w:tcPr>
                  <w:tcW w:w="700" w:type="pct"/>
                  <w:tcBorders>
                    <w:tl2br w:val="nil"/>
                    <w:tr2bl w:val="nil"/>
                  </w:tcBorders>
                  <w:vAlign w:val="center"/>
                </w:tcPr>
                <w:p w14:paraId="5D53944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0.60</w:t>
                  </w:r>
                </w:p>
              </w:tc>
              <w:tc>
                <w:tcPr>
                  <w:tcW w:w="700" w:type="pct"/>
                  <w:tcBorders>
                    <w:tl2br w:val="nil"/>
                    <w:tr2bl w:val="nil"/>
                  </w:tcBorders>
                  <w:vAlign w:val="center"/>
                </w:tcPr>
                <w:p w14:paraId="6523B3D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0.53</w:t>
                  </w:r>
                </w:p>
              </w:tc>
              <w:tc>
                <w:tcPr>
                  <w:tcW w:w="765" w:type="pct"/>
                  <w:tcBorders>
                    <w:tl2br w:val="nil"/>
                    <w:tr2bl w:val="nil"/>
                  </w:tcBorders>
                  <w:vAlign w:val="center"/>
                </w:tcPr>
                <w:p w14:paraId="6E295A3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0.73</w:t>
                  </w:r>
                </w:p>
              </w:tc>
              <w:tc>
                <w:tcPr>
                  <w:tcW w:w="639" w:type="pct"/>
                  <w:tcBorders>
                    <w:tl2br w:val="nil"/>
                    <w:tr2bl w:val="nil"/>
                  </w:tcBorders>
                  <w:vAlign w:val="center"/>
                </w:tcPr>
                <w:p w14:paraId="49E08C8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4</w:t>
                  </w:r>
                </w:p>
              </w:tc>
            </w:tr>
            <w:tr w14:paraId="45B8ADD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794" w:type="pct"/>
                  <w:tcBorders>
                    <w:tl2br w:val="nil"/>
                    <w:tr2bl w:val="nil"/>
                  </w:tcBorders>
                  <w:vAlign w:val="center"/>
                </w:tcPr>
                <w:p w14:paraId="0FC7C51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现场检测条件</w:t>
                  </w:r>
                </w:p>
              </w:tc>
              <w:tc>
                <w:tcPr>
                  <w:tcW w:w="4205" w:type="pct"/>
                  <w:gridSpan w:val="6"/>
                  <w:tcBorders>
                    <w:tl2br w:val="nil"/>
                    <w:tr2bl w:val="nil"/>
                  </w:tcBorders>
                  <w:vAlign w:val="center"/>
                </w:tcPr>
                <w:p w14:paraId="40A91B9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温度：29.7℃，气压：100.30kPa，相对湿度：64.7%，风向：东风，风速：2.5m/s。</w:t>
                  </w:r>
                </w:p>
              </w:tc>
            </w:tr>
          </w:tbl>
          <w:p w14:paraId="794741F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color w:val="auto"/>
                <w:kern w:val="0"/>
                <w:sz w:val="21"/>
                <w:szCs w:val="21"/>
                <w:lang w:val="en-US" w:eastAsia="zh-CN"/>
              </w:rPr>
            </w:pPr>
            <w:r>
              <w:rPr>
                <w:rFonts w:hint="eastAsia"/>
                <w:b/>
                <w:bCs/>
                <w:color w:val="auto"/>
                <w:kern w:val="0"/>
                <w:sz w:val="21"/>
                <w:szCs w:val="21"/>
                <w:lang w:val="en-US" w:eastAsia="zh-CN"/>
              </w:rPr>
              <w:t>表2-9.2   无组织废气检测结果</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221"/>
              <w:gridCol w:w="6388"/>
            </w:tblGrid>
            <w:tr w14:paraId="3BE4F5A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221" w:type="dxa"/>
                  <w:tcBorders>
                    <w:tl2br w:val="nil"/>
                    <w:tr2bl w:val="nil"/>
                  </w:tcBorders>
                  <w:vAlign w:val="center"/>
                </w:tcPr>
                <w:p w14:paraId="619DE6D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检测项目</w:t>
                  </w:r>
                </w:p>
              </w:tc>
              <w:tc>
                <w:tcPr>
                  <w:tcW w:w="6388" w:type="dxa"/>
                  <w:tcBorders>
                    <w:tl2br w:val="nil"/>
                    <w:tr2bl w:val="nil"/>
                  </w:tcBorders>
                  <w:vAlign w:val="center"/>
                </w:tcPr>
                <w:p w14:paraId="27436AD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监控点处1h平均浓度</w:t>
                  </w:r>
                </w:p>
              </w:tc>
            </w:tr>
            <w:tr w14:paraId="10D159B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221" w:type="dxa"/>
                  <w:tcBorders>
                    <w:tl2br w:val="nil"/>
                    <w:tr2bl w:val="nil"/>
                  </w:tcBorders>
                  <w:vAlign w:val="center"/>
                </w:tcPr>
                <w:p w14:paraId="5274736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非甲烷总烃（mg/m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w:t>
                  </w:r>
                </w:p>
              </w:tc>
              <w:tc>
                <w:tcPr>
                  <w:tcW w:w="6388" w:type="dxa"/>
                  <w:tcBorders>
                    <w:tl2br w:val="nil"/>
                    <w:tr2bl w:val="nil"/>
                  </w:tcBorders>
                  <w:vAlign w:val="center"/>
                </w:tcPr>
                <w:p w14:paraId="41E6839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0.50</w:t>
                  </w:r>
                </w:p>
              </w:tc>
            </w:tr>
            <w:tr w14:paraId="6B1961D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221" w:type="dxa"/>
                  <w:tcBorders>
                    <w:tl2br w:val="nil"/>
                    <w:tr2bl w:val="nil"/>
                  </w:tcBorders>
                  <w:vAlign w:val="center"/>
                </w:tcPr>
                <w:p w14:paraId="443DA16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现场检测条件</w:t>
                  </w:r>
                </w:p>
              </w:tc>
              <w:tc>
                <w:tcPr>
                  <w:tcW w:w="6388" w:type="dxa"/>
                  <w:tcBorders>
                    <w:tl2br w:val="nil"/>
                    <w:tr2bl w:val="nil"/>
                  </w:tcBorders>
                  <w:vAlign w:val="center"/>
                </w:tcPr>
                <w:p w14:paraId="3C35402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温度：29.</w:t>
                  </w:r>
                  <w:r>
                    <w:rPr>
                      <w:rFonts w:hint="eastAsia" w:cs="Times New Roman"/>
                      <w:color w:val="auto"/>
                      <w:kern w:val="0"/>
                      <w:sz w:val="21"/>
                      <w:szCs w:val="21"/>
                      <w:vertAlign w:val="baseline"/>
                      <w:lang w:val="en-US" w:eastAsia="zh-CN"/>
                    </w:rPr>
                    <w:t>8</w:t>
                  </w:r>
                  <w:r>
                    <w:rPr>
                      <w:rFonts w:hint="default" w:ascii="Times New Roman" w:hAnsi="Times New Roman" w:cs="Times New Roman"/>
                      <w:color w:val="auto"/>
                      <w:kern w:val="0"/>
                      <w:sz w:val="21"/>
                      <w:szCs w:val="21"/>
                      <w:vertAlign w:val="baseline"/>
                      <w:lang w:val="en-US" w:eastAsia="zh-CN"/>
                    </w:rPr>
                    <w:t>℃，气压：100.</w:t>
                  </w:r>
                  <w:r>
                    <w:rPr>
                      <w:rFonts w:hint="eastAsia" w:cs="Times New Roman"/>
                      <w:color w:val="auto"/>
                      <w:kern w:val="0"/>
                      <w:sz w:val="21"/>
                      <w:szCs w:val="21"/>
                      <w:vertAlign w:val="baseline"/>
                      <w:lang w:val="en-US" w:eastAsia="zh-CN"/>
                    </w:rPr>
                    <w:t>27</w:t>
                  </w:r>
                  <w:r>
                    <w:rPr>
                      <w:rFonts w:hint="default" w:ascii="Times New Roman" w:hAnsi="Times New Roman" w:cs="Times New Roman"/>
                      <w:color w:val="auto"/>
                      <w:kern w:val="0"/>
                      <w:sz w:val="21"/>
                      <w:szCs w:val="21"/>
                      <w:vertAlign w:val="baseline"/>
                      <w:lang w:val="en-US" w:eastAsia="zh-CN"/>
                    </w:rPr>
                    <w:t>kPa，相对湿度：6</w:t>
                  </w:r>
                  <w:r>
                    <w:rPr>
                      <w:rFonts w:hint="eastAsia" w:cs="Times New Roman"/>
                      <w:color w:val="auto"/>
                      <w:kern w:val="0"/>
                      <w:sz w:val="21"/>
                      <w:szCs w:val="21"/>
                      <w:vertAlign w:val="baseline"/>
                      <w:lang w:val="en-US" w:eastAsia="zh-CN"/>
                    </w:rPr>
                    <w:t>3.1</w:t>
                  </w:r>
                  <w:r>
                    <w:rPr>
                      <w:rFonts w:hint="default" w:ascii="Times New Roman" w:hAnsi="Times New Roman" w:cs="Times New Roman"/>
                      <w:color w:val="auto"/>
                      <w:kern w:val="0"/>
                      <w:sz w:val="21"/>
                      <w:szCs w:val="21"/>
                      <w:vertAlign w:val="baseline"/>
                      <w:lang w:val="en-US" w:eastAsia="zh-CN"/>
                    </w:rPr>
                    <w:t>%，风向：东风，风速：2.</w:t>
                  </w:r>
                  <w:r>
                    <w:rPr>
                      <w:rFonts w:hint="eastAsia" w:cs="Times New Roman"/>
                      <w:color w:val="auto"/>
                      <w:kern w:val="0"/>
                      <w:sz w:val="21"/>
                      <w:szCs w:val="21"/>
                      <w:vertAlign w:val="baseline"/>
                      <w:lang w:val="en-US" w:eastAsia="zh-CN"/>
                    </w:rPr>
                    <w:t>6</w:t>
                  </w:r>
                  <w:r>
                    <w:rPr>
                      <w:rFonts w:hint="default" w:ascii="Times New Roman" w:hAnsi="Times New Roman" w:cs="Times New Roman"/>
                      <w:color w:val="auto"/>
                      <w:kern w:val="0"/>
                      <w:sz w:val="21"/>
                      <w:szCs w:val="21"/>
                      <w:vertAlign w:val="baseline"/>
                      <w:lang w:val="en-US" w:eastAsia="zh-CN"/>
                    </w:rPr>
                    <w:t>m/s。</w:t>
                  </w:r>
                </w:p>
              </w:tc>
            </w:tr>
          </w:tbl>
          <w:p w14:paraId="4EC61F6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color w:val="auto"/>
                <w:kern w:val="0"/>
                <w:sz w:val="21"/>
                <w:szCs w:val="21"/>
                <w:lang w:val="en-US" w:eastAsia="zh-CN"/>
              </w:rPr>
            </w:pPr>
            <w:r>
              <w:rPr>
                <w:rFonts w:hint="eastAsia"/>
                <w:b/>
                <w:bCs/>
                <w:color w:val="auto"/>
                <w:kern w:val="0"/>
                <w:sz w:val="21"/>
                <w:szCs w:val="21"/>
                <w:lang w:val="en-US" w:eastAsia="zh-CN"/>
              </w:rPr>
              <w:t>表2-10.1   无组织废气检测结果</w:t>
            </w:r>
          </w:p>
          <w:tbl>
            <w:tblPr>
              <w:tblStyle w:val="60"/>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434"/>
              <w:gridCol w:w="1435"/>
              <w:gridCol w:w="1435"/>
              <w:gridCol w:w="1435"/>
              <w:gridCol w:w="1435"/>
              <w:gridCol w:w="1435"/>
            </w:tblGrid>
            <w:tr w14:paraId="7705E85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1" w:hRule="atLeast"/>
                <w:jc w:val="center"/>
              </w:trPr>
              <w:tc>
                <w:tcPr>
                  <w:tcW w:w="1434" w:type="dxa"/>
                  <w:vMerge w:val="restart"/>
                  <w:tcBorders>
                    <w:tl2br w:val="nil"/>
                    <w:tr2bl w:val="nil"/>
                  </w:tcBorders>
                  <w:vAlign w:val="center"/>
                </w:tcPr>
                <w:p w14:paraId="01C288D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检测项目</w:t>
                  </w:r>
                </w:p>
              </w:tc>
              <w:tc>
                <w:tcPr>
                  <w:tcW w:w="1435" w:type="dxa"/>
                  <w:vMerge w:val="restart"/>
                  <w:tcBorders>
                    <w:tl2br w:val="nil"/>
                    <w:tr2bl w:val="nil"/>
                  </w:tcBorders>
                  <w:vAlign w:val="center"/>
                </w:tcPr>
                <w:p w14:paraId="77EE06D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检测点位</w:t>
                  </w:r>
                </w:p>
              </w:tc>
              <w:tc>
                <w:tcPr>
                  <w:tcW w:w="4305" w:type="dxa"/>
                  <w:gridSpan w:val="3"/>
                  <w:tcBorders>
                    <w:tl2br w:val="nil"/>
                    <w:tr2bl w:val="nil"/>
                  </w:tcBorders>
                  <w:vAlign w:val="center"/>
                </w:tcPr>
                <w:p w14:paraId="5ADE9BE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检测结果</w:t>
                  </w:r>
                </w:p>
              </w:tc>
              <w:tc>
                <w:tcPr>
                  <w:tcW w:w="1435" w:type="dxa"/>
                  <w:vMerge w:val="restart"/>
                  <w:tcBorders>
                    <w:tl2br w:val="nil"/>
                    <w:tr2bl w:val="nil"/>
                  </w:tcBorders>
                  <w:vAlign w:val="center"/>
                </w:tcPr>
                <w:p w14:paraId="3831FE7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检测最大值</w:t>
                  </w:r>
                </w:p>
              </w:tc>
            </w:tr>
            <w:tr w14:paraId="5BEC8F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34" w:type="dxa"/>
                  <w:vMerge w:val="continue"/>
                  <w:tcBorders>
                    <w:tl2br w:val="nil"/>
                    <w:tr2bl w:val="nil"/>
                  </w:tcBorders>
                  <w:vAlign w:val="center"/>
                </w:tcPr>
                <w:p w14:paraId="4455640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435" w:type="dxa"/>
                  <w:vMerge w:val="continue"/>
                  <w:tcBorders>
                    <w:tl2br w:val="nil"/>
                    <w:tr2bl w:val="nil"/>
                  </w:tcBorders>
                  <w:vAlign w:val="center"/>
                </w:tcPr>
                <w:p w14:paraId="4C08988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435" w:type="dxa"/>
                  <w:tcBorders>
                    <w:tl2br w:val="nil"/>
                    <w:tr2bl w:val="nil"/>
                  </w:tcBorders>
                  <w:vAlign w:val="center"/>
                </w:tcPr>
                <w:p w14:paraId="04EAC0F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10:50~11:50</w:t>
                  </w:r>
                </w:p>
              </w:tc>
              <w:tc>
                <w:tcPr>
                  <w:tcW w:w="1435" w:type="dxa"/>
                  <w:tcBorders>
                    <w:tl2br w:val="nil"/>
                    <w:tr2bl w:val="nil"/>
                  </w:tcBorders>
                  <w:vAlign w:val="center"/>
                </w:tcPr>
                <w:p w14:paraId="1E1DE30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12:50~13:50</w:t>
                  </w:r>
                </w:p>
              </w:tc>
              <w:tc>
                <w:tcPr>
                  <w:tcW w:w="1435" w:type="dxa"/>
                  <w:tcBorders>
                    <w:tl2br w:val="nil"/>
                    <w:tr2bl w:val="nil"/>
                  </w:tcBorders>
                  <w:vAlign w:val="center"/>
                </w:tcPr>
                <w:p w14:paraId="6C04D21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14:50~15:50</w:t>
                  </w:r>
                </w:p>
              </w:tc>
              <w:tc>
                <w:tcPr>
                  <w:tcW w:w="1435" w:type="dxa"/>
                  <w:vMerge w:val="continue"/>
                  <w:tcBorders>
                    <w:tl2br w:val="nil"/>
                    <w:tr2bl w:val="nil"/>
                  </w:tcBorders>
                  <w:vAlign w:val="center"/>
                </w:tcPr>
                <w:p w14:paraId="7E24C0B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2CA605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34" w:type="dxa"/>
                  <w:vMerge w:val="restart"/>
                  <w:tcBorders>
                    <w:tl2br w:val="nil"/>
                    <w:tr2bl w:val="nil"/>
                  </w:tcBorders>
                  <w:vAlign w:val="center"/>
                </w:tcPr>
                <w:p w14:paraId="3595CB8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硫酸雾（mg/m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w:t>
                  </w:r>
                </w:p>
              </w:tc>
              <w:tc>
                <w:tcPr>
                  <w:tcW w:w="1435" w:type="dxa"/>
                  <w:tcBorders>
                    <w:tl2br w:val="nil"/>
                    <w:tr2bl w:val="nil"/>
                  </w:tcBorders>
                  <w:vAlign w:val="center"/>
                </w:tcPr>
                <w:p w14:paraId="326E5C4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上风向G1</w:t>
                  </w:r>
                </w:p>
              </w:tc>
              <w:tc>
                <w:tcPr>
                  <w:tcW w:w="1435" w:type="dxa"/>
                  <w:tcBorders>
                    <w:tl2br w:val="nil"/>
                    <w:tr2bl w:val="nil"/>
                  </w:tcBorders>
                  <w:vAlign w:val="center"/>
                </w:tcPr>
                <w:p w14:paraId="259FC3A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0.036</w:t>
                  </w:r>
                </w:p>
              </w:tc>
              <w:tc>
                <w:tcPr>
                  <w:tcW w:w="1435" w:type="dxa"/>
                  <w:tcBorders>
                    <w:tl2br w:val="nil"/>
                    <w:tr2bl w:val="nil"/>
                  </w:tcBorders>
                  <w:vAlign w:val="center"/>
                </w:tcPr>
                <w:p w14:paraId="477C78D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0.037</w:t>
                  </w:r>
                </w:p>
              </w:tc>
              <w:tc>
                <w:tcPr>
                  <w:tcW w:w="1435" w:type="dxa"/>
                  <w:tcBorders>
                    <w:tl2br w:val="nil"/>
                    <w:tr2bl w:val="nil"/>
                  </w:tcBorders>
                  <w:vAlign w:val="center"/>
                </w:tcPr>
                <w:p w14:paraId="2272E68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0.039</w:t>
                  </w:r>
                </w:p>
              </w:tc>
              <w:tc>
                <w:tcPr>
                  <w:tcW w:w="1435" w:type="dxa"/>
                  <w:vMerge w:val="restart"/>
                  <w:tcBorders>
                    <w:tl2br w:val="nil"/>
                    <w:tr2bl w:val="nil"/>
                  </w:tcBorders>
                  <w:vAlign w:val="center"/>
                </w:tcPr>
                <w:p w14:paraId="22DDB40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0.053</w:t>
                  </w:r>
                </w:p>
              </w:tc>
            </w:tr>
            <w:tr w14:paraId="6D57399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34" w:type="dxa"/>
                  <w:vMerge w:val="continue"/>
                  <w:tcBorders>
                    <w:tl2br w:val="nil"/>
                    <w:tr2bl w:val="nil"/>
                  </w:tcBorders>
                  <w:vAlign w:val="center"/>
                </w:tcPr>
                <w:p w14:paraId="66B5EA7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435" w:type="dxa"/>
                  <w:tcBorders>
                    <w:tl2br w:val="nil"/>
                    <w:tr2bl w:val="nil"/>
                  </w:tcBorders>
                  <w:vAlign w:val="center"/>
                </w:tcPr>
                <w:p w14:paraId="78AA1B6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下风向G2</w:t>
                  </w:r>
                </w:p>
              </w:tc>
              <w:tc>
                <w:tcPr>
                  <w:tcW w:w="1435" w:type="dxa"/>
                  <w:tcBorders>
                    <w:tl2br w:val="nil"/>
                    <w:tr2bl w:val="nil"/>
                  </w:tcBorders>
                  <w:vAlign w:val="center"/>
                </w:tcPr>
                <w:p w14:paraId="47FD05F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0.045</w:t>
                  </w:r>
                </w:p>
              </w:tc>
              <w:tc>
                <w:tcPr>
                  <w:tcW w:w="1435" w:type="dxa"/>
                  <w:tcBorders>
                    <w:tl2br w:val="nil"/>
                    <w:tr2bl w:val="nil"/>
                  </w:tcBorders>
                  <w:vAlign w:val="center"/>
                </w:tcPr>
                <w:p w14:paraId="47EDFB1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0.038</w:t>
                  </w:r>
                </w:p>
              </w:tc>
              <w:tc>
                <w:tcPr>
                  <w:tcW w:w="1435" w:type="dxa"/>
                  <w:tcBorders>
                    <w:tl2br w:val="nil"/>
                    <w:tr2bl w:val="nil"/>
                  </w:tcBorders>
                  <w:vAlign w:val="center"/>
                </w:tcPr>
                <w:p w14:paraId="621F7AE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0.053</w:t>
                  </w:r>
                </w:p>
              </w:tc>
              <w:tc>
                <w:tcPr>
                  <w:tcW w:w="1435" w:type="dxa"/>
                  <w:vMerge w:val="continue"/>
                  <w:tcBorders>
                    <w:tl2br w:val="nil"/>
                    <w:tr2bl w:val="nil"/>
                  </w:tcBorders>
                  <w:vAlign w:val="center"/>
                </w:tcPr>
                <w:p w14:paraId="3177114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5B47782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34" w:type="dxa"/>
                  <w:vMerge w:val="continue"/>
                  <w:tcBorders>
                    <w:tl2br w:val="nil"/>
                    <w:tr2bl w:val="nil"/>
                  </w:tcBorders>
                  <w:vAlign w:val="center"/>
                </w:tcPr>
                <w:p w14:paraId="4A0690D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435" w:type="dxa"/>
                  <w:tcBorders>
                    <w:tl2br w:val="nil"/>
                    <w:tr2bl w:val="nil"/>
                  </w:tcBorders>
                  <w:vAlign w:val="center"/>
                </w:tcPr>
                <w:p w14:paraId="34AEAD1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下风向G3</w:t>
                  </w:r>
                </w:p>
              </w:tc>
              <w:tc>
                <w:tcPr>
                  <w:tcW w:w="1435" w:type="dxa"/>
                  <w:tcBorders>
                    <w:tl2br w:val="nil"/>
                    <w:tr2bl w:val="nil"/>
                  </w:tcBorders>
                  <w:vAlign w:val="center"/>
                </w:tcPr>
                <w:p w14:paraId="696DD0C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0.045</w:t>
                  </w:r>
                </w:p>
              </w:tc>
              <w:tc>
                <w:tcPr>
                  <w:tcW w:w="1435" w:type="dxa"/>
                  <w:tcBorders>
                    <w:tl2br w:val="nil"/>
                    <w:tr2bl w:val="nil"/>
                  </w:tcBorders>
                  <w:vAlign w:val="center"/>
                </w:tcPr>
                <w:p w14:paraId="5259128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0.042</w:t>
                  </w:r>
                </w:p>
              </w:tc>
              <w:tc>
                <w:tcPr>
                  <w:tcW w:w="1435" w:type="dxa"/>
                  <w:tcBorders>
                    <w:tl2br w:val="nil"/>
                    <w:tr2bl w:val="nil"/>
                  </w:tcBorders>
                  <w:vAlign w:val="center"/>
                </w:tcPr>
                <w:p w14:paraId="366FFB2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0.041</w:t>
                  </w:r>
                </w:p>
              </w:tc>
              <w:tc>
                <w:tcPr>
                  <w:tcW w:w="1435" w:type="dxa"/>
                  <w:vMerge w:val="continue"/>
                  <w:tcBorders>
                    <w:tl2br w:val="nil"/>
                    <w:tr2bl w:val="nil"/>
                  </w:tcBorders>
                  <w:vAlign w:val="center"/>
                </w:tcPr>
                <w:p w14:paraId="1F847F8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487D454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34" w:type="dxa"/>
                  <w:vMerge w:val="continue"/>
                  <w:tcBorders>
                    <w:tl2br w:val="nil"/>
                    <w:tr2bl w:val="nil"/>
                  </w:tcBorders>
                  <w:vAlign w:val="center"/>
                </w:tcPr>
                <w:p w14:paraId="5DB3383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435" w:type="dxa"/>
                  <w:tcBorders>
                    <w:tl2br w:val="nil"/>
                    <w:tr2bl w:val="nil"/>
                  </w:tcBorders>
                  <w:vAlign w:val="center"/>
                </w:tcPr>
                <w:p w14:paraId="5D283D9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下风向G4</w:t>
                  </w:r>
                </w:p>
              </w:tc>
              <w:tc>
                <w:tcPr>
                  <w:tcW w:w="1435" w:type="dxa"/>
                  <w:tcBorders>
                    <w:tl2br w:val="nil"/>
                    <w:tr2bl w:val="nil"/>
                  </w:tcBorders>
                  <w:vAlign w:val="center"/>
                </w:tcPr>
                <w:p w14:paraId="350414E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0.042</w:t>
                  </w:r>
                </w:p>
              </w:tc>
              <w:tc>
                <w:tcPr>
                  <w:tcW w:w="1435" w:type="dxa"/>
                  <w:tcBorders>
                    <w:tl2br w:val="nil"/>
                    <w:tr2bl w:val="nil"/>
                  </w:tcBorders>
                  <w:vAlign w:val="center"/>
                </w:tcPr>
                <w:p w14:paraId="571849B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0.043</w:t>
                  </w:r>
                </w:p>
              </w:tc>
              <w:tc>
                <w:tcPr>
                  <w:tcW w:w="1435" w:type="dxa"/>
                  <w:tcBorders>
                    <w:tl2br w:val="nil"/>
                    <w:tr2bl w:val="nil"/>
                  </w:tcBorders>
                  <w:vAlign w:val="center"/>
                </w:tcPr>
                <w:p w14:paraId="74E8869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0.048</w:t>
                  </w:r>
                </w:p>
              </w:tc>
              <w:tc>
                <w:tcPr>
                  <w:tcW w:w="1435" w:type="dxa"/>
                  <w:vMerge w:val="continue"/>
                  <w:tcBorders>
                    <w:tl2br w:val="nil"/>
                    <w:tr2bl w:val="nil"/>
                  </w:tcBorders>
                  <w:vAlign w:val="center"/>
                </w:tcPr>
                <w:p w14:paraId="28F3E1F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086F40F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34" w:type="dxa"/>
                  <w:vMerge w:val="restart"/>
                  <w:tcBorders>
                    <w:tl2br w:val="nil"/>
                    <w:tr2bl w:val="nil"/>
                  </w:tcBorders>
                  <w:vAlign w:val="center"/>
                </w:tcPr>
                <w:p w14:paraId="0585752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总悬浮颗粒物（μg/m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w:t>
                  </w:r>
                </w:p>
              </w:tc>
              <w:tc>
                <w:tcPr>
                  <w:tcW w:w="1435" w:type="dxa"/>
                  <w:tcBorders>
                    <w:tl2br w:val="nil"/>
                    <w:tr2bl w:val="nil"/>
                  </w:tcBorders>
                  <w:vAlign w:val="center"/>
                </w:tcPr>
                <w:p w14:paraId="064234B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上风向G1</w:t>
                  </w:r>
                </w:p>
              </w:tc>
              <w:tc>
                <w:tcPr>
                  <w:tcW w:w="1435" w:type="dxa"/>
                  <w:tcBorders>
                    <w:tl2br w:val="nil"/>
                    <w:tr2bl w:val="nil"/>
                  </w:tcBorders>
                  <w:vAlign w:val="center"/>
                </w:tcPr>
                <w:p w14:paraId="1E6A9EE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231</w:t>
                  </w:r>
                </w:p>
              </w:tc>
              <w:tc>
                <w:tcPr>
                  <w:tcW w:w="1435" w:type="dxa"/>
                  <w:tcBorders>
                    <w:tl2br w:val="nil"/>
                    <w:tr2bl w:val="nil"/>
                  </w:tcBorders>
                  <w:vAlign w:val="center"/>
                </w:tcPr>
                <w:p w14:paraId="092A945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206</w:t>
                  </w:r>
                </w:p>
              </w:tc>
              <w:tc>
                <w:tcPr>
                  <w:tcW w:w="1435" w:type="dxa"/>
                  <w:tcBorders>
                    <w:tl2br w:val="nil"/>
                    <w:tr2bl w:val="nil"/>
                  </w:tcBorders>
                  <w:vAlign w:val="center"/>
                </w:tcPr>
                <w:p w14:paraId="61E6474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238</w:t>
                  </w:r>
                </w:p>
              </w:tc>
              <w:tc>
                <w:tcPr>
                  <w:tcW w:w="1435" w:type="dxa"/>
                  <w:vMerge w:val="restart"/>
                  <w:tcBorders>
                    <w:tl2br w:val="nil"/>
                    <w:tr2bl w:val="nil"/>
                  </w:tcBorders>
                  <w:vAlign w:val="center"/>
                </w:tcPr>
                <w:p w14:paraId="0C9B1E8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374</w:t>
                  </w:r>
                </w:p>
              </w:tc>
            </w:tr>
            <w:tr w14:paraId="27A7329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34" w:type="dxa"/>
                  <w:vMerge w:val="continue"/>
                  <w:tcBorders>
                    <w:tl2br w:val="nil"/>
                    <w:tr2bl w:val="nil"/>
                  </w:tcBorders>
                  <w:vAlign w:val="center"/>
                </w:tcPr>
                <w:p w14:paraId="64905FD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435" w:type="dxa"/>
                  <w:tcBorders>
                    <w:tl2br w:val="nil"/>
                    <w:tr2bl w:val="nil"/>
                  </w:tcBorders>
                  <w:vAlign w:val="center"/>
                </w:tcPr>
                <w:p w14:paraId="061D5F3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下风向G2</w:t>
                  </w:r>
                </w:p>
              </w:tc>
              <w:tc>
                <w:tcPr>
                  <w:tcW w:w="1435" w:type="dxa"/>
                  <w:tcBorders>
                    <w:tl2br w:val="nil"/>
                    <w:tr2bl w:val="nil"/>
                  </w:tcBorders>
                  <w:vAlign w:val="center"/>
                </w:tcPr>
                <w:p w14:paraId="7E9C776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368</w:t>
                  </w:r>
                </w:p>
              </w:tc>
              <w:tc>
                <w:tcPr>
                  <w:tcW w:w="1435" w:type="dxa"/>
                  <w:tcBorders>
                    <w:tl2br w:val="nil"/>
                    <w:tr2bl w:val="nil"/>
                  </w:tcBorders>
                  <w:vAlign w:val="center"/>
                </w:tcPr>
                <w:p w14:paraId="2B919DB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374</w:t>
                  </w:r>
                </w:p>
              </w:tc>
              <w:tc>
                <w:tcPr>
                  <w:tcW w:w="1435" w:type="dxa"/>
                  <w:tcBorders>
                    <w:tl2br w:val="nil"/>
                    <w:tr2bl w:val="nil"/>
                  </w:tcBorders>
                  <w:vAlign w:val="center"/>
                </w:tcPr>
                <w:p w14:paraId="0E4A6EF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348</w:t>
                  </w:r>
                </w:p>
              </w:tc>
              <w:tc>
                <w:tcPr>
                  <w:tcW w:w="1435" w:type="dxa"/>
                  <w:vMerge w:val="continue"/>
                  <w:tcBorders>
                    <w:tl2br w:val="nil"/>
                    <w:tr2bl w:val="nil"/>
                  </w:tcBorders>
                  <w:vAlign w:val="center"/>
                </w:tcPr>
                <w:p w14:paraId="76F8C0D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3300357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34" w:type="dxa"/>
                  <w:vMerge w:val="continue"/>
                  <w:tcBorders>
                    <w:tl2br w:val="nil"/>
                    <w:tr2bl w:val="nil"/>
                  </w:tcBorders>
                  <w:vAlign w:val="center"/>
                </w:tcPr>
                <w:p w14:paraId="767D698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435" w:type="dxa"/>
                  <w:tcBorders>
                    <w:tl2br w:val="nil"/>
                    <w:tr2bl w:val="nil"/>
                  </w:tcBorders>
                  <w:vAlign w:val="center"/>
                </w:tcPr>
                <w:p w14:paraId="6DA4009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下风向G3</w:t>
                  </w:r>
                </w:p>
              </w:tc>
              <w:tc>
                <w:tcPr>
                  <w:tcW w:w="1435" w:type="dxa"/>
                  <w:tcBorders>
                    <w:tl2br w:val="nil"/>
                    <w:tr2bl w:val="nil"/>
                  </w:tcBorders>
                  <w:vAlign w:val="center"/>
                </w:tcPr>
                <w:p w14:paraId="13488B6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336</w:t>
                  </w:r>
                </w:p>
              </w:tc>
              <w:tc>
                <w:tcPr>
                  <w:tcW w:w="1435" w:type="dxa"/>
                  <w:tcBorders>
                    <w:tl2br w:val="nil"/>
                    <w:tr2bl w:val="nil"/>
                  </w:tcBorders>
                  <w:vAlign w:val="center"/>
                </w:tcPr>
                <w:p w14:paraId="105426C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284</w:t>
                  </w:r>
                </w:p>
              </w:tc>
              <w:tc>
                <w:tcPr>
                  <w:tcW w:w="1435" w:type="dxa"/>
                  <w:tcBorders>
                    <w:tl2br w:val="nil"/>
                    <w:tr2bl w:val="nil"/>
                  </w:tcBorders>
                  <w:vAlign w:val="center"/>
                </w:tcPr>
                <w:p w14:paraId="4E30CDF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285</w:t>
                  </w:r>
                </w:p>
              </w:tc>
              <w:tc>
                <w:tcPr>
                  <w:tcW w:w="1435" w:type="dxa"/>
                  <w:vMerge w:val="continue"/>
                  <w:tcBorders>
                    <w:tl2br w:val="nil"/>
                    <w:tr2bl w:val="nil"/>
                  </w:tcBorders>
                  <w:vAlign w:val="center"/>
                </w:tcPr>
                <w:p w14:paraId="2FAF681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033080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34" w:type="dxa"/>
                  <w:vMerge w:val="continue"/>
                  <w:tcBorders>
                    <w:tl2br w:val="nil"/>
                    <w:tr2bl w:val="nil"/>
                  </w:tcBorders>
                  <w:vAlign w:val="center"/>
                </w:tcPr>
                <w:p w14:paraId="7168D61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435" w:type="dxa"/>
                  <w:tcBorders>
                    <w:tl2br w:val="nil"/>
                    <w:tr2bl w:val="nil"/>
                  </w:tcBorders>
                  <w:vAlign w:val="center"/>
                </w:tcPr>
                <w:p w14:paraId="46733EF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下风向G4</w:t>
                  </w:r>
                </w:p>
              </w:tc>
              <w:tc>
                <w:tcPr>
                  <w:tcW w:w="1435" w:type="dxa"/>
                  <w:tcBorders>
                    <w:tl2br w:val="nil"/>
                    <w:tr2bl w:val="nil"/>
                  </w:tcBorders>
                  <w:vAlign w:val="center"/>
                </w:tcPr>
                <w:p w14:paraId="775AD88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325</w:t>
                  </w:r>
                </w:p>
              </w:tc>
              <w:tc>
                <w:tcPr>
                  <w:tcW w:w="1435" w:type="dxa"/>
                  <w:tcBorders>
                    <w:tl2br w:val="nil"/>
                    <w:tr2bl w:val="nil"/>
                  </w:tcBorders>
                  <w:vAlign w:val="center"/>
                </w:tcPr>
                <w:p w14:paraId="45C32E8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333</w:t>
                  </w:r>
                </w:p>
              </w:tc>
              <w:tc>
                <w:tcPr>
                  <w:tcW w:w="1435" w:type="dxa"/>
                  <w:tcBorders>
                    <w:tl2br w:val="nil"/>
                    <w:tr2bl w:val="nil"/>
                  </w:tcBorders>
                  <w:vAlign w:val="center"/>
                </w:tcPr>
                <w:p w14:paraId="0343501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356</w:t>
                  </w:r>
                </w:p>
              </w:tc>
              <w:tc>
                <w:tcPr>
                  <w:tcW w:w="1435" w:type="dxa"/>
                  <w:vMerge w:val="continue"/>
                  <w:tcBorders>
                    <w:tl2br w:val="nil"/>
                    <w:tr2bl w:val="nil"/>
                  </w:tcBorders>
                  <w:vAlign w:val="center"/>
                </w:tcPr>
                <w:p w14:paraId="05475E2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1E4654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34" w:type="dxa"/>
                  <w:vMerge w:val="restart"/>
                  <w:tcBorders>
                    <w:tl2br w:val="nil"/>
                    <w:tr2bl w:val="nil"/>
                  </w:tcBorders>
                  <w:vAlign w:val="center"/>
                </w:tcPr>
                <w:p w14:paraId="0AE4BD7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氯化氢（mg/m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w:t>
                  </w:r>
                </w:p>
              </w:tc>
              <w:tc>
                <w:tcPr>
                  <w:tcW w:w="1435" w:type="dxa"/>
                  <w:tcBorders>
                    <w:tl2br w:val="nil"/>
                    <w:tr2bl w:val="nil"/>
                  </w:tcBorders>
                  <w:shd w:val="clear" w:color="auto" w:fill="auto"/>
                  <w:vAlign w:val="center"/>
                </w:tcPr>
                <w:p w14:paraId="4F6A8AE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rPr>
                    <w:t>上风向G1</w:t>
                  </w:r>
                </w:p>
              </w:tc>
              <w:tc>
                <w:tcPr>
                  <w:tcW w:w="1435" w:type="dxa"/>
                  <w:tcBorders>
                    <w:tl2br w:val="nil"/>
                    <w:tr2bl w:val="nil"/>
                  </w:tcBorders>
                  <w:vAlign w:val="center"/>
                </w:tcPr>
                <w:p w14:paraId="3E27BE6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tcBorders>
                    <w:tl2br w:val="nil"/>
                    <w:tr2bl w:val="nil"/>
                  </w:tcBorders>
                  <w:vAlign w:val="center"/>
                </w:tcPr>
                <w:p w14:paraId="266D037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tcBorders>
                    <w:tl2br w:val="nil"/>
                    <w:tr2bl w:val="nil"/>
                  </w:tcBorders>
                  <w:vAlign w:val="center"/>
                </w:tcPr>
                <w:p w14:paraId="2E16EC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vMerge w:val="restart"/>
                  <w:tcBorders>
                    <w:tl2br w:val="nil"/>
                    <w:tr2bl w:val="nil"/>
                  </w:tcBorders>
                  <w:vAlign w:val="center"/>
                </w:tcPr>
                <w:p w14:paraId="132DF4F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lang w:val="en-US" w:eastAsia="zh-CN"/>
                    </w:rPr>
                  </w:pPr>
                  <w:r>
                    <w:rPr>
                      <w:rFonts w:hint="eastAsia" w:ascii="Times New Roman" w:hAnsi="Times New Roman" w:cs="Times New Roman"/>
                      <w:color w:val="auto"/>
                      <w:kern w:val="0"/>
                      <w:sz w:val="21"/>
                      <w:szCs w:val="21"/>
                      <w:vertAlign w:val="baseline"/>
                      <w:lang w:val="en-US" w:eastAsia="zh-CN"/>
                    </w:rPr>
                    <w:t>ND</w:t>
                  </w:r>
                </w:p>
              </w:tc>
            </w:tr>
            <w:tr w14:paraId="04E5BA3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34" w:type="dxa"/>
                  <w:vMerge w:val="continue"/>
                  <w:tcBorders>
                    <w:tl2br w:val="nil"/>
                    <w:tr2bl w:val="nil"/>
                  </w:tcBorders>
                  <w:vAlign w:val="center"/>
                </w:tcPr>
                <w:p w14:paraId="1D4C48F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435" w:type="dxa"/>
                  <w:tcBorders>
                    <w:tl2br w:val="nil"/>
                    <w:tr2bl w:val="nil"/>
                  </w:tcBorders>
                  <w:shd w:val="clear" w:color="auto" w:fill="auto"/>
                  <w:vAlign w:val="center"/>
                </w:tcPr>
                <w:p w14:paraId="26851B7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rPr>
                    <w:t>下风向G2</w:t>
                  </w:r>
                </w:p>
              </w:tc>
              <w:tc>
                <w:tcPr>
                  <w:tcW w:w="1435" w:type="dxa"/>
                  <w:tcBorders>
                    <w:tl2br w:val="nil"/>
                    <w:tr2bl w:val="nil"/>
                  </w:tcBorders>
                  <w:vAlign w:val="center"/>
                </w:tcPr>
                <w:p w14:paraId="03E80F7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tcBorders>
                    <w:tl2br w:val="nil"/>
                    <w:tr2bl w:val="nil"/>
                  </w:tcBorders>
                  <w:vAlign w:val="center"/>
                </w:tcPr>
                <w:p w14:paraId="076948E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tcBorders>
                    <w:tl2br w:val="nil"/>
                    <w:tr2bl w:val="nil"/>
                  </w:tcBorders>
                  <w:vAlign w:val="center"/>
                </w:tcPr>
                <w:p w14:paraId="0916BCA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vMerge w:val="continue"/>
                  <w:tcBorders>
                    <w:tl2br w:val="nil"/>
                    <w:tr2bl w:val="nil"/>
                  </w:tcBorders>
                  <w:vAlign w:val="center"/>
                </w:tcPr>
                <w:p w14:paraId="4F0255A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0D1ED95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34" w:type="dxa"/>
                  <w:vMerge w:val="continue"/>
                  <w:tcBorders>
                    <w:tl2br w:val="nil"/>
                    <w:tr2bl w:val="nil"/>
                  </w:tcBorders>
                  <w:vAlign w:val="center"/>
                </w:tcPr>
                <w:p w14:paraId="77BACE6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435" w:type="dxa"/>
                  <w:tcBorders>
                    <w:tl2br w:val="nil"/>
                    <w:tr2bl w:val="nil"/>
                  </w:tcBorders>
                  <w:shd w:val="clear" w:color="auto" w:fill="auto"/>
                  <w:vAlign w:val="center"/>
                </w:tcPr>
                <w:p w14:paraId="710682E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rPr>
                    <w:t>下风向G3</w:t>
                  </w:r>
                </w:p>
              </w:tc>
              <w:tc>
                <w:tcPr>
                  <w:tcW w:w="1435" w:type="dxa"/>
                  <w:tcBorders>
                    <w:tl2br w:val="nil"/>
                    <w:tr2bl w:val="nil"/>
                  </w:tcBorders>
                  <w:vAlign w:val="center"/>
                </w:tcPr>
                <w:p w14:paraId="7C9023B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tcBorders>
                    <w:tl2br w:val="nil"/>
                    <w:tr2bl w:val="nil"/>
                  </w:tcBorders>
                  <w:vAlign w:val="center"/>
                </w:tcPr>
                <w:p w14:paraId="550B841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tcBorders>
                    <w:tl2br w:val="nil"/>
                    <w:tr2bl w:val="nil"/>
                  </w:tcBorders>
                  <w:vAlign w:val="center"/>
                </w:tcPr>
                <w:p w14:paraId="6D3D5ED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vMerge w:val="continue"/>
                  <w:tcBorders>
                    <w:tl2br w:val="nil"/>
                    <w:tr2bl w:val="nil"/>
                  </w:tcBorders>
                  <w:vAlign w:val="center"/>
                </w:tcPr>
                <w:p w14:paraId="58F961D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7FFAF8F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34" w:type="dxa"/>
                  <w:vMerge w:val="continue"/>
                  <w:tcBorders>
                    <w:tl2br w:val="nil"/>
                    <w:tr2bl w:val="nil"/>
                  </w:tcBorders>
                  <w:vAlign w:val="center"/>
                </w:tcPr>
                <w:p w14:paraId="55CA433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435" w:type="dxa"/>
                  <w:tcBorders>
                    <w:tl2br w:val="nil"/>
                    <w:tr2bl w:val="nil"/>
                  </w:tcBorders>
                  <w:shd w:val="clear" w:color="auto" w:fill="auto"/>
                  <w:vAlign w:val="center"/>
                </w:tcPr>
                <w:p w14:paraId="3608445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rPr>
                    <w:t>下风向G4</w:t>
                  </w:r>
                </w:p>
              </w:tc>
              <w:tc>
                <w:tcPr>
                  <w:tcW w:w="1435" w:type="dxa"/>
                  <w:tcBorders>
                    <w:tl2br w:val="nil"/>
                    <w:tr2bl w:val="nil"/>
                  </w:tcBorders>
                  <w:vAlign w:val="center"/>
                </w:tcPr>
                <w:p w14:paraId="2769DA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tcBorders>
                    <w:tl2br w:val="nil"/>
                    <w:tr2bl w:val="nil"/>
                  </w:tcBorders>
                  <w:vAlign w:val="center"/>
                </w:tcPr>
                <w:p w14:paraId="2F7504D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tcBorders>
                    <w:tl2br w:val="nil"/>
                    <w:tr2bl w:val="nil"/>
                  </w:tcBorders>
                  <w:vAlign w:val="center"/>
                </w:tcPr>
                <w:p w14:paraId="145103D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vMerge w:val="continue"/>
                  <w:tcBorders>
                    <w:tl2br w:val="nil"/>
                    <w:tr2bl w:val="nil"/>
                  </w:tcBorders>
                  <w:vAlign w:val="center"/>
                </w:tcPr>
                <w:p w14:paraId="59AD9CA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6E244CC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34" w:type="dxa"/>
                  <w:vMerge w:val="restart"/>
                  <w:tcBorders>
                    <w:tl2br w:val="nil"/>
                    <w:tr2bl w:val="nil"/>
                  </w:tcBorders>
                  <w:vAlign w:val="center"/>
                </w:tcPr>
                <w:p w14:paraId="6F0CF2E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氟化物（μg/m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w:t>
                  </w:r>
                </w:p>
              </w:tc>
              <w:tc>
                <w:tcPr>
                  <w:tcW w:w="1435" w:type="dxa"/>
                  <w:tcBorders>
                    <w:tl2br w:val="nil"/>
                    <w:tr2bl w:val="nil"/>
                  </w:tcBorders>
                  <w:shd w:val="clear" w:color="auto" w:fill="auto"/>
                  <w:vAlign w:val="center"/>
                </w:tcPr>
                <w:p w14:paraId="4A4AA35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rPr>
                    <w:t>上风向G1</w:t>
                  </w:r>
                </w:p>
              </w:tc>
              <w:tc>
                <w:tcPr>
                  <w:tcW w:w="1435" w:type="dxa"/>
                  <w:tcBorders>
                    <w:tl2br w:val="nil"/>
                    <w:tr2bl w:val="nil"/>
                  </w:tcBorders>
                  <w:vAlign w:val="center"/>
                </w:tcPr>
                <w:p w14:paraId="084C338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tcBorders>
                    <w:tl2br w:val="nil"/>
                    <w:tr2bl w:val="nil"/>
                  </w:tcBorders>
                  <w:vAlign w:val="center"/>
                </w:tcPr>
                <w:p w14:paraId="32F48F5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tcBorders>
                    <w:tl2br w:val="nil"/>
                    <w:tr2bl w:val="nil"/>
                  </w:tcBorders>
                  <w:vAlign w:val="center"/>
                </w:tcPr>
                <w:p w14:paraId="4B33833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vMerge w:val="restart"/>
                  <w:tcBorders>
                    <w:tl2br w:val="nil"/>
                    <w:tr2bl w:val="nil"/>
                  </w:tcBorders>
                  <w:vAlign w:val="center"/>
                </w:tcPr>
                <w:p w14:paraId="57B886F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r>
            <w:tr w14:paraId="185D6A9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34" w:type="dxa"/>
                  <w:vMerge w:val="continue"/>
                  <w:tcBorders>
                    <w:tl2br w:val="nil"/>
                    <w:tr2bl w:val="nil"/>
                  </w:tcBorders>
                  <w:vAlign w:val="center"/>
                </w:tcPr>
                <w:p w14:paraId="3C2902C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435" w:type="dxa"/>
                  <w:tcBorders>
                    <w:tl2br w:val="nil"/>
                    <w:tr2bl w:val="nil"/>
                  </w:tcBorders>
                  <w:shd w:val="clear" w:color="auto" w:fill="auto"/>
                  <w:vAlign w:val="center"/>
                </w:tcPr>
                <w:p w14:paraId="7B49F95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rPr>
                    <w:t>下风向G2</w:t>
                  </w:r>
                </w:p>
              </w:tc>
              <w:tc>
                <w:tcPr>
                  <w:tcW w:w="1435" w:type="dxa"/>
                  <w:tcBorders>
                    <w:tl2br w:val="nil"/>
                    <w:tr2bl w:val="nil"/>
                  </w:tcBorders>
                  <w:vAlign w:val="center"/>
                </w:tcPr>
                <w:p w14:paraId="61B4844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tcBorders>
                    <w:tl2br w:val="nil"/>
                    <w:tr2bl w:val="nil"/>
                  </w:tcBorders>
                  <w:vAlign w:val="center"/>
                </w:tcPr>
                <w:p w14:paraId="471F849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tcBorders>
                    <w:tl2br w:val="nil"/>
                    <w:tr2bl w:val="nil"/>
                  </w:tcBorders>
                  <w:vAlign w:val="center"/>
                </w:tcPr>
                <w:p w14:paraId="73FFBB1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vMerge w:val="continue"/>
                  <w:tcBorders>
                    <w:tl2br w:val="nil"/>
                    <w:tr2bl w:val="nil"/>
                  </w:tcBorders>
                  <w:vAlign w:val="center"/>
                </w:tcPr>
                <w:p w14:paraId="2B0730F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695CB65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34" w:type="dxa"/>
                  <w:vMerge w:val="continue"/>
                  <w:tcBorders>
                    <w:tl2br w:val="nil"/>
                    <w:tr2bl w:val="nil"/>
                  </w:tcBorders>
                  <w:vAlign w:val="center"/>
                </w:tcPr>
                <w:p w14:paraId="0578556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435" w:type="dxa"/>
                  <w:tcBorders>
                    <w:tl2br w:val="nil"/>
                    <w:tr2bl w:val="nil"/>
                  </w:tcBorders>
                  <w:shd w:val="clear" w:color="auto" w:fill="auto"/>
                  <w:vAlign w:val="center"/>
                </w:tcPr>
                <w:p w14:paraId="6CACA27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rPr>
                    <w:t>下风向G3</w:t>
                  </w:r>
                </w:p>
              </w:tc>
              <w:tc>
                <w:tcPr>
                  <w:tcW w:w="1435" w:type="dxa"/>
                  <w:tcBorders>
                    <w:tl2br w:val="nil"/>
                    <w:tr2bl w:val="nil"/>
                  </w:tcBorders>
                  <w:vAlign w:val="center"/>
                </w:tcPr>
                <w:p w14:paraId="32797AC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tcBorders>
                    <w:tl2br w:val="nil"/>
                    <w:tr2bl w:val="nil"/>
                  </w:tcBorders>
                  <w:vAlign w:val="center"/>
                </w:tcPr>
                <w:p w14:paraId="50E039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tcBorders>
                    <w:tl2br w:val="nil"/>
                    <w:tr2bl w:val="nil"/>
                  </w:tcBorders>
                  <w:vAlign w:val="center"/>
                </w:tcPr>
                <w:p w14:paraId="5FA8DEC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vMerge w:val="continue"/>
                  <w:tcBorders>
                    <w:tl2br w:val="nil"/>
                    <w:tr2bl w:val="nil"/>
                  </w:tcBorders>
                  <w:vAlign w:val="center"/>
                </w:tcPr>
                <w:p w14:paraId="30D795E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143B2A3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34" w:type="dxa"/>
                  <w:vMerge w:val="continue"/>
                  <w:tcBorders>
                    <w:tl2br w:val="nil"/>
                    <w:tr2bl w:val="nil"/>
                  </w:tcBorders>
                  <w:vAlign w:val="center"/>
                </w:tcPr>
                <w:p w14:paraId="052792B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435" w:type="dxa"/>
                  <w:tcBorders>
                    <w:tl2br w:val="nil"/>
                    <w:tr2bl w:val="nil"/>
                  </w:tcBorders>
                  <w:shd w:val="clear" w:color="auto" w:fill="auto"/>
                  <w:vAlign w:val="center"/>
                </w:tcPr>
                <w:p w14:paraId="127011D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rPr>
                    <w:t>下风向G4</w:t>
                  </w:r>
                </w:p>
              </w:tc>
              <w:tc>
                <w:tcPr>
                  <w:tcW w:w="1435" w:type="dxa"/>
                  <w:tcBorders>
                    <w:tl2br w:val="nil"/>
                    <w:tr2bl w:val="nil"/>
                  </w:tcBorders>
                  <w:vAlign w:val="center"/>
                </w:tcPr>
                <w:p w14:paraId="0949BD8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tcBorders>
                    <w:tl2br w:val="nil"/>
                    <w:tr2bl w:val="nil"/>
                  </w:tcBorders>
                  <w:vAlign w:val="center"/>
                </w:tcPr>
                <w:p w14:paraId="0D37884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tcBorders>
                    <w:tl2br w:val="nil"/>
                    <w:tr2bl w:val="nil"/>
                  </w:tcBorders>
                  <w:vAlign w:val="center"/>
                </w:tcPr>
                <w:p w14:paraId="1D25705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ND</w:t>
                  </w:r>
                </w:p>
              </w:tc>
              <w:tc>
                <w:tcPr>
                  <w:tcW w:w="1435" w:type="dxa"/>
                  <w:vMerge w:val="continue"/>
                  <w:tcBorders>
                    <w:tl2br w:val="nil"/>
                    <w:tr2bl w:val="nil"/>
                  </w:tcBorders>
                  <w:vAlign w:val="center"/>
                </w:tcPr>
                <w:p w14:paraId="1211890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139222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34" w:type="dxa"/>
                  <w:vMerge w:val="restart"/>
                  <w:tcBorders>
                    <w:tl2br w:val="nil"/>
                    <w:tr2bl w:val="nil"/>
                  </w:tcBorders>
                  <w:vAlign w:val="center"/>
                </w:tcPr>
                <w:p w14:paraId="48D8EF3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现场检测条件</w:t>
                  </w:r>
                </w:p>
              </w:tc>
              <w:tc>
                <w:tcPr>
                  <w:tcW w:w="1435" w:type="dxa"/>
                  <w:tcBorders>
                    <w:tl2br w:val="nil"/>
                    <w:tr2bl w:val="nil"/>
                  </w:tcBorders>
                  <w:vAlign w:val="center"/>
                </w:tcPr>
                <w:p w14:paraId="3241473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温度（℃）</w:t>
                  </w:r>
                </w:p>
              </w:tc>
              <w:tc>
                <w:tcPr>
                  <w:tcW w:w="1435" w:type="dxa"/>
                  <w:tcBorders>
                    <w:tl2br w:val="nil"/>
                    <w:tr2bl w:val="nil"/>
                  </w:tcBorders>
                  <w:vAlign w:val="center"/>
                </w:tcPr>
                <w:p w14:paraId="6112A04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29.7</w:t>
                  </w:r>
                </w:p>
              </w:tc>
              <w:tc>
                <w:tcPr>
                  <w:tcW w:w="1435" w:type="dxa"/>
                  <w:tcBorders>
                    <w:tl2br w:val="nil"/>
                    <w:tr2bl w:val="nil"/>
                  </w:tcBorders>
                  <w:vAlign w:val="center"/>
                </w:tcPr>
                <w:p w14:paraId="38F1B34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30.0</w:t>
                  </w:r>
                </w:p>
              </w:tc>
              <w:tc>
                <w:tcPr>
                  <w:tcW w:w="1435" w:type="dxa"/>
                  <w:tcBorders>
                    <w:tl2br w:val="nil"/>
                    <w:tr2bl w:val="nil"/>
                  </w:tcBorders>
                  <w:vAlign w:val="center"/>
                </w:tcPr>
                <w:p w14:paraId="4338822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30.3</w:t>
                  </w:r>
                </w:p>
              </w:tc>
              <w:tc>
                <w:tcPr>
                  <w:tcW w:w="1435" w:type="dxa"/>
                  <w:vMerge w:val="restart"/>
                  <w:tcBorders>
                    <w:tl2br w:val="nil"/>
                    <w:tr2bl w:val="nil"/>
                  </w:tcBorders>
                  <w:vAlign w:val="center"/>
                </w:tcPr>
                <w:p w14:paraId="5535949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w:t>
                  </w:r>
                </w:p>
              </w:tc>
            </w:tr>
            <w:tr w14:paraId="5A27E52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34" w:type="dxa"/>
                  <w:vMerge w:val="continue"/>
                  <w:tcBorders>
                    <w:tl2br w:val="nil"/>
                    <w:tr2bl w:val="nil"/>
                  </w:tcBorders>
                  <w:vAlign w:val="center"/>
                </w:tcPr>
                <w:p w14:paraId="189306D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435" w:type="dxa"/>
                  <w:tcBorders>
                    <w:tl2br w:val="nil"/>
                    <w:tr2bl w:val="nil"/>
                  </w:tcBorders>
                  <w:vAlign w:val="center"/>
                </w:tcPr>
                <w:p w14:paraId="34C5750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相对湿度（%）</w:t>
                  </w:r>
                </w:p>
              </w:tc>
              <w:tc>
                <w:tcPr>
                  <w:tcW w:w="1435" w:type="dxa"/>
                  <w:tcBorders>
                    <w:tl2br w:val="nil"/>
                    <w:tr2bl w:val="nil"/>
                  </w:tcBorders>
                  <w:vAlign w:val="center"/>
                </w:tcPr>
                <w:p w14:paraId="3B51281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64.7</w:t>
                  </w:r>
                </w:p>
              </w:tc>
              <w:tc>
                <w:tcPr>
                  <w:tcW w:w="1435" w:type="dxa"/>
                  <w:tcBorders>
                    <w:tl2br w:val="nil"/>
                    <w:tr2bl w:val="nil"/>
                  </w:tcBorders>
                  <w:vAlign w:val="center"/>
                </w:tcPr>
                <w:p w14:paraId="2DBCB80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62.9</w:t>
                  </w:r>
                </w:p>
              </w:tc>
              <w:tc>
                <w:tcPr>
                  <w:tcW w:w="1435" w:type="dxa"/>
                  <w:tcBorders>
                    <w:tl2br w:val="nil"/>
                    <w:tr2bl w:val="nil"/>
                  </w:tcBorders>
                  <w:vAlign w:val="center"/>
                </w:tcPr>
                <w:p w14:paraId="58661B2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61.4</w:t>
                  </w:r>
                </w:p>
              </w:tc>
              <w:tc>
                <w:tcPr>
                  <w:tcW w:w="1435" w:type="dxa"/>
                  <w:vMerge w:val="continue"/>
                  <w:tcBorders>
                    <w:tl2br w:val="nil"/>
                    <w:tr2bl w:val="nil"/>
                  </w:tcBorders>
                  <w:vAlign w:val="center"/>
                </w:tcPr>
                <w:p w14:paraId="1F52F19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6339B6A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34" w:type="dxa"/>
                  <w:vMerge w:val="continue"/>
                  <w:tcBorders>
                    <w:tl2br w:val="nil"/>
                    <w:tr2bl w:val="nil"/>
                  </w:tcBorders>
                  <w:vAlign w:val="center"/>
                </w:tcPr>
                <w:p w14:paraId="69669C1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435" w:type="dxa"/>
                  <w:tcBorders>
                    <w:tl2br w:val="nil"/>
                    <w:tr2bl w:val="nil"/>
                  </w:tcBorders>
                  <w:vAlign w:val="center"/>
                </w:tcPr>
                <w:p w14:paraId="3DA093F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气压（kPa）</w:t>
                  </w:r>
                </w:p>
              </w:tc>
              <w:tc>
                <w:tcPr>
                  <w:tcW w:w="1435" w:type="dxa"/>
                  <w:tcBorders>
                    <w:tl2br w:val="nil"/>
                    <w:tr2bl w:val="nil"/>
                  </w:tcBorders>
                  <w:vAlign w:val="center"/>
                </w:tcPr>
                <w:p w14:paraId="4923974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100.30</w:t>
                  </w:r>
                </w:p>
              </w:tc>
              <w:tc>
                <w:tcPr>
                  <w:tcW w:w="1435" w:type="dxa"/>
                  <w:tcBorders>
                    <w:tl2br w:val="nil"/>
                    <w:tr2bl w:val="nil"/>
                  </w:tcBorders>
                  <w:vAlign w:val="center"/>
                </w:tcPr>
                <w:p w14:paraId="02E5ED9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100.25</w:t>
                  </w:r>
                </w:p>
              </w:tc>
              <w:tc>
                <w:tcPr>
                  <w:tcW w:w="1435" w:type="dxa"/>
                  <w:tcBorders>
                    <w:tl2br w:val="nil"/>
                    <w:tr2bl w:val="nil"/>
                  </w:tcBorders>
                  <w:vAlign w:val="center"/>
                </w:tcPr>
                <w:p w14:paraId="5B485BE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100.23</w:t>
                  </w:r>
                </w:p>
              </w:tc>
              <w:tc>
                <w:tcPr>
                  <w:tcW w:w="1435" w:type="dxa"/>
                  <w:vMerge w:val="continue"/>
                  <w:tcBorders>
                    <w:tl2br w:val="nil"/>
                    <w:tr2bl w:val="nil"/>
                  </w:tcBorders>
                  <w:vAlign w:val="center"/>
                </w:tcPr>
                <w:p w14:paraId="611E6D0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77F84F7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34" w:type="dxa"/>
                  <w:vMerge w:val="continue"/>
                  <w:tcBorders>
                    <w:tl2br w:val="nil"/>
                    <w:tr2bl w:val="nil"/>
                  </w:tcBorders>
                  <w:vAlign w:val="center"/>
                </w:tcPr>
                <w:p w14:paraId="2C81F50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435" w:type="dxa"/>
                  <w:tcBorders>
                    <w:tl2br w:val="nil"/>
                    <w:tr2bl w:val="nil"/>
                  </w:tcBorders>
                  <w:vAlign w:val="center"/>
                </w:tcPr>
                <w:p w14:paraId="00194A2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风速（m/s）</w:t>
                  </w:r>
                </w:p>
              </w:tc>
              <w:tc>
                <w:tcPr>
                  <w:tcW w:w="1435" w:type="dxa"/>
                  <w:tcBorders>
                    <w:tl2br w:val="nil"/>
                    <w:tr2bl w:val="nil"/>
                  </w:tcBorders>
                  <w:vAlign w:val="center"/>
                </w:tcPr>
                <w:p w14:paraId="71D41F8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2.5</w:t>
                  </w:r>
                </w:p>
              </w:tc>
              <w:tc>
                <w:tcPr>
                  <w:tcW w:w="1435" w:type="dxa"/>
                  <w:tcBorders>
                    <w:tl2br w:val="nil"/>
                    <w:tr2bl w:val="nil"/>
                  </w:tcBorders>
                  <w:vAlign w:val="center"/>
                </w:tcPr>
                <w:p w14:paraId="7763C02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2.6</w:t>
                  </w:r>
                </w:p>
              </w:tc>
              <w:tc>
                <w:tcPr>
                  <w:tcW w:w="1435" w:type="dxa"/>
                  <w:tcBorders>
                    <w:tl2br w:val="nil"/>
                    <w:tr2bl w:val="nil"/>
                  </w:tcBorders>
                  <w:vAlign w:val="center"/>
                </w:tcPr>
                <w:p w14:paraId="67585CE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2.5</w:t>
                  </w:r>
                </w:p>
              </w:tc>
              <w:tc>
                <w:tcPr>
                  <w:tcW w:w="1435" w:type="dxa"/>
                  <w:vMerge w:val="continue"/>
                  <w:tcBorders>
                    <w:tl2br w:val="nil"/>
                    <w:tr2bl w:val="nil"/>
                  </w:tcBorders>
                  <w:vAlign w:val="center"/>
                </w:tcPr>
                <w:p w14:paraId="6C8FD69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57A805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434" w:type="dxa"/>
                  <w:vMerge w:val="continue"/>
                  <w:tcBorders>
                    <w:tl2br w:val="nil"/>
                    <w:tr2bl w:val="nil"/>
                  </w:tcBorders>
                  <w:vAlign w:val="center"/>
                </w:tcPr>
                <w:p w14:paraId="5B30183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435" w:type="dxa"/>
                  <w:tcBorders>
                    <w:tl2br w:val="nil"/>
                    <w:tr2bl w:val="nil"/>
                  </w:tcBorders>
                  <w:vAlign w:val="center"/>
                </w:tcPr>
                <w:p w14:paraId="6B6AFDE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风向</w:t>
                  </w:r>
                </w:p>
              </w:tc>
              <w:tc>
                <w:tcPr>
                  <w:tcW w:w="1435" w:type="dxa"/>
                  <w:tcBorders>
                    <w:tl2br w:val="nil"/>
                    <w:tr2bl w:val="nil"/>
                  </w:tcBorders>
                  <w:vAlign w:val="center"/>
                </w:tcPr>
                <w:p w14:paraId="6DC009B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东</w:t>
                  </w:r>
                </w:p>
              </w:tc>
              <w:tc>
                <w:tcPr>
                  <w:tcW w:w="1435" w:type="dxa"/>
                  <w:tcBorders>
                    <w:tl2br w:val="nil"/>
                    <w:tr2bl w:val="nil"/>
                  </w:tcBorders>
                  <w:vAlign w:val="center"/>
                </w:tcPr>
                <w:p w14:paraId="7223D29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东</w:t>
                  </w:r>
                </w:p>
              </w:tc>
              <w:tc>
                <w:tcPr>
                  <w:tcW w:w="1435" w:type="dxa"/>
                  <w:tcBorders>
                    <w:tl2br w:val="nil"/>
                    <w:tr2bl w:val="nil"/>
                  </w:tcBorders>
                  <w:vAlign w:val="center"/>
                </w:tcPr>
                <w:p w14:paraId="1F2F993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东</w:t>
                  </w:r>
                </w:p>
              </w:tc>
              <w:tc>
                <w:tcPr>
                  <w:tcW w:w="1435" w:type="dxa"/>
                  <w:vMerge w:val="continue"/>
                  <w:tcBorders>
                    <w:tl2br w:val="nil"/>
                    <w:tr2bl w:val="nil"/>
                  </w:tcBorders>
                  <w:vAlign w:val="center"/>
                </w:tcPr>
                <w:p w14:paraId="2F9F54F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430777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609" w:type="dxa"/>
                  <w:gridSpan w:val="6"/>
                  <w:tcBorders>
                    <w:tl2br w:val="nil"/>
                    <w:tr2bl w:val="nil"/>
                  </w:tcBorders>
                  <w:vAlign w:val="center"/>
                </w:tcPr>
                <w:p w14:paraId="48B1330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注：ND代表未检出，氯化氢的检出限为0.02</w:t>
                  </w:r>
                  <w:r>
                    <w:rPr>
                      <w:rFonts w:hint="default" w:ascii="Times New Roman" w:hAnsi="Times New Roman" w:cs="Times New Roman"/>
                      <w:color w:val="auto"/>
                      <w:kern w:val="0"/>
                      <w:sz w:val="21"/>
                      <w:szCs w:val="21"/>
                      <w:vertAlign w:val="baseline"/>
                      <w:lang w:val="en-US" w:eastAsia="zh-CN"/>
                    </w:rPr>
                    <w:t>mg/m</w:t>
                  </w:r>
                  <w:r>
                    <w:rPr>
                      <w:rFonts w:hint="default" w:ascii="Times New Roman" w:hAnsi="Times New Roman" w:cs="Times New Roman"/>
                      <w:color w:val="auto"/>
                      <w:kern w:val="0"/>
                      <w:sz w:val="21"/>
                      <w:szCs w:val="21"/>
                      <w:vertAlign w:val="superscript"/>
                      <w:lang w:val="en-US" w:eastAsia="zh-CN"/>
                    </w:rPr>
                    <w:t>3</w:t>
                  </w:r>
                  <w:r>
                    <w:rPr>
                      <w:rFonts w:hint="eastAsia" w:cs="Times New Roman"/>
                      <w:color w:val="auto"/>
                      <w:kern w:val="0"/>
                      <w:sz w:val="21"/>
                      <w:szCs w:val="21"/>
                      <w:vertAlign w:val="baseline"/>
                      <w:lang w:val="en-US" w:eastAsia="zh-CN"/>
                    </w:rPr>
                    <w:t>（以60L计），氟化物的检出限为0.5</w:t>
                  </w:r>
                  <w:r>
                    <w:rPr>
                      <w:rFonts w:hint="default" w:ascii="Times New Roman" w:hAnsi="Times New Roman" w:cs="Times New Roman"/>
                      <w:color w:val="auto"/>
                      <w:kern w:val="0"/>
                      <w:sz w:val="21"/>
                      <w:szCs w:val="21"/>
                      <w:vertAlign w:val="baseline"/>
                      <w:lang w:val="en-US" w:eastAsia="zh-CN"/>
                    </w:rPr>
                    <w:t>μg/m</w:t>
                  </w:r>
                  <w:r>
                    <w:rPr>
                      <w:rFonts w:hint="default" w:ascii="Times New Roman" w:hAnsi="Times New Roman" w:cs="Times New Roman"/>
                      <w:color w:val="auto"/>
                      <w:kern w:val="0"/>
                      <w:sz w:val="21"/>
                      <w:szCs w:val="21"/>
                      <w:vertAlign w:val="superscript"/>
                      <w:lang w:val="en-US" w:eastAsia="zh-CN"/>
                    </w:rPr>
                    <w:t>3</w:t>
                  </w:r>
                  <w:r>
                    <w:rPr>
                      <w:rFonts w:hint="eastAsia" w:cs="Times New Roman"/>
                      <w:color w:val="auto"/>
                      <w:kern w:val="0"/>
                      <w:sz w:val="21"/>
                      <w:szCs w:val="21"/>
                      <w:vertAlign w:val="baseline"/>
                      <w:lang w:val="en-US" w:eastAsia="zh-CN"/>
                    </w:rPr>
                    <w:t>（以3000L计）。</w:t>
                  </w:r>
                </w:p>
              </w:tc>
            </w:tr>
          </w:tbl>
          <w:p w14:paraId="2E288A7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color w:val="auto"/>
                <w:kern w:val="0"/>
                <w:sz w:val="21"/>
                <w:szCs w:val="21"/>
                <w:lang w:val="en-US" w:eastAsia="zh-CN"/>
              </w:rPr>
            </w:pPr>
            <w:r>
              <w:rPr>
                <w:rFonts w:hint="eastAsia"/>
                <w:b/>
                <w:bCs/>
                <w:color w:val="auto"/>
                <w:kern w:val="0"/>
                <w:sz w:val="21"/>
                <w:szCs w:val="21"/>
                <w:lang w:val="en-US" w:eastAsia="zh-CN"/>
              </w:rPr>
              <w:t>表2-10.2   无组织废气检测结果</w:t>
            </w:r>
          </w:p>
          <w:tbl>
            <w:tblPr>
              <w:tblStyle w:val="60"/>
              <w:tblW w:w="8609"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20"/>
              <w:gridCol w:w="1166"/>
              <w:gridCol w:w="1338"/>
              <w:gridCol w:w="1338"/>
              <w:gridCol w:w="1338"/>
              <w:gridCol w:w="1341"/>
              <w:gridCol w:w="868"/>
            </w:tblGrid>
            <w:tr w14:paraId="7FCBDD5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1" w:hRule="atLeast"/>
                <w:jc w:val="center"/>
              </w:trPr>
              <w:tc>
                <w:tcPr>
                  <w:tcW w:w="1220" w:type="dxa"/>
                  <w:vMerge w:val="restart"/>
                  <w:tcBorders>
                    <w:tl2br w:val="nil"/>
                    <w:tr2bl w:val="nil"/>
                  </w:tcBorders>
                  <w:vAlign w:val="center"/>
                </w:tcPr>
                <w:p w14:paraId="52A9F4D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检测项目</w:t>
                  </w:r>
                </w:p>
              </w:tc>
              <w:tc>
                <w:tcPr>
                  <w:tcW w:w="1166" w:type="dxa"/>
                  <w:vMerge w:val="restart"/>
                  <w:tcBorders>
                    <w:tl2br w:val="nil"/>
                    <w:tr2bl w:val="nil"/>
                  </w:tcBorders>
                  <w:vAlign w:val="center"/>
                </w:tcPr>
                <w:p w14:paraId="631CE94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检测点位</w:t>
                  </w:r>
                </w:p>
              </w:tc>
              <w:tc>
                <w:tcPr>
                  <w:tcW w:w="5355" w:type="dxa"/>
                  <w:gridSpan w:val="4"/>
                  <w:tcBorders>
                    <w:tl2br w:val="nil"/>
                    <w:tr2bl w:val="nil"/>
                  </w:tcBorders>
                  <w:vAlign w:val="center"/>
                </w:tcPr>
                <w:p w14:paraId="0FC9BE9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检测结果</w:t>
                  </w:r>
                </w:p>
              </w:tc>
              <w:tc>
                <w:tcPr>
                  <w:tcW w:w="868" w:type="dxa"/>
                  <w:vMerge w:val="restart"/>
                  <w:tcBorders>
                    <w:tl2br w:val="nil"/>
                    <w:tr2bl w:val="nil"/>
                  </w:tcBorders>
                  <w:vAlign w:val="center"/>
                </w:tcPr>
                <w:p w14:paraId="07F023C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检测最大值</w:t>
                  </w:r>
                </w:p>
              </w:tc>
            </w:tr>
            <w:tr w14:paraId="032AFA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20" w:type="dxa"/>
                  <w:vMerge w:val="continue"/>
                  <w:tcBorders>
                    <w:tl2br w:val="nil"/>
                    <w:tr2bl w:val="nil"/>
                  </w:tcBorders>
                  <w:vAlign w:val="center"/>
                </w:tcPr>
                <w:p w14:paraId="6AD6EA4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166" w:type="dxa"/>
                  <w:vMerge w:val="continue"/>
                  <w:tcBorders>
                    <w:tl2br w:val="nil"/>
                    <w:tr2bl w:val="nil"/>
                  </w:tcBorders>
                  <w:vAlign w:val="center"/>
                </w:tcPr>
                <w:p w14:paraId="2DE8E87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338" w:type="dxa"/>
                  <w:tcBorders>
                    <w:tl2br w:val="nil"/>
                    <w:tr2bl w:val="nil"/>
                  </w:tcBorders>
                  <w:vAlign w:val="center"/>
                </w:tcPr>
                <w:p w14:paraId="7D97621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10:50~11:50</w:t>
                  </w:r>
                </w:p>
              </w:tc>
              <w:tc>
                <w:tcPr>
                  <w:tcW w:w="1338" w:type="dxa"/>
                  <w:tcBorders>
                    <w:tl2br w:val="nil"/>
                    <w:tr2bl w:val="nil"/>
                  </w:tcBorders>
                  <w:vAlign w:val="center"/>
                </w:tcPr>
                <w:p w14:paraId="56131CD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12:50~13:50</w:t>
                  </w:r>
                </w:p>
              </w:tc>
              <w:tc>
                <w:tcPr>
                  <w:tcW w:w="1338" w:type="dxa"/>
                  <w:tcBorders>
                    <w:tl2br w:val="nil"/>
                    <w:tr2bl w:val="nil"/>
                  </w:tcBorders>
                  <w:vAlign w:val="center"/>
                </w:tcPr>
                <w:p w14:paraId="2C75405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14:50~15:50</w:t>
                  </w:r>
                </w:p>
              </w:tc>
              <w:tc>
                <w:tcPr>
                  <w:tcW w:w="1341" w:type="dxa"/>
                  <w:tcBorders>
                    <w:tl2br w:val="nil"/>
                    <w:tr2bl w:val="nil"/>
                  </w:tcBorders>
                  <w:vAlign w:val="center"/>
                </w:tcPr>
                <w:p w14:paraId="628C29E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16:50~17:50</w:t>
                  </w:r>
                </w:p>
              </w:tc>
              <w:tc>
                <w:tcPr>
                  <w:tcW w:w="868" w:type="dxa"/>
                  <w:vMerge w:val="continue"/>
                  <w:tcBorders>
                    <w:tl2br w:val="nil"/>
                    <w:tr2bl w:val="nil"/>
                  </w:tcBorders>
                  <w:vAlign w:val="center"/>
                </w:tcPr>
                <w:p w14:paraId="76760C4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380268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20" w:type="dxa"/>
                  <w:vMerge w:val="restart"/>
                  <w:tcBorders>
                    <w:tl2br w:val="nil"/>
                    <w:tr2bl w:val="nil"/>
                  </w:tcBorders>
                  <w:vAlign w:val="center"/>
                </w:tcPr>
                <w:p w14:paraId="202ABCB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氨</w:t>
                  </w:r>
                  <w:r>
                    <w:rPr>
                      <w:rFonts w:hint="default" w:ascii="Times New Roman" w:hAnsi="Times New Roman" w:cs="Times New Roman"/>
                      <w:color w:val="auto"/>
                      <w:kern w:val="0"/>
                      <w:sz w:val="21"/>
                      <w:szCs w:val="21"/>
                      <w:vertAlign w:val="baseline"/>
                      <w:lang w:val="en-US" w:eastAsia="zh-CN"/>
                    </w:rPr>
                    <w:t>（mg/m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w:t>
                  </w:r>
                </w:p>
              </w:tc>
              <w:tc>
                <w:tcPr>
                  <w:tcW w:w="1166" w:type="dxa"/>
                  <w:tcBorders>
                    <w:tl2br w:val="nil"/>
                    <w:tr2bl w:val="nil"/>
                  </w:tcBorders>
                  <w:vAlign w:val="center"/>
                </w:tcPr>
                <w:p w14:paraId="72F6B1D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上风向G1</w:t>
                  </w:r>
                </w:p>
              </w:tc>
              <w:tc>
                <w:tcPr>
                  <w:tcW w:w="1338" w:type="dxa"/>
                  <w:tcBorders>
                    <w:tl2br w:val="nil"/>
                    <w:tr2bl w:val="nil"/>
                  </w:tcBorders>
                  <w:vAlign w:val="center"/>
                </w:tcPr>
                <w:p w14:paraId="5EAF760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0.041</w:t>
                  </w:r>
                </w:p>
              </w:tc>
              <w:tc>
                <w:tcPr>
                  <w:tcW w:w="1338" w:type="dxa"/>
                  <w:tcBorders>
                    <w:tl2br w:val="nil"/>
                    <w:tr2bl w:val="nil"/>
                  </w:tcBorders>
                  <w:vAlign w:val="center"/>
                </w:tcPr>
                <w:p w14:paraId="406A550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0.034</w:t>
                  </w:r>
                </w:p>
              </w:tc>
              <w:tc>
                <w:tcPr>
                  <w:tcW w:w="1338" w:type="dxa"/>
                  <w:tcBorders>
                    <w:tl2br w:val="nil"/>
                    <w:tr2bl w:val="nil"/>
                  </w:tcBorders>
                  <w:vAlign w:val="center"/>
                </w:tcPr>
                <w:p w14:paraId="1A1ECDA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0.024</w:t>
                  </w:r>
                </w:p>
              </w:tc>
              <w:tc>
                <w:tcPr>
                  <w:tcW w:w="1341" w:type="dxa"/>
                  <w:tcBorders>
                    <w:tl2br w:val="nil"/>
                    <w:tr2bl w:val="nil"/>
                  </w:tcBorders>
                  <w:vAlign w:val="center"/>
                </w:tcPr>
                <w:p w14:paraId="23B29FC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0.038</w:t>
                  </w:r>
                </w:p>
              </w:tc>
              <w:tc>
                <w:tcPr>
                  <w:tcW w:w="868" w:type="dxa"/>
                  <w:vMerge w:val="restart"/>
                  <w:tcBorders>
                    <w:tl2br w:val="nil"/>
                    <w:tr2bl w:val="nil"/>
                  </w:tcBorders>
                  <w:vAlign w:val="center"/>
                </w:tcPr>
                <w:p w14:paraId="5F48A56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0.0</w:t>
                  </w:r>
                  <w:r>
                    <w:rPr>
                      <w:rFonts w:hint="eastAsia" w:cs="Times New Roman"/>
                      <w:color w:val="auto"/>
                      <w:kern w:val="0"/>
                      <w:sz w:val="21"/>
                      <w:szCs w:val="21"/>
                      <w:vertAlign w:val="baseline"/>
                      <w:lang w:val="en-US" w:eastAsia="zh-CN"/>
                    </w:rPr>
                    <w:t>70</w:t>
                  </w:r>
                </w:p>
              </w:tc>
            </w:tr>
            <w:tr w14:paraId="156ACA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20" w:type="dxa"/>
                  <w:vMerge w:val="continue"/>
                  <w:tcBorders>
                    <w:tl2br w:val="nil"/>
                    <w:tr2bl w:val="nil"/>
                  </w:tcBorders>
                  <w:vAlign w:val="center"/>
                </w:tcPr>
                <w:p w14:paraId="7568914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166" w:type="dxa"/>
                  <w:tcBorders>
                    <w:tl2br w:val="nil"/>
                    <w:tr2bl w:val="nil"/>
                  </w:tcBorders>
                  <w:vAlign w:val="center"/>
                </w:tcPr>
                <w:p w14:paraId="2F57DB9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下风向G2</w:t>
                  </w:r>
                </w:p>
              </w:tc>
              <w:tc>
                <w:tcPr>
                  <w:tcW w:w="1338" w:type="dxa"/>
                  <w:tcBorders>
                    <w:tl2br w:val="nil"/>
                    <w:tr2bl w:val="nil"/>
                  </w:tcBorders>
                  <w:vAlign w:val="center"/>
                </w:tcPr>
                <w:p w14:paraId="1CE521B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0.047</w:t>
                  </w:r>
                </w:p>
              </w:tc>
              <w:tc>
                <w:tcPr>
                  <w:tcW w:w="1338" w:type="dxa"/>
                  <w:tcBorders>
                    <w:tl2br w:val="nil"/>
                    <w:tr2bl w:val="nil"/>
                  </w:tcBorders>
                  <w:vAlign w:val="center"/>
                </w:tcPr>
                <w:p w14:paraId="6D1F6DA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0.052</w:t>
                  </w:r>
                </w:p>
              </w:tc>
              <w:tc>
                <w:tcPr>
                  <w:tcW w:w="1338" w:type="dxa"/>
                  <w:tcBorders>
                    <w:tl2br w:val="nil"/>
                    <w:tr2bl w:val="nil"/>
                  </w:tcBorders>
                  <w:vAlign w:val="center"/>
                </w:tcPr>
                <w:p w14:paraId="29EF025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0.044</w:t>
                  </w:r>
                </w:p>
              </w:tc>
              <w:tc>
                <w:tcPr>
                  <w:tcW w:w="1341" w:type="dxa"/>
                  <w:tcBorders>
                    <w:tl2br w:val="nil"/>
                    <w:tr2bl w:val="nil"/>
                  </w:tcBorders>
                  <w:vAlign w:val="center"/>
                </w:tcPr>
                <w:p w14:paraId="27321AE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0.061</w:t>
                  </w:r>
                </w:p>
              </w:tc>
              <w:tc>
                <w:tcPr>
                  <w:tcW w:w="868" w:type="dxa"/>
                  <w:vMerge w:val="continue"/>
                  <w:tcBorders>
                    <w:tl2br w:val="nil"/>
                    <w:tr2bl w:val="nil"/>
                  </w:tcBorders>
                  <w:vAlign w:val="center"/>
                </w:tcPr>
                <w:p w14:paraId="39E5D08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0F5FCCE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20" w:type="dxa"/>
                  <w:vMerge w:val="continue"/>
                  <w:tcBorders>
                    <w:tl2br w:val="nil"/>
                    <w:tr2bl w:val="nil"/>
                  </w:tcBorders>
                  <w:vAlign w:val="center"/>
                </w:tcPr>
                <w:p w14:paraId="702E24A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166" w:type="dxa"/>
                  <w:tcBorders>
                    <w:tl2br w:val="nil"/>
                    <w:tr2bl w:val="nil"/>
                  </w:tcBorders>
                  <w:vAlign w:val="center"/>
                </w:tcPr>
                <w:p w14:paraId="031FC3A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下风向G3</w:t>
                  </w:r>
                </w:p>
              </w:tc>
              <w:tc>
                <w:tcPr>
                  <w:tcW w:w="1338" w:type="dxa"/>
                  <w:tcBorders>
                    <w:tl2br w:val="nil"/>
                    <w:tr2bl w:val="nil"/>
                  </w:tcBorders>
                  <w:vAlign w:val="center"/>
                </w:tcPr>
                <w:p w14:paraId="5376457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0.054</w:t>
                  </w:r>
                </w:p>
              </w:tc>
              <w:tc>
                <w:tcPr>
                  <w:tcW w:w="1338" w:type="dxa"/>
                  <w:tcBorders>
                    <w:tl2br w:val="nil"/>
                    <w:tr2bl w:val="nil"/>
                  </w:tcBorders>
                  <w:vAlign w:val="center"/>
                </w:tcPr>
                <w:p w14:paraId="129D387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0.052</w:t>
                  </w:r>
                </w:p>
              </w:tc>
              <w:tc>
                <w:tcPr>
                  <w:tcW w:w="1338" w:type="dxa"/>
                  <w:tcBorders>
                    <w:tl2br w:val="nil"/>
                    <w:tr2bl w:val="nil"/>
                  </w:tcBorders>
                  <w:vAlign w:val="center"/>
                </w:tcPr>
                <w:p w14:paraId="744EBBF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0.056</w:t>
                  </w:r>
                </w:p>
              </w:tc>
              <w:tc>
                <w:tcPr>
                  <w:tcW w:w="1341" w:type="dxa"/>
                  <w:tcBorders>
                    <w:tl2br w:val="nil"/>
                    <w:tr2bl w:val="nil"/>
                  </w:tcBorders>
                  <w:vAlign w:val="center"/>
                </w:tcPr>
                <w:p w14:paraId="136690F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0.064</w:t>
                  </w:r>
                </w:p>
              </w:tc>
              <w:tc>
                <w:tcPr>
                  <w:tcW w:w="868" w:type="dxa"/>
                  <w:vMerge w:val="continue"/>
                  <w:tcBorders>
                    <w:tl2br w:val="nil"/>
                    <w:tr2bl w:val="nil"/>
                  </w:tcBorders>
                  <w:vAlign w:val="center"/>
                </w:tcPr>
                <w:p w14:paraId="562CD9F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696AD64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20" w:type="dxa"/>
                  <w:vMerge w:val="continue"/>
                  <w:tcBorders>
                    <w:tl2br w:val="nil"/>
                    <w:tr2bl w:val="nil"/>
                  </w:tcBorders>
                  <w:vAlign w:val="center"/>
                </w:tcPr>
                <w:p w14:paraId="2C8053B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166" w:type="dxa"/>
                  <w:tcBorders>
                    <w:tl2br w:val="nil"/>
                    <w:tr2bl w:val="nil"/>
                  </w:tcBorders>
                  <w:vAlign w:val="center"/>
                </w:tcPr>
                <w:p w14:paraId="565F164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下风向G4</w:t>
                  </w:r>
                </w:p>
              </w:tc>
              <w:tc>
                <w:tcPr>
                  <w:tcW w:w="1338" w:type="dxa"/>
                  <w:tcBorders>
                    <w:tl2br w:val="nil"/>
                    <w:tr2bl w:val="nil"/>
                  </w:tcBorders>
                  <w:vAlign w:val="center"/>
                </w:tcPr>
                <w:p w14:paraId="18BDCC1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0.066</w:t>
                  </w:r>
                </w:p>
              </w:tc>
              <w:tc>
                <w:tcPr>
                  <w:tcW w:w="1338" w:type="dxa"/>
                  <w:tcBorders>
                    <w:tl2br w:val="nil"/>
                    <w:tr2bl w:val="nil"/>
                  </w:tcBorders>
                  <w:vAlign w:val="center"/>
                </w:tcPr>
                <w:p w14:paraId="2756DC3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0.070</w:t>
                  </w:r>
                </w:p>
              </w:tc>
              <w:tc>
                <w:tcPr>
                  <w:tcW w:w="1338" w:type="dxa"/>
                  <w:tcBorders>
                    <w:tl2br w:val="nil"/>
                    <w:tr2bl w:val="nil"/>
                  </w:tcBorders>
                  <w:vAlign w:val="center"/>
                </w:tcPr>
                <w:p w14:paraId="65EE9D9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0.056</w:t>
                  </w:r>
                </w:p>
              </w:tc>
              <w:tc>
                <w:tcPr>
                  <w:tcW w:w="1341" w:type="dxa"/>
                  <w:tcBorders>
                    <w:tl2br w:val="nil"/>
                    <w:tr2bl w:val="nil"/>
                  </w:tcBorders>
                  <w:vAlign w:val="center"/>
                </w:tcPr>
                <w:p w14:paraId="089E240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0.066</w:t>
                  </w:r>
                </w:p>
              </w:tc>
              <w:tc>
                <w:tcPr>
                  <w:tcW w:w="868" w:type="dxa"/>
                  <w:vMerge w:val="continue"/>
                  <w:tcBorders>
                    <w:tl2br w:val="nil"/>
                    <w:tr2bl w:val="nil"/>
                  </w:tcBorders>
                  <w:vAlign w:val="center"/>
                </w:tcPr>
                <w:p w14:paraId="686694A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0F762C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20" w:type="dxa"/>
                  <w:vMerge w:val="restart"/>
                  <w:tcBorders>
                    <w:tl2br w:val="nil"/>
                    <w:tr2bl w:val="nil"/>
                  </w:tcBorders>
                  <w:vAlign w:val="center"/>
                </w:tcPr>
                <w:p w14:paraId="6223905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硫化氢</w:t>
                  </w:r>
                  <w:r>
                    <w:rPr>
                      <w:rFonts w:hint="default" w:ascii="Times New Roman" w:hAnsi="Times New Roman" w:cs="Times New Roman"/>
                      <w:color w:val="auto"/>
                      <w:kern w:val="0"/>
                      <w:sz w:val="21"/>
                      <w:szCs w:val="21"/>
                      <w:vertAlign w:val="baseline"/>
                      <w:lang w:val="en-US" w:eastAsia="zh-CN"/>
                    </w:rPr>
                    <w:t>（</w:t>
                  </w:r>
                  <w:r>
                    <w:rPr>
                      <w:rFonts w:hint="eastAsia" w:cs="Times New Roman"/>
                      <w:color w:val="auto"/>
                      <w:kern w:val="0"/>
                      <w:sz w:val="21"/>
                      <w:szCs w:val="21"/>
                      <w:vertAlign w:val="baseline"/>
                      <w:lang w:val="en-US" w:eastAsia="zh-CN"/>
                    </w:rPr>
                    <w:t>m</w:t>
                  </w:r>
                  <w:r>
                    <w:rPr>
                      <w:rFonts w:hint="default" w:ascii="Times New Roman" w:hAnsi="Times New Roman" w:cs="Times New Roman"/>
                      <w:color w:val="auto"/>
                      <w:kern w:val="0"/>
                      <w:sz w:val="21"/>
                      <w:szCs w:val="21"/>
                      <w:vertAlign w:val="baseline"/>
                      <w:lang w:val="en-US" w:eastAsia="zh-CN"/>
                    </w:rPr>
                    <w:t>g/m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w:t>
                  </w:r>
                </w:p>
              </w:tc>
              <w:tc>
                <w:tcPr>
                  <w:tcW w:w="1166" w:type="dxa"/>
                  <w:tcBorders>
                    <w:tl2br w:val="nil"/>
                    <w:tr2bl w:val="nil"/>
                  </w:tcBorders>
                  <w:vAlign w:val="center"/>
                </w:tcPr>
                <w:p w14:paraId="4A91824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上风向G1</w:t>
                  </w:r>
                </w:p>
              </w:tc>
              <w:tc>
                <w:tcPr>
                  <w:tcW w:w="1338" w:type="dxa"/>
                  <w:tcBorders>
                    <w:tl2br w:val="nil"/>
                    <w:tr2bl w:val="nil"/>
                  </w:tcBorders>
                  <w:vAlign w:val="center"/>
                </w:tcPr>
                <w:p w14:paraId="5CC2B01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38" w:type="dxa"/>
                  <w:tcBorders>
                    <w:tl2br w:val="nil"/>
                    <w:tr2bl w:val="nil"/>
                  </w:tcBorders>
                  <w:vAlign w:val="center"/>
                </w:tcPr>
                <w:p w14:paraId="08A5884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38" w:type="dxa"/>
                  <w:tcBorders>
                    <w:tl2br w:val="nil"/>
                    <w:tr2bl w:val="nil"/>
                  </w:tcBorders>
                  <w:vAlign w:val="center"/>
                </w:tcPr>
                <w:p w14:paraId="2061CF8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41" w:type="dxa"/>
                  <w:tcBorders>
                    <w:tl2br w:val="nil"/>
                    <w:tr2bl w:val="nil"/>
                  </w:tcBorders>
                  <w:vAlign w:val="center"/>
                </w:tcPr>
                <w:p w14:paraId="786AEA9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868" w:type="dxa"/>
                  <w:vMerge w:val="restart"/>
                  <w:tcBorders>
                    <w:tl2br w:val="nil"/>
                    <w:tr2bl w:val="nil"/>
                  </w:tcBorders>
                  <w:vAlign w:val="center"/>
                </w:tcPr>
                <w:p w14:paraId="7E09034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r>
            <w:tr w14:paraId="049221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20" w:type="dxa"/>
                  <w:vMerge w:val="continue"/>
                  <w:tcBorders>
                    <w:tl2br w:val="nil"/>
                    <w:tr2bl w:val="nil"/>
                  </w:tcBorders>
                  <w:vAlign w:val="center"/>
                </w:tcPr>
                <w:p w14:paraId="350110D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166" w:type="dxa"/>
                  <w:tcBorders>
                    <w:tl2br w:val="nil"/>
                    <w:tr2bl w:val="nil"/>
                  </w:tcBorders>
                  <w:vAlign w:val="center"/>
                </w:tcPr>
                <w:p w14:paraId="0106259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下风向G2</w:t>
                  </w:r>
                </w:p>
              </w:tc>
              <w:tc>
                <w:tcPr>
                  <w:tcW w:w="1338" w:type="dxa"/>
                  <w:tcBorders>
                    <w:tl2br w:val="nil"/>
                    <w:tr2bl w:val="nil"/>
                  </w:tcBorders>
                  <w:vAlign w:val="center"/>
                </w:tcPr>
                <w:p w14:paraId="0536FC9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38" w:type="dxa"/>
                  <w:tcBorders>
                    <w:tl2br w:val="nil"/>
                    <w:tr2bl w:val="nil"/>
                  </w:tcBorders>
                  <w:vAlign w:val="center"/>
                </w:tcPr>
                <w:p w14:paraId="5F36C1C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38" w:type="dxa"/>
                  <w:tcBorders>
                    <w:tl2br w:val="nil"/>
                    <w:tr2bl w:val="nil"/>
                  </w:tcBorders>
                  <w:vAlign w:val="center"/>
                </w:tcPr>
                <w:p w14:paraId="1D3518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41" w:type="dxa"/>
                  <w:tcBorders>
                    <w:tl2br w:val="nil"/>
                    <w:tr2bl w:val="nil"/>
                  </w:tcBorders>
                  <w:vAlign w:val="center"/>
                </w:tcPr>
                <w:p w14:paraId="73B0BD9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868" w:type="dxa"/>
                  <w:vMerge w:val="continue"/>
                  <w:tcBorders>
                    <w:tl2br w:val="nil"/>
                    <w:tr2bl w:val="nil"/>
                  </w:tcBorders>
                  <w:vAlign w:val="center"/>
                </w:tcPr>
                <w:p w14:paraId="32EF918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0C90008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20" w:type="dxa"/>
                  <w:vMerge w:val="continue"/>
                  <w:tcBorders>
                    <w:tl2br w:val="nil"/>
                    <w:tr2bl w:val="nil"/>
                  </w:tcBorders>
                  <w:vAlign w:val="center"/>
                </w:tcPr>
                <w:p w14:paraId="7916E11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166" w:type="dxa"/>
                  <w:tcBorders>
                    <w:tl2br w:val="nil"/>
                    <w:tr2bl w:val="nil"/>
                  </w:tcBorders>
                  <w:vAlign w:val="center"/>
                </w:tcPr>
                <w:p w14:paraId="0C335DA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下风向G3</w:t>
                  </w:r>
                </w:p>
              </w:tc>
              <w:tc>
                <w:tcPr>
                  <w:tcW w:w="1338" w:type="dxa"/>
                  <w:tcBorders>
                    <w:tl2br w:val="nil"/>
                    <w:tr2bl w:val="nil"/>
                  </w:tcBorders>
                  <w:vAlign w:val="center"/>
                </w:tcPr>
                <w:p w14:paraId="32BA3F4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38" w:type="dxa"/>
                  <w:tcBorders>
                    <w:tl2br w:val="nil"/>
                    <w:tr2bl w:val="nil"/>
                  </w:tcBorders>
                  <w:vAlign w:val="center"/>
                </w:tcPr>
                <w:p w14:paraId="67A792B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38" w:type="dxa"/>
                  <w:tcBorders>
                    <w:tl2br w:val="nil"/>
                    <w:tr2bl w:val="nil"/>
                  </w:tcBorders>
                  <w:vAlign w:val="center"/>
                </w:tcPr>
                <w:p w14:paraId="1AA4BC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41" w:type="dxa"/>
                  <w:tcBorders>
                    <w:tl2br w:val="nil"/>
                    <w:tr2bl w:val="nil"/>
                  </w:tcBorders>
                  <w:vAlign w:val="center"/>
                </w:tcPr>
                <w:p w14:paraId="1F8C4DB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868" w:type="dxa"/>
                  <w:vMerge w:val="continue"/>
                  <w:tcBorders>
                    <w:tl2br w:val="nil"/>
                    <w:tr2bl w:val="nil"/>
                  </w:tcBorders>
                  <w:vAlign w:val="center"/>
                </w:tcPr>
                <w:p w14:paraId="7D76F5F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08855B0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20" w:type="dxa"/>
                  <w:vMerge w:val="continue"/>
                  <w:tcBorders>
                    <w:tl2br w:val="nil"/>
                    <w:tr2bl w:val="nil"/>
                  </w:tcBorders>
                  <w:vAlign w:val="center"/>
                </w:tcPr>
                <w:p w14:paraId="57FEA23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166" w:type="dxa"/>
                  <w:tcBorders>
                    <w:tl2br w:val="nil"/>
                    <w:tr2bl w:val="nil"/>
                  </w:tcBorders>
                  <w:vAlign w:val="center"/>
                </w:tcPr>
                <w:p w14:paraId="2EADCBC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下风向G4</w:t>
                  </w:r>
                </w:p>
              </w:tc>
              <w:tc>
                <w:tcPr>
                  <w:tcW w:w="1338" w:type="dxa"/>
                  <w:tcBorders>
                    <w:tl2br w:val="nil"/>
                    <w:tr2bl w:val="nil"/>
                  </w:tcBorders>
                  <w:vAlign w:val="center"/>
                </w:tcPr>
                <w:p w14:paraId="2581B62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38" w:type="dxa"/>
                  <w:tcBorders>
                    <w:tl2br w:val="nil"/>
                    <w:tr2bl w:val="nil"/>
                  </w:tcBorders>
                  <w:vAlign w:val="center"/>
                </w:tcPr>
                <w:p w14:paraId="528429E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38" w:type="dxa"/>
                  <w:tcBorders>
                    <w:tl2br w:val="nil"/>
                    <w:tr2bl w:val="nil"/>
                  </w:tcBorders>
                  <w:vAlign w:val="center"/>
                </w:tcPr>
                <w:p w14:paraId="47EB918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41" w:type="dxa"/>
                  <w:tcBorders>
                    <w:tl2br w:val="nil"/>
                    <w:tr2bl w:val="nil"/>
                  </w:tcBorders>
                  <w:vAlign w:val="center"/>
                </w:tcPr>
                <w:p w14:paraId="07E104B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868" w:type="dxa"/>
                  <w:vMerge w:val="continue"/>
                  <w:tcBorders>
                    <w:tl2br w:val="nil"/>
                    <w:tr2bl w:val="nil"/>
                  </w:tcBorders>
                  <w:vAlign w:val="center"/>
                </w:tcPr>
                <w:p w14:paraId="4DD09B5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41FC992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20" w:type="dxa"/>
                  <w:vMerge w:val="restart"/>
                  <w:tcBorders>
                    <w:tl2br w:val="nil"/>
                    <w:tr2bl w:val="nil"/>
                  </w:tcBorders>
                  <w:vAlign w:val="center"/>
                </w:tcPr>
                <w:p w14:paraId="736A899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臭气浓度</w:t>
                  </w:r>
                  <w:r>
                    <w:rPr>
                      <w:rFonts w:hint="default" w:ascii="Times New Roman" w:hAnsi="Times New Roman" w:cs="Times New Roman"/>
                      <w:color w:val="auto"/>
                      <w:kern w:val="0"/>
                      <w:sz w:val="21"/>
                      <w:szCs w:val="21"/>
                      <w:vertAlign w:val="baseline"/>
                      <w:lang w:val="en-US" w:eastAsia="zh-CN"/>
                    </w:rPr>
                    <w:t>（</w:t>
                  </w:r>
                  <w:r>
                    <w:rPr>
                      <w:rFonts w:hint="eastAsia" w:cs="Times New Roman"/>
                      <w:color w:val="auto"/>
                      <w:kern w:val="0"/>
                      <w:sz w:val="21"/>
                      <w:szCs w:val="21"/>
                      <w:vertAlign w:val="baseline"/>
                      <w:lang w:val="en-US" w:eastAsia="zh-CN"/>
                    </w:rPr>
                    <w:t>无量纲</w:t>
                  </w:r>
                  <w:r>
                    <w:rPr>
                      <w:rFonts w:hint="default" w:ascii="Times New Roman" w:hAnsi="Times New Roman" w:cs="Times New Roman"/>
                      <w:color w:val="auto"/>
                      <w:kern w:val="0"/>
                      <w:sz w:val="21"/>
                      <w:szCs w:val="21"/>
                      <w:vertAlign w:val="baseline"/>
                      <w:lang w:val="en-US" w:eastAsia="zh-CN"/>
                    </w:rPr>
                    <w:t>）</w:t>
                  </w:r>
                </w:p>
              </w:tc>
              <w:tc>
                <w:tcPr>
                  <w:tcW w:w="1166" w:type="dxa"/>
                  <w:tcBorders>
                    <w:tl2br w:val="nil"/>
                    <w:tr2bl w:val="nil"/>
                  </w:tcBorders>
                  <w:shd w:val="clear" w:color="auto" w:fill="auto"/>
                  <w:vAlign w:val="center"/>
                </w:tcPr>
                <w:p w14:paraId="4D3B6A7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rPr>
                    <w:t>上风向G1</w:t>
                  </w:r>
                </w:p>
              </w:tc>
              <w:tc>
                <w:tcPr>
                  <w:tcW w:w="1338" w:type="dxa"/>
                  <w:tcBorders>
                    <w:tl2br w:val="nil"/>
                    <w:tr2bl w:val="nil"/>
                  </w:tcBorders>
                  <w:vAlign w:val="center"/>
                </w:tcPr>
                <w:p w14:paraId="5917299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38" w:type="dxa"/>
                  <w:tcBorders>
                    <w:tl2br w:val="nil"/>
                    <w:tr2bl w:val="nil"/>
                  </w:tcBorders>
                  <w:vAlign w:val="center"/>
                </w:tcPr>
                <w:p w14:paraId="4658AD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38" w:type="dxa"/>
                  <w:tcBorders>
                    <w:tl2br w:val="nil"/>
                    <w:tr2bl w:val="nil"/>
                  </w:tcBorders>
                  <w:vAlign w:val="center"/>
                </w:tcPr>
                <w:p w14:paraId="6221484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41" w:type="dxa"/>
                  <w:tcBorders>
                    <w:tl2br w:val="nil"/>
                    <w:tr2bl w:val="nil"/>
                  </w:tcBorders>
                  <w:vAlign w:val="center"/>
                </w:tcPr>
                <w:p w14:paraId="47FEA7D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868" w:type="dxa"/>
                  <w:vMerge w:val="restart"/>
                  <w:tcBorders>
                    <w:tl2br w:val="nil"/>
                    <w:tr2bl w:val="nil"/>
                  </w:tcBorders>
                  <w:vAlign w:val="center"/>
                </w:tcPr>
                <w:p w14:paraId="20AF7D0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lang w:val="en-US" w:eastAsia="zh-CN"/>
                    </w:rPr>
                  </w:pPr>
                  <w:r>
                    <w:rPr>
                      <w:rFonts w:hint="eastAsia" w:cs="Times New Roman"/>
                      <w:color w:val="auto"/>
                      <w:kern w:val="0"/>
                      <w:sz w:val="21"/>
                      <w:szCs w:val="21"/>
                      <w:vertAlign w:val="baseline"/>
                      <w:lang w:val="en-US" w:eastAsia="zh-CN"/>
                    </w:rPr>
                    <w:t>19</w:t>
                  </w:r>
                </w:p>
              </w:tc>
            </w:tr>
            <w:tr w14:paraId="034BD6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20" w:type="dxa"/>
                  <w:vMerge w:val="continue"/>
                  <w:tcBorders>
                    <w:tl2br w:val="nil"/>
                    <w:tr2bl w:val="nil"/>
                  </w:tcBorders>
                  <w:vAlign w:val="center"/>
                </w:tcPr>
                <w:p w14:paraId="4633CC8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166" w:type="dxa"/>
                  <w:tcBorders>
                    <w:tl2br w:val="nil"/>
                    <w:tr2bl w:val="nil"/>
                  </w:tcBorders>
                  <w:shd w:val="clear" w:color="auto" w:fill="auto"/>
                  <w:vAlign w:val="center"/>
                </w:tcPr>
                <w:p w14:paraId="01FE3F5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rPr>
                    <w:t>下风向G2</w:t>
                  </w:r>
                </w:p>
              </w:tc>
              <w:tc>
                <w:tcPr>
                  <w:tcW w:w="1338" w:type="dxa"/>
                  <w:tcBorders>
                    <w:tl2br w:val="nil"/>
                    <w:tr2bl w:val="nil"/>
                  </w:tcBorders>
                  <w:vAlign w:val="center"/>
                </w:tcPr>
                <w:p w14:paraId="17194A1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38" w:type="dxa"/>
                  <w:tcBorders>
                    <w:tl2br w:val="nil"/>
                    <w:tr2bl w:val="nil"/>
                  </w:tcBorders>
                  <w:vAlign w:val="center"/>
                </w:tcPr>
                <w:p w14:paraId="412AB72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38" w:type="dxa"/>
                  <w:tcBorders>
                    <w:tl2br w:val="nil"/>
                    <w:tr2bl w:val="nil"/>
                  </w:tcBorders>
                  <w:vAlign w:val="center"/>
                </w:tcPr>
                <w:p w14:paraId="025A433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19</w:t>
                  </w:r>
                </w:p>
              </w:tc>
              <w:tc>
                <w:tcPr>
                  <w:tcW w:w="1341" w:type="dxa"/>
                  <w:tcBorders>
                    <w:tl2br w:val="nil"/>
                    <w:tr2bl w:val="nil"/>
                  </w:tcBorders>
                  <w:vAlign w:val="center"/>
                </w:tcPr>
                <w:p w14:paraId="31645BD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868" w:type="dxa"/>
                  <w:vMerge w:val="continue"/>
                  <w:tcBorders>
                    <w:tl2br w:val="nil"/>
                    <w:tr2bl w:val="nil"/>
                  </w:tcBorders>
                  <w:vAlign w:val="center"/>
                </w:tcPr>
                <w:p w14:paraId="5EE2B0C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285E5EE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20" w:type="dxa"/>
                  <w:vMerge w:val="continue"/>
                  <w:tcBorders>
                    <w:tl2br w:val="nil"/>
                    <w:tr2bl w:val="nil"/>
                  </w:tcBorders>
                  <w:vAlign w:val="center"/>
                </w:tcPr>
                <w:p w14:paraId="6B1084B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166" w:type="dxa"/>
                  <w:tcBorders>
                    <w:tl2br w:val="nil"/>
                    <w:tr2bl w:val="nil"/>
                  </w:tcBorders>
                  <w:shd w:val="clear" w:color="auto" w:fill="auto"/>
                  <w:vAlign w:val="center"/>
                </w:tcPr>
                <w:p w14:paraId="5F139C7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rPr>
                    <w:t>下风向G3</w:t>
                  </w:r>
                </w:p>
              </w:tc>
              <w:tc>
                <w:tcPr>
                  <w:tcW w:w="1338" w:type="dxa"/>
                  <w:tcBorders>
                    <w:tl2br w:val="nil"/>
                    <w:tr2bl w:val="nil"/>
                  </w:tcBorders>
                  <w:vAlign w:val="center"/>
                </w:tcPr>
                <w:p w14:paraId="3BF2494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38" w:type="dxa"/>
                  <w:tcBorders>
                    <w:tl2br w:val="nil"/>
                    <w:tr2bl w:val="nil"/>
                  </w:tcBorders>
                  <w:vAlign w:val="center"/>
                </w:tcPr>
                <w:p w14:paraId="5F4C9F2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38" w:type="dxa"/>
                  <w:tcBorders>
                    <w:tl2br w:val="nil"/>
                    <w:tr2bl w:val="nil"/>
                  </w:tcBorders>
                  <w:vAlign w:val="center"/>
                </w:tcPr>
                <w:p w14:paraId="2CA790A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41" w:type="dxa"/>
                  <w:tcBorders>
                    <w:tl2br w:val="nil"/>
                    <w:tr2bl w:val="nil"/>
                  </w:tcBorders>
                  <w:vAlign w:val="center"/>
                </w:tcPr>
                <w:p w14:paraId="61AD426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868" w:type="dxa"/>
                  <w:vMerge w:val="continue"/>
                  <w:tcBorders>
                    <w:tl2br w:val="nil"/>
                    <w:tr2bl w:val="nil"/>
                  </w:tcBorders>
                  <w:vAlign w:val="center"/>
                </w:tcPr>
                <w:p w14:paraId="47777FC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372D460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20" w:type="dxa"/>
                  <w:vMerge w:val="continue"/>
                  <w:tcBorders>
                    <w:tl2br w:val="nil"/>
                    <w:tr2bl w:val="nil"/>
                  </w:tcBorders>
                  <w:vAlign w:val="center"/>
                </w:tcPr>
                <w:p w14:paraId="02C20BD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166" w:type="dxa"/>
                  <w:tcBorders>
                    <w:tl2br w:val="nil"/>
                    <w:tr2bl w:val="nil"/>
                  </w:tcBorders>
                  <w:shd w:val="clear" w:color="auto" w:fill="auto"/>
                  <w:vAlign w:val="center"/>
                </w:tcPr>
                <w:p w14:paraId="0B8BF58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rPr>
                    <w:t>下风向G4</w:t>
                  </w:r>
                </w:p>
              </w:tc>
              <w:tc>
                <w:tcPr>
                  <w:tcW w:w="1338" w:type="dxa"/>
                  <w:tcBorders>
                    <w:tl2br w:val="nil"/>
                    <w:tr2bl w:val="nil"/>
                  </w:tcBorders>
                  <w:vAlign w:val="center"/>
                </w:tcPr>
                <w:p w14:paraId="02A72F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38" w:type="dxa"/>
                  <w:tcBorders>
                    <w:tl2br w:val="nil"/>
                    <w:tr2bl w:val="nil"/>
                  </w:tcBorders>
                  <w:vAlign w:val="center"/>
                </w:tcPr>
                <w:p w14:paraId="1BC8926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38" w:type="dxa"/>
                  <w:tcBorders>
                    <w:tl2br w:val="nil"/>
                    <w:tr2bl w:val="nil"/>
                  </w:tcBorders>
                  <w:vAlign w:val="center"/>
                </w:tcPr>
                <w:p w14:paraId="6B8CCCD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1341" w:type="dxa"/>
                  <w:tcBorders>
                    <w:tl2br w:val="nil"/>
                    <w:tr2bl w:val="nil"/>
                  </w:tcBorders>
                  <w:vAlign w:val="center"/>
                </w:tcPr>
                <w:p w14:paraId="43439AB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ND</w:t>
                  </w:r>
                </w:p>
              </w:tc>
              <w:tc>
                <w:tcPr>
                  <w:tcW w:w="868" w:type="dxa"/>
                  <w:vMerge w:val="continue"/>
                  <w:tcBorders>
                    <w:tl2br w:val="nil"/>
                    <w:tr2bl w:val="nil"/>
                  </w:tcBorders>
                  <w:vAlign w:val="center"/>
                </w:tcPr>
                <w:p w14:paraId="08CC4A6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3AFEFAC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20" w:type="dxa"/>
                  <w:vMerge w:val="restart"/>
                  <w:tcBorders>
                    <w:tl2br w:val="nil"/>
                    <w:tr2bl w:val="nil"/>
                  </w:tcBorders>
                  <w:vAlign w:val="center"/>
                </w:tcPr>
                <w:p w14:paraId="30CC5DC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现场检测条件</w:t>
                  </w:r>
                </w:p>
              </w:tc>
              <w:tc>
                <w:tcPr>
                  <w:tcW w:w="1166" w:type="dxa"/>
                  <w:tcBorders>
                    <w:tl2br w:val="nil"/>
                    <w:tr2bl w:val="nil"/>
                  </w:tcBorders>
                  <w:vAlign w:val="center"/>
                </w:tcPr>
                <w:p w14:paraId="757DB3A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温度（℃）</w:t>
                  </w:r>
                </w:p>
              </w:tc>
              <w:tc>
                <w:tcPr>
                  <w:tcW w:w="1338" w:type="dxa"/>
                  <w:tcBorders>
                    <w:tl2br w:val="nil"/>
                    <w:tr2bl w:val="nil"/>
                  </w:tcBorders>
                  <w:vAlign w:val="center"/>
                </w:tcPr>
                <w:p w14:paraId="6DEDA37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29.7</w:t>
                  </w:r>
                </w:p>
              </w:tc>
              <w:tc>
                <w:tcPr>
                  <w:tcW w:w="1338" w:type="dxa"/>
                  <w:tcBorders>
                    <w:tl2br w:val="nil"/>
                    <w:tr2bl w:val="nil"/>
                  </w:tcBorders>
                  <w:vAlign w:val="center"/>
                </w:tcPr>
                <w:p w14:paraId="5E9634E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30.0</w:t>
                  </w:r>
                </w:p>
              </w:tc>
              <w:tc>
                <w:tcPr>
                  <w:tcW w:w="1338" w:type="dxa"/>
                  <w:tcBorders>
                    <w:tl2br w:val="nil"/>
                    <w:tr2bl w:val="nil"/>
                  </w:tcBorders>
                  <w:vAlign w:val="center"/>
                </w:tcPr>
                <w:p w14:paraId="46DB5A7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30.3</w:t>
                  </w:r>
                </w:p>
              </w:tc>
              <w:tc>
                <w:tcPr>
                  <w:tcW w:w="1341" w:type="dxa"/>
                  <w:tcBorders>
                    <w:tl2br w:val="nil"/>
                    <w:tr2bl w:val="nil"/>
                  </w:tcBorders>
                  <w:vAlign w:val="center"/>
                </w:tcPr>
                <w:p w14:paraId="54962BC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30.8</w:t>
                  </w:r>
                </w:p>
              </w:tc>
              <w:tc>
                <w:tcPr>
                  <w:tcW w:w="868" w:type="dxa"/>
                  <w:vMerge w:val="restart"/>
                  <w:tcBorders>
                    <w:tl2br w:val="nil"/>
                    <w:tr2bl w:val="nil"/>
                  </w:tcBorders>
                  <w:vAlign w:val="center"/>
                </w:tcPr>
                <w:p w14:paraId="4BCCCEB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w:t>
                  </w:r>
                </w:p>
              </w:tc>
            </w:tr>
            <w:tr w14:paraId="61D8E32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20" w:type="dxa"/>
                  <w:vMerge w:val="continue"/>
                  <w:tcBorders>
                    <w:tl2br w:val="nil"/>
                    <w:tr2bl w:val="nil"/>
                  </w:tcBorders>
                  <w:vAlign w:val="center"/>
                </w:tcPr>
                <w:p w14:paraId="4A3EE00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166" w:type="dxa"/>
                  <w:tcBorders>
                    <w:tl2br w:val="nil"/>
                    <w:tr2bl w:val="nil"/>
                  </w:tcBorders>
                  <w:vAlign w:val="center"/>
                </w:tcPr>
                <w:p w14:paraId="18E1BD7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相对湿度（%）</w:t>
                  </w:r>
                </w:p>
              </w:tc>
              <w:tc>
                <w:tcPr>
                  <w:tcW w:w="1338" w:type="dxa"/>
                  <w:tcBorders>
                    <w:tl2br w:val="nil"/>
                    <w:tr2bl w:val="nil"/>
                  </w:tcBorders>
                  <w:vAlign w:val="center"/>
                </w:tcPr>
                <w:p w14:paraId="5796661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64.7</w:t>
                  </w:r>
                </w:p>
              </w:tc>
              <w:tc>
                <w:tcPr>
                  <w:tcW w:w="1338" w:type="dxa"/>
                  <w:tcBorders>
                    <w:tl2br w:val="nil"/>
                    <w:tr2bl w:val="nil"/>
                  </w:tcBorders>
                  <w:vAlign w:val="center"/>
                </w:tcPr>
                <w:p w14:paraId="033A6C3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62.9</w:t>
                  </w:r>
                </w:p>
              </w:tc>
              <w:tc>
                <w:tcPr>
                  <w:tcW w:w="1338" w:type="dxa"/>
                  <w:tcBorders>
                    <w:tl2br w:val="nil"/>
                    <w:tr2bl w:val="nil"/>
                  </w:tcBorders>
                  <w:vAlign w:val="center"/>
                </w:tcPr>
                <w:p w14:paraId="1FCA703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61.4</w:t>
                  </w:r>
                </w:p>
              </w:tc>
              <w:tc>
                <w:tcPr>
                  <w:tcW w:w="1341" w:type="dxa"/>
                  <w:tcBorders>
                    <w:tl2br w:val="nil"/>
                    <w:tr2bl w:val="nil"/>
                  </w:tcBorders>
                  <w:vAlign w:val="center"/>
                </w:tcPr>
                <w:p w14:paraId="78C0BA5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60.5</w:t>
                  </w:r>
                </w:p>
              </w:tc>
              <w:tc>
                <w:tcPr>
                  <w:tcW w:w="868" w:type="dxa"/>
                  <w:vMerge w:val="continue"/>
                  <w:tcBorders>
                    <w:tl2br w:val="nil"/>
                    <w:tr2bl w:val="nil"/>
                  </w:tcBorders>
                  <w:vAlign w:val="center"/>
                </w:tcPr>
                <w:p w14:paraId="02E98EC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2C8E920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20" w:type="dxa"/>
                  <w:vMerge w:val="continue"/>
                  <w:tcBorders>
                    <w:tl2br w:val="nil"/>
                    <w:tr2bl w:val="nil"/>
                  </w:tcBorders>
                  <w:vAlign w:val="center"/>
                </w:tcPr>
                <w:p w14:paraId="717302A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166" w:type="dxa"/>
                  <w:tcBorders>
                    <w:tl2br w:val="nil"/>
                    <w:tr2bl w:val="nil"/>
                  </w:tcBorders>
                  <w:vAlign w:val="center"/>
                </w:tcPr>
                <w:p w14:paraId="43B56A2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气压（kPa）</w:t>
                  </w:r>
                </w:p>
              </w:tc>
              <w:tc>
                <w:tcPr>
                  <w:tcW w:w="1338" w:type="dxa"/>
                  <w:tcBorders>
                    <w:tl2br w:val="nil"/>
                    <w:tr2bl w:val="nil"/>
                  </w:tcBorders>
                  <w:vAlign w:val="center"/>
                </w:tcPr>
                <w:p w14:paraId="5EB947E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100.30</w:t>
                  </w:r>
                </w:p>
              </w:tc>
              <w:tc>
                <w:tcPr>
                  <w:tcW w:w="1338" w:type="dxa"/>
                  <w:tcBorders>
                    <w:tl2br w:val="nil"/>
                    <w:tr2bl w:val="nil"/>
                  </w:tcBorders>
                  <w:vAlign w:val="center"/>
                </w:tcPr>
                <w:p w14:paraId="089D4A3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100.25</w:t>
                  </w:r>
                </w:p>
              </w:tc>
              <w:tc>
                <w:tcPr>
                  <w:tcW w:w="1338" w:type="dxa"/>
                  <w:tcBorders>
                    <w:tl2br w:val="nil"/>
                    <w:tr2bl w:val="nil"/>
                  </w:tcBorders>
                  <w:vAlign w:val="center"/>
                </w:tcPr>
                <w:p w14:paraId="4DA5EE3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100.23</w:t>
                  </w:r>
                </w:p>
              </w:tc>
              <w:tc>
                <w:tcPr>
                  <w:tcW w:w="1341" w:type="dxa"/>
                  <w:tcBorders>
                    <w:tl2br w:val="nil"/>
                    <w:tr2bl w:val="nil"/>
                  </w:tcBorders>
                  <w:vAlign w:val="center"/>
                </w:tcPr>
                <w:p w14:paraId="5E68251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100.17</w:t>
                  </w:r>
                </w:p>
              </w:tc>
              <w:tc>
                <w:tcPr>
                  <w:tcW w:w="868" w:type="dxa"/>
                  <w:vMerge w:val="continue"/>
                  <w:tcBorders>
                    <w:tl2br w:val="nil"/>
                    <w:tr2bl w:val="nil"/>
                  </w:tcBorders>
                  <w:vAlign w:val="center"/>
                </w:tcPr>
                <w:p w14:paraId="240937C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495E5E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20" w:type="dxa"/>
                  <w:vMerge w:val="continue"/>
                  <w:tcBorders>
                    <w:tl2br w:val="nil"/>
                    <w:tr2bl w:val="nil"/>
                  </w:tcBorders>
                  <w:vAlign w:val="center"/>
                </w:tcPr>
                <w:p w14:paraId="078D65D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166" w:type="dxa"/>
                  <w:tcBorders>
                    <w:tl2br w:val="nil"/>
                    <w:tr2bl w:val="nil"/>
                  </w:tcBorders>
                  <w:vAlign w:val="center"/>
                </w:tcPr>
                <w:p w14:paraId="438387E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风速（m/s）</w:t>
                  </w:r>
                </w:p>
              </w:tc>
              <w:tc>
                <w:tcPr>
                  <w:tcW w:w="1338" w:type="dxa"/>
                  <w:tcBorders>
                    <w:tl2br w:val="nil"/>
                    <w:tr2bl w:val="nil"/>
                  </w:tcBorders>
                  <w:vAlign w:val="center"/>
                </w:tcPr>
                <w:p w14:paraId="007051D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2.5</w:t>
                  </w:r>
                </w:p>
              </w:tc>
              <w:tc>
                <w:tcPr>
                  <w:tcW w:w="1338" w:type="dxa"/>
                  <w:tcBorders>
                    <w:tl2br w:val="nil"/>
                    <w:tr2bl w:val="nil"/>
                  </w:tcBorders>
                  <w:vAlign w:val="center"/>
                </w:tcPr>
                <w:p w14:paraId="6895673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2.6</w:t>
                  </w:r>
                </w:p>
              </w:tc>
              <w:tc>
                <w:tcPr>
                  <w:tcW w:w="1338" w:type="dxa"/>
                  <w:tcBorders>
                    <w:tl2br w:val="nil"/>
                    <w:tr2bl w:val="nil"/>
                  </w:tcBorders>
                  <w:vAlign w:val="center"/>
                </w:tcPr>
                <w:p w14:paraId="26E8D23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2.5</w:t>
                  </w:r>
                </w:p>
              </w:tc>
              <w:tc>
                <w:tcPr>
                  <w:tcW w:w="1341" w:type="dxa"/>
                  <w:tcBorders>
                    <w:tl2br w:val="nil"/>
                    <w:tr2bl w:val="nil"/>
                  </w:tcBorders>
                  <w:vAlign w:val="center"/>
                </w:tcPr>
                <w:p w14:paraId="0FEA2E7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2.4</w:t>
                  </w:r>
                </w:p>
              </w:tc>
              <w:tc>
                <w:tcPr>
                  <w:tcW w:w="868" w:type="dxa"/>
                  <w:vMerge w:val="continue"/>
                  <w:tcBorders>
                    <w:tl2br w:val="nil"/>
                    <w:tr2bl w:val="nil"/>
                  </w:tcBorders>
                  <w:vAlign w:val="center"/>
                </w:tcPr>
                <w:p w14:paraId="32BB743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03BF64A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220" w:type="dxa"/>
                  <w:vMerge w:val="continue"/>
                  <w:tcBorders>
                    <w:tl2br w:val="nil"/>
                    <w:tr2bl w:val="nil"/>
                  </w:tcBorders>
                  <w:vAlign w:val="center"/>
                </w:tcPr>
                <w:p w14:paraId="3C3F0FD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c>
                <w:tcPr>
                  <w:tcW w:w="1166" w:type="dxa"/>
                  <w:tcBorders>
                    <w:tl2br w:val="nil"/>
                    <w:tr2bl w:val="nil"/>
                  </w:tcBorders>
                  <w:vAlign w:val="center"/>
                </w:tcPr>
                <w:p w14:paraId="19ADA35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风向</w:t>
                  </w:r>
                </w:p>
              </w:tc>
              <w:tc>
                <w:tcPr>
                  <w:tcW w:w="1338" w:type="dxa"/>
                  <w:tcBorders>
                    <w:tl2br w:val="nil"/>
                    <w:tr2bl w:val="nil"/>
                  </w:tcBorders>
                  <w:vAlign w:val="center"/>
                </w:tcPr>
                <w:p w14:paraId="72B23F0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东</w:t>
                  </w:r>
                </w:p>
              </w:tc>
              <w:tc>
                <w:tcPr>
                  <w:tcW w:w="1338" w:type="dxa"/>
                  <w:tcBorders>
                    <w:tl2br w:val="nil"/>
                    <w:tr2bl w:val="nil"/>
                  </w:tcBorders>
                  <w:vAlign w:val="center"/>
                </w:tcPr>
                <w:p w14:paraId="430AF67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东</w:t>
                  </w:r>
                </w:p>
              </w:tc>
              <w:tc>
                <w:tcPr>
                  <w:tcW w:w="1338" w:type="dxa"/>
                  <w:tcBorders>
                    <w:tl2br w:val="nil"/>
                    <w:tr2bl w:val="nil"/>
                  </w:tcBorders>
                  <w:vAlign w:val="center"/>
                </w:tcPr>
                <w:p w14:paraId="024676F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东</w:t>
                  </w:r>
                </w:p>
              </w:tc>
              <w:tc>
                <w:tcPr>
                  <w:tcW w:w="1341" w:type="dxa"/>
                  <w:tcBorders>
                    <w:tl2br w:val="nil"/>
                    <w:tr2bl w:val="nil"/>
                  </w:tcBorders>
                  <w:vAlign w:val="center"/>
                </w:tcPr>
                <w:p w14:paraId="5FBFD1D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东</w:t>
                  </w:r>
                </w:p>
              </w:tc>
              <w:tc>
                <w:tcPr>
                  <w:tcW w:w="868" w:type="dxa"/>
                  <w:vMerge w:val="continue"/>
                  <w:tcBorders>
                    <w:tl2br w:val="nil"/>
                    <w:tr2bl w:val="nil"/>
                  </w:tcBorders>
                  <w:vAlign w:val="center"/>
                </w:tcPr>
                <w:p w14:paraId="12D0DE3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vertAlign w:val="baseline"/>
                      <w:lang w:val="en-US" w:eastAsia="zh-CN"/>
                    </w:rPr>
                  </w:pPr>
                </w:p>
              </w:tc>
            </w:tr>
            <w:tr w14:paraId="370C389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609" w:type="dxa"/>
                  <w:gridSpan w:val="7"/>
                  <w:tcBorders>
                    <w:tl2br w:val="nil"/>
                    <w:tr2bl w:val="nil"/>
                  </w:tcBorders>
                  <w:vAlign w:val="center"/>
                </w:tcPr>
                <w:p w14:paraId="21F1F6C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注：ND代表未检出，</w:t>
                  </w:r>
                  <w:r>
                    <w:rPr>
                      <w:rFonts w:hint="eastAsia" w:cs="Times New Roman"/>
                      <w:color w:val="auto"/>
                      <w:kern w:val="0"/>
                      <w:sz w:val="21"/>
                      <w:szCs w:val="21"/>
                      <w:vertAlign w:val="baseline"/>
                      <w:lang w:val="en-US" w:eastAsia="zh-CN"/>
                    </w:rPr>
                    <w:t>硫化氢</w:t>
                  </w:r>
                  <w:r>
                    <w:rPr>
                      <w:rFonts w:hint="eastAsia" w:ascii="Times New Roman" w:hAnsi="Times New Roman" w:cs="Times New Roman"/>
                      <w:color w:val="auto"/>
                      <w:kern w:val="0"/>
                      <w:sz w:val="21"/>
                      <w:szCs w:val="21"/>
                      <w:vertAlign w:val="baseline"/>
                      <w:lang w:val="en-US" w:eastAsia="zh-CN"/>
                    </w:rPr>
                    <w:t>的检出限为0.0</w:t>
                  </w:r>
                  <w:r>
                    <w:rPr>
                      <w:rFonts w:hint="eastAsia" w:cs="Times New Roman"/>
                      <w:color w:val="auto"/>
                      <w:kern w:val="0"/>
                      <w:sz w:val="21"/>
                      <w:szCs w:val="21"/>
                      <w:vertAlign w:val="baseline"/>
                      <w:lang w:val="en-US" w:eastAsia="zh-CN"/>
                    </w:rPr>
                    <w:t>01</w:t>
                  </w:r>
                  <w:r>
                    <w:rPr>
                      <w:rFonts w:hint="default" w:ascii="Times New Roman" w:hAnsi="Times New Roman" w:cs="Times New Roman"/>
                      <w:color w:val="auto"/>
                      <w:kern w:val="0"/>
                      <w:sz w:val="21"/>
                      <w:szCs w:val="21"/>
                      <w:vertAlign w:val="baseline"/>
                      <w:lang w:val="en-US" w:eastAsia="zh-CN"/>
                    </w:rPr>
                    <w:t>mg/m</w:t>
                  </w:r>
                  <w:r>
                    <w:rPr>
                      <w:rFonts w:hint="default" w:ascii="Times New Roman" w:hAnsi="Times New Roman" w:cs="Times New Roman"/>
                      <w:color w:val="auto"/>
                      <w:kern w:val="0"/>
                      <w:sz w:val="21"/>
                      <w:szCs w:val="21"/>
                      <w:vertAlign w:val="superscript"/>
                      <w:lang w:val="en-US" w:eastAsia="zh-CN"/>
                    </w:rPr>
                    <w:t>3</w:t>
                  </w:r>
                  <w:r>
                    <w:rPr>
                      <w:rFonts w:hint="eastAsia" w:cs="Times New Roman"/>
                      <w:color w:val="auto"/>
                      <w:kern w:val="0"/>
                      <w:sz w:val="21"/>
                      <w:szCs w:val="21"/>
                      <w:vertAlign w:val="baseline"/>
                      <w:lang w:val="en-US" w:eastAsia="zh-CN"/>
                    </w:rPr>
                    <w:t>（以60L计），臭气浓度的检出限为10。</w:t>
                  </w:r>
                </w:p>
              </w:tc>
            </w:tr>
          </w:tbl>
          <w:p w14:paraId="47D8F8A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kern w:val="0"/>
                <w:sz w:val="21"/>
                <w:szCs w:val="21"/>
                <w:lang w:val="en-US" w:eastAsia="zh-CN"/>
              </w:rPr>
            </w:pPr>
            <w:r>
              <w:rPr>
                <w:rFonts w:hint="eastAsia"/>
                <w:color w:val="auto"/>
                <w:kern w:val="0"/>
                <w:sz w:val="21"/>
                <w:szCs w:val="21"/>
                <w:lang w:val="en-US" w:eastAsia="zh-CN"/>
              </w:rPr>
              <w:t>经监测，企业烘干废气排气筒所测非甲烷总烃排放速率和排放浓度均符合《大气污染物综合排放标准》（DB3214041-2021）表1标准；销毁工房废气颗粒物、二氧化硫、氮氧化物排放浓度均符合《危险废物焚烧污染控制标准》（GB18484-2020）表3标准要求，非甲烷总烃的排放浓度和排放速率均符合《大气污染物综合排放标准》（DB32/4041-2021）表1标准；焊接废气排气筒所测颗粒物排放浓度和排放速率均符合《大气污染物综合排放标准》（DB3214041-2021）表1标准。</w:t>
            </w:r>
          </w:p>
          <w:p w14:paraId="2444BC7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color w:val="auto"/>
                <w:kern w:val="0"/>
                <w:sz w:val="21"/>
                <w:szCs w:val="21"/>
                <w:lang w:val="en-US" w:eastAsia="zh-CN"/>
              </w:rPr>
            </w:pPr>
            <w:r>
              <w:rPr>
                <w:rFonts w:hint="default"/>
                <w:color w:val="auto"/>
                <w:kern w:val="0"/>
                <w:sz w:val="21"/>
                <w:szCs w:val="21"/>
                <w:lang w:val="en-US" w:eastAsia="zh-CN"/>
              </w:rPr>
              <w:t>无组织排放废气中非甲烷总烃边界外浓度最高值均符合《江苏省大气污染物综合排放标准》</w:t>
            </w:r>
            <w:r>
              <w:rPr>
                <w:rFonts w:hint="eastAsia"/>
                <w:color w:val="auto"/>
                <w:kern w:val="0"/>
                <w:sz w:val="21"/>
                <w:szCs w:val="21"/>
                <w:lang w:val="en-US" w:eastAsia="zh-CN"/>
              </w:rPr>
              <w:t>（</w:t>
            </w:r>
            <w:r>
              <w:rPr>
                <w:rFonts w:hint="default"/>
                <w:color w:val="auto"/>
                <w:kern w:val="0"/>
                <w:sz w:val="21"/>
                <w:szCs w:val="21"/>
                <w:lang w:val="en-US" w:eastAsia="zh-CN"/>
              </w:rPr>
              <w:t>DB3214041-2021</w:t>
            </w:r>
            <w:r>
              <w:rPr>
                <w:rFonts w:hint="eastAsia"/>
                <w:color w:val="auto"/>
                <w:kern w:val="0"/>
                <w:sz w:val="21"/>
                <w:szCs w:val="21"/>
                <w:lang w:val="en-US" w:eastAsia="zh-CN"/>
              </w:rPr>
              <w:t>）</w:t>
            </w:r>
            <w:r>
              <w:rPr>
                <w:rFonts w:hint="default"/>
                <w:color w:val="auto"/>
                <w:kern w:val="0"/>
                <w:sz w:val="21"/>
                <w:szCs w:val="21"/>
                <w:lang w:val="en-US" w:eastAsia="zh-CN"/>
              </w:rPr>
              <w:t>表3边界大气污染物排放监控浓度限值。硫化氢、氨气</w:t>
            </w:r>
            <w:r>
              <w:rPr>
                <w:rFonts w:hint="eastAsia"/>
                <w:color w:val="auto"/>
                <w:kern w:val="0"/>
                <w:sz w:val="21"/>
                <w:szCs w:val="21"/>
                <w:lang w:val="en-US" w:eastAsia="zh-CN"/>
              </w:rPr>
              <w:t>满足</w:t>
            </w:r>
            <w:r>
              <w:rPr>
                <w:rFonts w:hint="default"/>
                <w:color w:val="auto"/>
                <w:kern w:val="0"/>
                <w:sz w:val="21"/>
                <w:szCs w:val="21"/>
                <w:lang w:val="en-US" w:eastAsia="zh-CN"/>
              </w:rPr>
              <w:t>《恶臭污染物排放标准》</w:t>
            </w:r>
            <w:r>
              <w:rPr>
                <w:rFonts w:hint="eastAsia"/>
                <w:color w:val="auto"/>
                <w:kern w:val="0"/>
                <w:sz w:val="21"/>
                <w:szCs w:val="21"/>
                <w:lang w:val="en-US" w:eastAsia="zh-CN"/>
              </w:rPr>
              <w:t>（</w:t>
            </w:r>
            <w:r>
              <w:rPr>
                <w:rFonts w:hint="default"/>
                <w:color w:val="auto"/>
                <w:kern w:val="0"/>
                <w:sz w:val="21"/>
                <w:szCs w:val="21"/>
                <w:lang w:val="en-US" w:eastAsia="zh-CN"/>
              </w:rPr>
              <w:t>GB14554-93</w:t>
            </w:r>
            <w:r>
              <w:rPr>
                <w:rFonts w:hint="eastAsia"/>
                <w:color w:val="auto"/>
                <w:kern w:val="0"/>
                <w:sz w:val="21"/>
                <w:szCs w:val="21"/>
                <w:lang w:val="en-US" w:eastAsia="zh-CN"/>
              </w:rPr>
              <w:t>）</w:t>
            </w:r>
            <w:r>
              <w:rPr>
                <w:rFonts w:hint="default"/>
                <w:color w:val="auto"/>
                <w:kern w:val="0"/>
                <w:sz w:val="21"/>
                <w:szCs w:val="21"/>
                <w:lang w:val="en-US" w:eastAsia="zh-CN"/>
              </w:rPr>
              <w:t>厂界标准值二级标准。</w:t>
            </w:r>
          </w:p>
          <w:p w14:paraId="42BC79F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cs="Times New Roman"/>
                <w:b w:val="0"/>
                <w:bCs w:val="0"/>
                <w:color w:val="FF0000"/>
                <w:kern w:val="0"/>
                <w:sz w:val="21"/>
                <w:szCs w:val="21"/>
                <w:lang w:val="en-US" w:eastAsia="zh-CN"/>
              </w:rPr>
            </w:pPr>
            <w:r>
              <w:rPr>
                <w:rFonts w:hint="eastAsia" w:ascii="Times New Roman" w:hAnsi="Times New Roman" w:cs="Times New Roman"/>
                <w:b w:val="0"/>
                <w:bCs w:val="0"/>
                <w:color w:val="FF0000"/>
                <w:kern w:val="0"/>
                <w:sz w:val="21"/>
                <w:szCs w:val="21"/>
                <w:lang w:val="en-US" w:eastAsia="zh-CN"/>
              </w:rPr>
              <w:t>销毁工房：</w:t>
            </w:r>
            <w:r>
              <w:rPr>
                <w:rFonts w:hint="default" w:ascii="Times New Roman" w:hAnsi="Times New Roman" w:cs="Times New Roman"/>
                <w:b w:val="0"/>
                <w:bCs w:val="0"/>
                <w:color w:val="FF0000"/>
                <w:kern w:val="0"/>
                <w:sz w:val="21"/>
                <w:szCs w:val="21"/>
                <w:lang w:val="en-US" w:eastAsia="zh-CN"/>
              </w:rPr>
              <w:t>奥托立夫公司402工房焚烧销毁系统主要处理报废气体发生器、点火具、废药等厂内危废，二燃室燃烧温度约1100～1150℃，尾气通过</w:t>
            </w:r>
            <w:r>
              <w:rPr>
                <w:rFonts w:hint="eastAsia" w:ascii="Times New Roman" w:hAnsi="Times New Roman" w:cs="Times New Roman"/>
                <w:b w:val="0"/>
                <w:bCs w:val="0"/>
                <w:color w:val="FF0000"/>
                <w:kern w:val="0"/>
                <w:sz w:val="21"/>
                <w:szCs w:val="21"/>
                <w:lang w:val="en-US" w:eastAsia="zh-CN"/>
              </w:rPr>
              <w:t>“</w:t>
            </w:r>
            <w:r>
              <w:rPr>
                <w:rFonts w:hint="default" w:ascii="Times New Roman" w:hAnsi="Times New Roman" w:cs="Times New Roman"/>
                <w:b w:val="0"/>
                <w:bCs w:val="0"/>
                <w:color w:val="FF0000"/>
                <w:kern w:val="0"/>
                <w:sz w:val="21"/>
                <w:szCs w:val="21"/>
                <w:lang w:val="en-US" w:eastAsia="zh-CN"/>
              </w:rPr>
              <w:t>SNCR脱硝+急冷除盐+干粉吸收+布袋除尘+臭氧氧化+碱喷淋吸收</w:t>
            </w:r>
            <w:r>
              <w:rPr>
                <w:rFonts w:hint="eastAsia" w:ascii="Times New Roman" w:hAnsi="Times New Roman" w:cs="Times New Roman"/>
                <w:b w:val="0"/>
                <w:bCs w:val="0"/>
                <w:color w:val="FF0000"/>
                <w:kern w:val="0"/>
                <w:sz w:val="21"/>
                <w:szCs w:val="21"/>
                <w:lang w:val="en-US" w:eastAsia="zh-CN"/>
              </w:rPr>
              <w:t>”</w:t>
            </w:r>
            <w:r>
              <w:rPr>
                <w:rFonts w:hint="default" w:ascii="Times New Roman" w:hAnsi="Times New Roman" w:cs="Times New Roman"/>
                <w:b w:val="0"/>
                <w:bCs w:val="0"/>
                <w:color w:val="FF0000"/>
                <w:kern w:val="0"/>
                <w:sz w:val="21"/>
                <w:szCs w:val="21"/>
                <w:lang w:val="en-US" w:eastAsia="zh-CN"/>
              </w:rPr>
              <w:t>处理后通过25m高排气筒排放，能够满足《危险废物焚烧污染控制标准》（GB 18484-2020）的要求</w:t>
            </w:r>
            <w:r>
              <w:rPr>
                <w:rFonts w:hint="eastAsia" w:ascii="Times New Roman" w:hAnsi="Times New Roman" w:cs="Times New Roman"/>
                <w:b w:val="0"/>
                <w:bCs w:val="0"/>
                <w:color w:val="FF0000"/>
                <w:kern w:val="0"/>
                <w:sz w:val="21"/>
                <w:szCs w:val="21"/>
                <w:lang w:val="en-US" w:eastAsia="zh-CN"/>
              </w:rPr>
              <w:t>；</w:t>
            </w:r>
          </w:p>
          <w:p w14:paraId="1CA3EEF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b w:val="0"/>
                <w:bCs w:val="0"/>
                <w:color w:val="FF0000"/>
                <w:kern w:val="0"/>
                <w:sz w:val="21"/>
                <w:szCs w:val="21"/>
                <w:lang w:val="en-US" w:eastAsia="zh-CN"/>
              </w:rPr>
            </w:pPr>
            <w:r>
              <w:rPr>
                <w:rFonts w:hint="default" w:ascii="Times New Roman" w:hAnsi="Times New Roman" w:cs="Times New Roman"/>
                <w:b w:val="0"/>
                <w:bCs w:val="0"/>
                <w:color w:val="FF0000"/>
                <w:kern w:val="0"/>
                <w:sz w:val="21"/>
                <w:szCs w:val="21"/>
                <w:lang w:val="en-US" w:eastAsia="zh-CN"/>
              </w:rPr>
              <w:t>粉尘捕集：设布袋除尘器除尘，烟气由外经过滤袋时，烟气中的粉尘被截留在滤袋外表面，从而得到净化，再经除尘器内文氏管进入上箱体，从出口排出。附集在滤袋外表面的粉尘不断增加，使除尘器阻力增大，为使设备阻力维持在限定的范围内，必须定期消除附在滤袋表面的粉尘。袋式除尘器的外壳带有保温材料，外表面温度小于50℃，灰斗设电加热装置，防止结露堵塞和避免除尘器外壳的腐蚀。</w:t>
            </w:r>
          </w:p>
          <w:p w14:paraId="2F7CF5D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jc w:val="both"/>
              <w:textAlignment w:val="auto"/>
              <w:rPr>
                <w:rFonts w:hint="default"/>
                <w:b/>
                <w:bCs/>
                <w:color w:val="auto"/>
                <w:kern w:val="0"/>
                <w:sz w:val="21"/>
                <w:szCs w:val="21"/>
                <w:lang w:val="en-US" w:eastAsia="zh-CN"/>
              </w:rPr>
            </w:pPr>
            <w:r>
              <w:rPr>
                <w:rFonts w:hint="eastAsia"/>
                <w:b/>
                <w:bCs/>
                <w:color w:val="auto"/>
                <w:kern w:val="0"/>
                <w:sz w:val="21"/>
                <w:szCs w:val="21"/>
                <w:lang w:val="en-US" w:eastAsia="zh-CN"/>
              </w:rPr>
              <w:t>噪声：</w:t>
            </w:r>
          </w:p>
          <w:p w14:paraId="4A5FEC2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color w:val="auto"/>
                <w:kern w:val="0"/>
                <w:sz w:val="21"/>
                <w:szCs w:val="21"/>
                <w:lang w:val="en-US" w:eastAsia="zh-CN"/>
              </w:rPr>
            </w:pPr>
            <w:r>
              <w:rPr>
                <w:rFonts w:hint="eastAsia"/>
                <w:color w:val="auto"/>
                <w:kern w:val="0"/>
                <w:sz w:val="21"/>
                <w:szCs w:val="21"/>
                <w:lang w:val="en-US" w:eastAsia="zh-CN"/>
              </w:rPr>
              <w:t>噪声监测结果见下表：</w:t>
            </w:r>
          </w:p>
          <w:p w14:paraId="048DA1AB">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color w:val="auto"/>
                <w:kern w:val="0"/>
                <w:sz w:val="21"/>
                <w:szCs w:val="21"/>
                <w:lang w:val="en-US" w:eastAsia="zh-CN"/>
              </w:rPr>
            </w:pPr>
            <w:r>
              <w:rPr>
                <w:rFonts w:hint="eastAsia"/>
                <w:b/>
                <w:bCs/>
                <w:color w:val="auto"/>
                <w:kern w:val="0"/>
                <w:sz w:val="21"/>
                <w:szCs w:val="21"/>
                <w:lang w:val="en-US" w:eastAsia="zh-CN"/>
              </w:rPr>
              <w:t>表2-11   厂界环境噪声结果</w:t>
            </w:r>
          </w:p>
          <w:tbl>
            <w:tblPr>
              <w:tblStyle w:val="60"/>
              <w:tblW w:w="8549"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68"/>
              <w:gridCol w:w="1068"/>
              <w:gridCol w:w="1068"/>
              <w:gridCol w:w="1069"/>
              <w:gridCol w:w="1069"/>
              <w:gridCol w:w="1069"/>
              <w:gridCol w:w="1069"/>
              <w:gridCol w:w="1069"/>
            </w:tblGrid>
            <w:tr w14:paraId="4196A19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8" w:type="dxa"/>
                  <w:vMerge w:val="restart"/>
                  <w:tcBorders>
                    <w:tl2br w:val="nil"/>
                    <w:tr2bl w:val="nil"/>
                  </w:tcBorders>
                  <w:vAlign w:val="center"/>
                </w:tcPr>
                <w:p w14:paraId="03709BE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测点编号</w:t>
                  </w:r>
                </w:p>
              </w:tc>
              <w:tc>
                <w:tcPr>
                  <w:tcW w:w="1068" w:type="dxa"/>
                  <w:vMerge w:val="restart"/>
                  <w:tcBorders>
                    <w:tl2br w:val="nil"/>
                    <w:tr2bl w:val="nil"/>
                  </w:tcBorders>
                  <w:vAlign w:val="center"/>
                </w:tcPr>
                <w:p w14:paraId="40EC974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主要噪声源</w:t>
                  </w:r>
                </w:p>
              </w:tc>
              <w:tc>
                <w:tcPr>
                  <w:tcW w:w="6413" w:type="dxa"/>
                  <w:gridSpan w:val="6"/>
                  <w:tcBorders>
                    <w:tl2br w:val="nil"/>
                    <w:tr2bl w:val="nil"/>
                  </w:tcBorders>
                  <w:vAlign w:val="center"/>
                </w:tcPr>
                <w:p w14:paraId="5949C26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等效升级dB（A）</w:t>
                  </w:r>
                </w:p>
              </w:tc>
            </w:tr>
            <w:tr w14:paraId="285952E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8" w:type="dxa"/>
                  <w:vMerge w:val="continue"/>
                  <w:tcBorders>
                    <w:tl2br w:val="nil"/>
                    <w:tr2bl w:val="nil"/>
                  </w:tcBorders>
                  <w:vAlign w:val="center"/>
                </w:tcPr>
                <w:p w14:paraId="7AD0A77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vertAlign w:val="baseline"/>
                      <w:lang w:val="en-US" w:eastAsia="zh-CN"/>
                    </w:rPr>
                  </w:pPr>
                </w:p>
              </w:tc>
              <w:tc>
                <w:tcPr>
                  <w:tcW w:w="1068" w:type="dxa"/>
                  <w:vMerge w:val="continue"/>
                  <w:tcBorders>
                    <w:tl2br w:val="nil"/>
                    <w:tr2bl w:val="nil"/>
                  </w:tcBorders>
                  <w:vAlign w:val="center"/>
                </w:tcPr>
                <w:p w14:paraId="1240E4D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vertAlign w:val="baseline"/>
                      <w:lang w:val="en-US" w:eastAsia="zh-CN"/>
                    </w:rPr>
                  </w:pPr>
                </w:p>
              </w:tc>
              <w:tc>
                <w:tcPr>
                  <w:tcW w:w="3206" w:type="dxa"/>
                  <w:gridSpan w:val="3"/>
                  <w:tcBorders>
                    <w:tl2br w:val="nil"/>
                    <w:tr2bl w:val="nil"/>
                  </w:tcBorders>
                  <w:vAlign w:val="center"/>
                </w:tcPr>
                <w:p w14:paraId="128E462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昼间</w:t>
                  </w:r>
                </w:p>
              </w:tc>
              <w:tc>
                <w:tcPr>
                  <w:tcW w:w="3207" w:type="dxa"/>
                  <w:gridSpan w:val="3"/>
                  <w:tcBorders>
                    <w:tl2br w:val="nil"/>
                    <w:tr2bl w:val="nil"/>
                  </w:tcBorders>
                  <w:vAlign w:val="center"/>
                </w:tcPr>
                <w:p w14:paraId="76D696E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夜间</w:t>
                  </w:r>
                </w:p>
              </w:tc>
            </w:tr>
            <w:tr w14:paraId="1D59FAE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8" w:type="dxa"/>
                  <w:vMerge w:val="continue"/>
                  <w:tcBorders>
                    <w:tl2br w:val="nil"/>
                    <w:tr2bl w:val="nil"/>
                  </w:tcBorders>
                  <w:vAlign w:val="center"/>
                </w:tcPr>
                <w:p w14:paraId="313E7AF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vertAlign w:val="baseline"/>
                      <w:lang w:val="en-US" w:eastAsia="zh-CN"/>
                    </w:rPr>
                  </w:pPr>
                </w:p>
              </w:tc>
              <w:tc>
                <w:tcPr>
                  <w:tcW w:w="1068" w:type="dxa"/>
                  <w:vMerge w:val="continue"/>
                  <w:tcBorders>
                    <w:tl2br w:val="nil"/>
                    <w:tr2bl w:val="nil"/>
                  </w:tcBorders>
                  <w:vAlign w:val="center"/>
                </w:tcPr>
                <w:p w14:paraId="2A0C6AF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vertAlign w:val="baseline"/>
                      <w:lang w:val="en-US" w:eastAsia="zh-CN"/>
                    </w:rPr>
                  </w:pPr>
                </w:p>
              </w:tc>
              <w:tc>
                <w:tcPr>
                  <w:tcW w:w="1068" w:type="dxa"/>
                  <w:tcBorders>
                    <w:tl2br w:val="nil"/>
                    <w:tr2bl w:val="nil"/>
                  </w:tcBorders>
                  <w:vAlign w:val="center"/>
                </w:tcPr>
                <w:p w14:paraId="67FD72B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测量结果</w:t>
                  </w:r>
                </w:p>
              </w:tc>
              <w:tc>
                <w:tcPr>
                  <w:tcW w:w="1069" w:type="dxa"/>
                  <w:tcBorders>
                    <w:tl2br w:val="nil"/>
                    <w:tr2bl w:val="nil"/>
                  </w:tcBorders>
                  <w:vAlign w:val="center"/>
                </w:tcPr>
                <w:p w14:paraId="41EF2A9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背景值</w:t>
                  </w:r>
                </w:p>
              </w:tc>
              <w:tc>
                <w:tcPr>
                  <w:tcW w:w="1069" w:type="dxa"/>
                  <w:tcBorders>
                    <w:tl2br w:val="nil"/>
                    <w:tr2bl w:val="nil"/>
                  </w:tcBorders>
                  <w:vAlign w:val="center"/>
                </w:tcPr>
                <w:p w14:paraId="5C22D18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color w:val="auto"/>
                      <w:kern w:val="0"/>
                      <w:sz w:val="21"/>
                      <w:szCs w:val="21"/>
                      <w:vertAlign w:val="baseline"/>
                      <w:lang w:val="en-US" w:eastAsia="zh-CN"/>
                    </w:rPr>
                  </w:pPr>
                  <w:r>
                    <w:rPr>
                      <w:rFonts w:hint="eastAsia"/>
                      <w:b/>
                      <w:bCs/>
                      <w:color w:val="auto"/>
                      <w:kern w:val="0"/>
                      <w:sz w:val="21"/>
                      <w:szCs w:val="21"/>
                      <w:vertAlign w:val="baseline"/>
                      <w:lang w:val="en-US" w:eastAsia="zh-CN"/>
                    </w:rPr>
                    <w:t>标准限值</w:t>
                  </w:r>
                </w:p>
              </w:tc>
              <w:tc>
                <w:tcPr>
                  <w:tcW w:w="1069" w:type="dxa"/>
                  <w:tcBorders>
                    <w:tl2br w:val="nil"/>
                    <w:tr2bl w:val="nil"/>
                  </w:tcBorders>
                  <w:vAlign w:val="center"/>
                </w:tcPr>
                <w:p w14:paraId="53103BC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测量结果</w:t>
                  </w:r>
                </w:p>
              </w:tc>
              <w:tc>
                <w:tcPr>
                  <w:tcW w:w="1069" w:type="dxa"/>
                  <w:tcBorders>
                    <w:tl2br w:val="nil"/>
                    <w:tr2bl w:val="nil"/>
                  </w:tcBorders>
                  <w:vAlign w:val="center"/>
                </w:tcPr>
                <w:p w14:paraId="708EA51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背景值</w:t>
                  </w:r>
                </w:p>
              </w:tc>
              <w:tc>
                <w:tcPr>
                  <w:tcW w:w="1069" w:type="dxa"/>
                  <w:tcBorders>
                    <w:tl2br w:val="nil"/>
                    <w:tr2bl w:val="nil"/>
                  </w:tcBorders>
                  <w:vAlign w:val="center"/>
                </w:tcPr>
                <w:p w14:paraId="0E86C9F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b/>
                      <w:bCs/>
                      <w:color w:val="auto"/>
                      <w:kern w:val="0"/>
                      <w:sz w:val="21"/>
                      <w:szCs w:val="21"/>
                      <w:vertAlign w:val="baseline"/>
                      <w:lang w:val="en-US" w:eastAsia="zh-CN"/>
                    </w:rPr>
                  </w:pPr>
                  <w:r>
                    <w:rPr>
                      <w:rFonts w:hint="eastAsia"/>
                      <w:b/>
                      <w:bCs/>
                      <w:color w:val="auto"/>
                      <w:kern w:val="0"/>
                      <w:sz w:val="21"/>
                      <w:szCs w:val="21"/>
                      <w:vertAlign w:val="baseline"/>
                      <w:lang w:val="en-US" w:eastAsia="zh-CN"/>
                    </w:rPr>
                    <w:t>标准限值</w:t>
                  </w:r>
                </w:p>
              </w:tc>
            </w:tr>
            <w:tr w14:paraId="353E18D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8" w:type="dxa"/>
                  <w:tcBorders>
                    <w:tl2br w:val="nil"/>
                    <w:tr2bl w:val="nil"/>
                  </w:tcBorders>
                  <w:vAlign w:val="center"/>
                </w:tcPr>
                <w:p w14:paraId="077CBD6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N1</w:t>
                  </w:r>
                </w:p>
              </w:tc>
              <w:tc>
                <w:tcPr>
                  <w:tcW w:w="1068" w:type="dxa"/>
                  <w:tcBorders>
                    <w:tl2br w:val="nil"/>
                    <w:tr2bl w:val="nil"/>
                  </w:tcBorders>
                  <w:vAlign w:val="center"/>
                </w:tcPr>
                <w:p w14:paraId="1253BDF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生产噪声</w:t>
                  </w:r>
                </w:p>
              </w:tc>
              <w:tc>
                <w:tcPr>
                  <w:tcW w:w="1068" w:type="dxa"/>
                  <w:tcBorders>
                    <w:tl2br w:val="nil"/>
                    <w:tr2bl w:val="nil"/>
                  </w:tcBorders>
                  <w:vAlign w:val="center"/>
                </w:tcPr>
                <w:p w14:paraId="559712D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56.6</w:t>
                  </w:r>
                </w:p>
              </w:tc>
              <w:tc>
                <w:tcPr>
                  <w:tcW w:w="1069" w:type="dxa"/>
                  <w:tcBorders>
                    <w:tl2br w:val="nil"/>
                    <w:tr2bl w:val="nil"/>
                  </w:tcBorders>
                  <w:vAlign w:val="center"/>
                </w:tcPr>
                <w:p w14:paraId="02774DC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w:t>
                  </w:r>
                </w:p>
              </w:tc>
              <w:tc>
                <w:tcPr>
                  <w:tcW w:w="1069" w:type="dxa"/>
                  <w:tcBorders>
                    <w:tl2br w:val="nil"/>
                    <w:tr2bl w:val="nil"/>
                  </w:tcBorders>
                  <w:vAlign w:val="center"/>
                </w:tcPr>
                <w:p w14:paraId="40807F9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color w:val="auto"/>
                      <w:kern w:val="0"/>
                      <w:sz w:val="21"/>
                      <w:szCs w:val="21"/>
                      <w:vertAlign w:val="baseline"/>
                      <w:lang w:val="en-US" w:eastAsia="zh-CN"/>
                    </w:rPr>
                  </w:pPr>
                  <w:r>
                    <w:rPr>
                      <w:rFonts w:hint="eastAsia"/>
                      <w:b/>
                      <w:bCs/>
                      <w:color w:val="auto"/>
                      <w:kern w:val="0"/>
                      <w:sz w:val="21"/>
                      <w:szCs w:val="21"/>
                      <w:vertAlign w:val="baseline"/>
                      <w:lang w:val="en-US" w:eastAsia="zh-CN"/>
                    </w:rPr>
                    <w:t>60</w:t>
                  </w:r>
                </w:p>
              </w:tc>
              <w:tc>
                <w:tcPr>
                  <w:tcW w:w="1069" w:type="dxa"/>
                  <w:tcBorders>
                    <w:tl2br w:val="nil"/>
                    <w:tr2bl w:val="nil"/>
                  </w:tcBorders>
                  <w:vAlign w:val="center"/>
                </w:tcPr>
                <w:p w14:paraId="01F22D6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38.0</w:t>
                  </w:r>
                </w:p>
              </w:tc>
              <w:tc>
                <w:tcPr>
                  <w:tcW w:w="1069" w:type="dxa"/>
                  <w:tcBorders>
                    <w:tl2br w:val="nil"/>
                    <w:tr2bl w:val="nil"/>
                  </w:tcBorders>
                  <w:vAlign w:val="center"/>
                </w:tcPr>
                <w:p w14:paraId="133951E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w:t>
                  </w:r>
                </w:p>
              </w:tc>
              <w:tc>
                <w:tcPr>
                  <w:tcW w:w="1069" w:type="dxa"/>
                  <w:tcBorders>
                    <w:tl2br w:val="nil"/>
                    <w:tr2bl w:val="nil"/>
                  </w:tcBorders>
                  <w:vAlign w:val="center"/>
                </w:tcPr>
                <w:p w14:paraId="3B84939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color w:val="auto"/>
                      <w:kern w:val="0"/>
                      <w:sz w:val="21"/>
                      <w:szCs w:val="21"/>
                      <w:vertAlign w:val="baseline"/>
                      <w:lang w:val="en-US" w:eastAsia="zh-CN"/>
                    </w:rPr>
                  </w:pPr>
                  <w:r>
                    <w:rPr>
                      <w:rFonts w:hint="eastAsia"/>
                      <w:b/>
                      <w:bCs/>
                      <w:color w:val="auto"/>
                      <w:kern w:val="0"/>
                      <w:sz w:val="21"/>
                      <w:szCs w:val="21"/>
                      <w:vertAlign w:val="baseline"/>
                      <w:lang w:val="en-US" w:eastAsia="zh-CN"/>
                    </w:rPr>
                    <w:t>50</w:t>
                  </w:r>
                </w:p>
              </w:tc>
            </w:tr>
            <w:tr w14:paraId="2220EEC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8" w:type="dxa"/>
                  <w:tcBorders>
                    <w:tl2br w:val="nil"/>
                    <w:tr2bl w:val="nil"/>
                  </w:tcBorders>
                  <w:vAlign w:val="center"/>
                </w:tcPr>
                <w:p w14:paraId="058704F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N2</w:t>
                  </w:r>
                </w:p>
              </w:tc>
              <w:tc>
                <w:tcPr>
                  <w:tcW w:w="1068" w:type="dxa"/>
                  <w:tcBorders>
                    <w:tl2br w:val="nil"/>
                    <w:tr2bl w:val="nil"/>
                  </w:tcBorders>
                  <w:vAlign w:val="center"/>
                </w:tcPr>
                <w:p w14:paraId="2C6BAFB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生产噪声</w:t>
                  </w:r>
                </w:p>
              </w:tc>
              <w:tc>
                <w:tcPr>
                  <w:tcW w:w="1068" w:type="dxa"/>
                  <w:tcBorders>
                    <w:tl2br w:val="nil"/>
                    <w:tr2bl w:val="nil"/>
                  </w:tcBorders>
                  <w:vAlign w:val="center"/>
                </w:tcPr>
                <w:p w14:paraId="2120AD6C">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48.0</w:t>
                  </w:r>
                </w:p>
              </w:tc>
              <w:tc>
                <w:tcPr>
                  <w:tcW w:w="1069" w:type="dxa"/>
                  <w:tcBorders>
                    <w:tl2br w:val="nil"/>
                    <w:tr2bl w:val="nil"/>
                  </w:tcBorders>
                  <w:vAlign w:val="center"/>
                </w:tcPr>
                <w:p w14:paraId="4ECCEC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w:t>
                  </w:r>
                </w:p>
              </w:tc>
              <w:tc>
                <w:tcPr>
                  <w:tcW w:w="1069" w:type="dxa"/>
                  <w:tcBorders>
                    <w:tl2br w:val="nil"/>
                    <w:tr2bl w:val="nil"/>
                  </w:tcBorders>
                  <w:vAlign w:val="center"/>
                </w:tcPr>
                <w:p w14:paraId="7C3B44C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b/>
                      <w:bCs/>
                      <w:color w:val="auto"/>
                      <w:kern w:val="0"/>
                      <w:sz w:val="21"/>
                      <w:szCs w:val="21"/>
                      <w:vertAlign w:val="baseline"/>
                      <w:lang w:val="en-US" w:eastAsia="zh-CN"/>
                    </w:rPr>
                  </w:pPr>
                  <w:r>
                    <w:rPr>
                      <w:rFonts w:hint="eastAsia"/>
                      <w:b/>
                      <w:bCs/>
                      <w:color w:val="auto"/>
                      <w:kern w:val="0"/>
                      <w:sz w:val="21"/>
                      <w:szCs w:val="21"/>
                      <w:vertAlign w:val="baseline"/>
                      <w:lang w:val="en-US" w:eastAsia="zh-CN"/>
                    </w:rPr>
                    <w:t>60</w:t>
                  </w:r>
                </w:p>
              </w:tc>
              <w:tc>
                <w:tcPr>
                  <w:tcW w:w="1069" w:type="dxa"/>
                  <w:tcBorders>
                    <w:tl2br w:val="nil"/>
                    <w:tr2bl w:val="nil"/>
                  </w:tcBorders>
                  <w:vAlign w:val="center"/>
                </w:tcPr>
                <w:p w14:paraId="1B030B3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43.4</w:t>
                  </w:r>
                </w:p>
              </w:tc>
              <w:tc>
                <w:tcPr>
                  <w:tcW w:w="1069" w:type="dxa"/>
                  <w:tcBorders>
                    <w:tl2br w:val="nil"/>
                    <w:tr2bl w:val="nil"/>
                  </w:tcBorders>
                  <w:vAlign w:val="center"/>
                </w:tcPr>
                <w:p w14:paraId="50E383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w:t>
                  </w:r>
                </w:p>
              </w:tc>
              <w:tc>
                <w:tcPr>
                  <w:tcW w:w="1069" w:type="dxa"/>
                  <w:tcBorders>
                    <w:tl2br w:val="nil"/>
                    <w:tr2bl w:val="nil"/>
                  </w:tcBorders>
                  <w:vAlign w:val="center"/>
                </w:tcPr>
                <w:p w14:paraId="092C2D5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b/>
                      <w:bCs/>
                      <w:color w:val="auto"/>
                      <w:kern w:val="0"/>
                      <w:sz w:val="21"/>
                      <w:szCs w:val="21"/>
                      <w:vertAlign w:val="baseline"/>
                      <w:lang w:val="en-US" w:eastAsia="zh-CN"/>
                    </w:rPr>
                  </w:pPr>
                  <w:r>
                    <w:rPr>
                      <w:rFonts w:hint="eastAsia"/>
                      <w:b/>
                      <w:bCs/>
                      <w:color w:val="auto"/>
                      <w:kern w:val="0"/>
                      <w:sz w:val="21"/>
                      <w:szCs w:val="21"/>
                      <w:vertAlign w:val="baseline"/>
                      <w:lang w:val="en-US" w:eastAsia="zh-CN"/>
                    </w:rPr>
                    <w:t>50</w:t>
                  </w:r>
                </w:p>
              </w:tc>
            </w:tr>
            <w:tr w14:paraId="7458506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8" w:type="dxa"/>
                  <w:tcBorders>
                    <w:tl2br w:val="nil"/>
                    <w:tr2bl w:val="nil"/>
                  </w:tcBorders>
                  <w:vAlign w:val="center"/>
                </w:tcPr>
                <w:p w14:paraId="21B8A4F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N3</w:t>
                  </w:r>
                </w:p>
              </w:tc>
              <w:tc>
                <w:tcPr>
                  <w:tcW w:w="1068" w:type="dxa"/>
                  <w:tcBorders>
                    <w:tl2br w:val="nil"/>
                    <w:tr2bl w:val="nil"/>
                  </w:tcBorders>
                  <w:vAlign w:val="center"/>
                </w:tcPr>
                <w:p w14:paraId="2DD4C42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生产噪声</w:t>
                  </w:r>
                </w:p>
              </w:tc>
              <w:tc>
                <w:tcPr>
                  <w:tcW w:w="1068" w:type="dxa"/>
                  <w:tcBorders>
                    <w:tl2br w:val="nil"/>
                    <w:tr2bl w:val="nil"/>
                  </w:tcBorders>
                  <w:vAlign w:val="center"/>
                </w:tcPr>
                <w:p w14:paraId="5E6A698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48.7</w:t>
                  </w:r>
                </w:p>
              </w:tc>
              <w:tc>
                <w:tcPr>
                  <w:tcW w:w="1069" w:type="dxa"/>
                  <w:tcBorders>
                    <w:tl2br w:val="nil"/>
                    <w:tr2bl w:val="nil"/>
                  </w:tcBorders>
                  <w:vAlign w:val="center"/>
                </w:tcPr>
                <w:p w14:paraId="18E0BB1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w:t>
                  </w:r>
                </w:p>
              </w:tc>
              <w:tc>
                <w:tcPr>
                  <w:tcW w:w="1069" w:type="dxa"/>
                  <w:tcBorders>
                    <w:tl2br w:val="nil"/>
                    <w:tr2bl w:val="nil"/>
                  </w:tcBorders>
                  <w:vAlign w:val="center"/>
                </w:tcPr>
                <w:p w14:paraId="48D9E48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b/>
                      <w:bCs/>
                      <w:color w:val="auto"/>
                      <w:kern w:val="0"/>
                      <w:sz w:val="21"/>
                      <w:szCs w:val="21"/>
                      <w:vertAlign w:val="baseline"/>
                      <w:lang w:val="en-US" w:eastAsia="zh-CN"/>
                    </w:rPr>
                  </w:pPr>
                  <w:r>
                    <w:rPr>
                      <w:rFonts w:hint="eastAsia"/>
                      <w:b/>
                      <w:bCs/>
                      <w:color w:val="auto"/>
                      <w:kern w:val="0"/>
                      <w:sz w:val="21"/>
                      <w:szCs w:val="21"/>
                      <w:vertAlign w:val="baseline"/>
                      <w:lang w:val="en-US" w:eastAsia="zh-CN"/>
                    </w:rPr>
                    <w:t>60</w:t>
                  </w:r>
                </w:p>
              </w:tc>
              <w:tc>
                <w:tcPr>
                  <w:tcW w:w="1069" w:type="dxa"/>
                  <w:tcBorders>
                    <w:tl2br w:val="nil"/>
                    <w:tr2bl w:val="nil"/>
                  </w:tcBorders>
                  <w:vAlign w:val="center"/>
                </w:tcPr>
                <w:p w14:paraId="6855107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40.4</w:t>
                  </w:r>
                </w:p>
              </w:tc>
              <w:tc>
                <w:tcPr>
                  <w:tcW w:w="1069" w:type="dxa"/>
                  <w:tcBorders>
                    <w:tl2br w:val="nil"/>
                    <w:tr2bl w:val="nil"/>
                  </w:tcBorders>
                  <w:vAlign w:val="center"/>
                </w:tcPr>
                <w:p w14:paraId="687C01E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w:t>
                  </w:r>
                </w:p>
              </w:tc>
              <w:tc>
                <w:tcPr>
                  <w:tcW w:w="1069" w:type="dxa"/>
                  <w:tcBorders>
                    <w:tl2br w:val="nil"/>
                    <w:tr2bl w:val="nil"/>
                  </w:tcBorders>
                  <w:vAlign w:val="center"/>
                </w:tcPr>
                <w:p w14:paraId="1BDD77B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b/>
                      <w:bCs/>
                      <w:color w:val="auto"/>
                      <w:kern w:val="0"/>
                      <w:sz w:val="21"/>
                      <w:szCs w:val="21"/>
                      <w:vertAlign w:val="baseline"/>
                      <w:lang w:val="en-US" w:eastAsia="zh-CN"/>
                    </w:rPr>
                  </w:pPr>
                  <w:r>
                    <w:rPr>
                      <w:rFonts w:hint="eastAsia"/>
                      <w:b/>
                      <w:bCs/>
                      <w:color w:val="auto"/>
                      <w:kern w:val="0"/>
                      <w:sz w:val="21"/>
                      <w:szCs w:val="21"/>
                      <w:vertAlign w:val="baseline"/>
                      <w:lang w:val="en-US" w:eastAsia="zh-CN"/>
                    </w:rPr>
                    <w:t>50</w:t>
                  </w:r>
                </w:p>
              </w:tc>
            </w:tr>
            <w:tr w14:paraId="5955D5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8" w:type="dxa"/>
                  <w:tcBorders>
                    <w:tl2br w:val="nil"/>
                    <w:tr2bl w:val="nil"/>
                  </w:tcBorders>
                  <w:vAlign w:val="center"/>
                </w:tcPr>
                <w:p w14:paraId="27FB66D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N4</w:t>
                  </w:r>
                </w:p>
              </w:tc>
              <w:tc>
                <w:tcPr>
                  <w:tcW w:w="1068" w:type="dxa"/>
                  <w:tcBorders>
                    <w:tl2br w:val="nil"/>
                    <w:tr2bl w:val="nil"/>
                  </w:tcBorders>
                  <w:vAlign w:val="center"/>
                </w:tcPr>
                <w:p w14:paraId="3E08B42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生产噪声</w:t>
                  </w:r>
                </w:p>
              </w:tc>
              <w:tc>
                <w:tcPr>
                  <w:tcW w:w="1068" w:type="dxa"/>
                  <w:tcBorders>
                    <w:tl2br w:val="nil"/>
                    <w:tr2bl w:val="nil"/>
                  </w:tcBorders>
                  <w:vAlign w:val="center"/>
                </w:tcPr>
                <w:p w14:paraId="40F44738">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16.6</w:t>
                  </w:r>
                </w:p>
              </w:tc>
              <w:tc>
                <w:tcPr>
                  <w:tcW w:w="1069" w:type="dxa"/>
                  <w:tcBorders>
                    <w:tl2br w:val="nil"/>
                    <w:tr2bl w:val="nil"/>
                  </w:tcBorders>
                  <w:vAlign w:val="center"/>
                </w:tcPr>
                <w:p w14:paraId="20D88BA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w:t>
                  </w:r>
                </w:p>
              </w:tc>
              <w:tc>
                <w:tcPr>
                  <w:tcW w:w="1069" w:type="dxa"/>
                  <w:tcBorders>
                    <w:tl2br w:val="nil"/>
                    <w:tr2bl w:val="nil"/>
                  </w:tcBorders>
                  <w:vAlign w:val="center"/>
                </w:tcPr>
                <w:p w14:paraId="0B6FD20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b/>
                      <w:bCs/>
                      <w:color w:val="auto"/>
                      <w:kern w:val="0"/>
                      <w:sz w:val="21"/>
                      <w:szCs w:val="21"/>
                      <w:vertAlign w:val="baseline"/>
                      <w:lang w:val="en-US" w:eastAsia="zh-CN"/>
                    </w:rPr>
                  </w:pPr>
                  <w:r>
                    <w:rPr>
                      <w:rFonts w:hint="eastAsia"/>
                      <w:b/>
                      <w:bCs/>
                      <w:color w:val="auto"/>
                      <w:kern w:val="0"/>
                      <w:sz w:val="21"/>
                      <w:szCs w:val="21"/>
                      <w:vertAlign w:val="baseline"/>
                      <w:lang w:val="en-US" w:eastAsia="zh-CN"/>
                    </w:rPr>
                    <w:t>60</w:t>
                  </w:r>
                </w:p>
              </w:tc>
              <w:tc>
                <w:tcPr>
                  <w:tcW w:w="1069" w:type="dxa"/>
                  <w:tcBorders>
                    <w:tl2br w:val="nil"/>
                    <w:tr2bl w:val="nil"/>
                  </w:tcBorders>
                  <w:vAlign w:val="center"/>
                </w:tcPr>
                <w:p w14:paraId="606ED74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38.5</w:t>
                  </w:r>
                </w:p>
              </w:tc>
              <w:tc>
                <w:tcPr>
                  <w:tcW w:w="1069" w:type="dxa"/>
                  <w:tcBorders>
                    <w:tl2br w:val="nil"/>
                    <w:tr2bl w:val="nil"/>
                  </w:tcBorders>
                  <w:vAlign w:val="center"/>
                </w:tcPr>
                <w:p w14:paraId="1F310F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w:t>
                  </w:r>
                </w:p>
              </w:tc>
              <w:tc>
                <w:tcPr>
                  <w:tcW w:w="1069" w:type="dxa"/>
                  <w:tcBorders>
                    <w:tl2br w:val="nil"/>
                    <w:tr2bl w:val="nil"/>
                  </w:tcBorders>
                  <w:vAlign w:val="center"/>
                </w:tcPr>
                <w:p w14:paraId="5CE079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b/>
                      <w:bCs/>
                      <w:color w:val="auto"/>
                      <w:kern w:val="0"/>
                      <w:sz w:val="21"/>
                      <w:szCs w:val="21"/>
                      <w:vertAlign w:val="baseline"/>
                      <w:lang w:val="en-US" w:eastAsia="zh-CN"/>
                    </w:rPr>
                  </w:pPr>
                  <w:r>
                    <w:rPr>
                      <w:rFonts w:hint="eastAsia"/>
                      <w:b/>
                      <w:bCs/>
                      <w:color w:val="auto"/>
                      <w:kern w:val="0"/>
                      <w:sz w:val="21"/>
                      <w:szCs w:val="21"/>
                      <w:vertAlign w:val="baseline"/>
                      <w:lang w:val="en-US" w:eastAsia="zh-CN"/>
                    </w:rPr>
                    <w:t>50</w:t>
                  </w:r>
                </w:p>
              </w:tc>
            </w:tr>
            <w:tr w14:paraId="3EA84F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136" w:type="dxa"/>
                  <w:gridSpan w:val="2"/>
                  <w:tcBorders>
                    <w:tl2br w:val="nil"/>
                    <w:tr2bl w:val="nil"/>
                  </w:tcBorders>
                  <w:vAlign w:val="center"/>
                </w:tcPr>
                <w:p w14:paraId="2B72CD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测量时间</w:t>
                  </w:r>
                </w:p>
              </w:tc>
              <w:tc>
                <w:tcPr>
                  <w:tcW w:w="3206" w:type="dxa"/>
                  <w:gridSpan w:val="3"/>
                  <w:tcBorders>
                    <w:tl2br w:val="nil"/>
                    <w:tr2bl w:val="nil"/>
                  </w:tcBorders>
                  <w:vAlign w:val="center"/>
                </w:tcPr>
                <w:p w14:paraId="6ED8886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10时16分至11时17分</w:t>
                  </w:r>
                </w:p>
              </w:tc>
              <w:tc>
                <w:tcPr>
                  <w:tcW w:w="3207" w:type="dxa"/>
                  <w:gridSpan w:val="3"/>
                  <w:tcBorders>
                    <w:tl2br w:val="nil"/>
                    <w:tr2bl w:val="nil"/>
                  </w:tcBorders>
                  <w:vAlign w:val="center"/>
                </w:tcPr>
                <w:p w14:paraId="670FC1D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22时00分至22时52分</w:t>
                  </w:r>
                </w:p>
              </w:tc>
            </w:tr>
            <w:tr w14:paraId="763BCA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549" w:type="dxa"/>
                  <w:gridSpan w:val="8"/>
                  <w:tcBorders>
                    <w:tl2br w:val="nil"/>
                    <w:tr2bl w:val="nil"/>
                  </w:tcBorders>
                  <w:vAlign w:val="center"/>
                </w:tcPr>
                <w:p w14:paraId="71057E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检测期间昼间天气晴，风速3.4m/s，夜间天气晴，风速3.5m/s。</w:t>
                  </w:r>
                </w:p>
              </w:tc>
            </w:tr>
          </w:tbl>
          <w:p w14:paraId="0323EEFA">
            <w:pPr>
              <w:pStyle w:val="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sz w:val="21"/>
                <w:szCs w:val="21"/>
                <w:highlight w:val="none"/>
              </w:rPr>
            </w:pPr>
            <w:r>
              <w:rPr>
                <w:rFonts w:hint="eastAsia"/>
                <w:color w:val="auto"/>
                <w:sz w:val="21"/>
                <w:szCs w:val="21"/>
                <w:highlight w:val="none"/>
              </w:rPr>
              <w:t>监测结果表明，厂界噪声监测值均符合《工业企业厂界环境噪声排放标准》（GB12348-2008）</w:t>
            </w:r>
            <w:r>
              <w:rPr>
                <w:rFonts w:hint="eastAsia"/>
                <w:color w:val="auto"/>
                <w:sz w:val="21"/>
                <w:szCs w:val="21"/>
                <w:highlight w:val="none"/>
                <w:lang w:val="en-US" w:eastAsia="zh-CN"/>
              </w:rPr>
              <w:t>2</w:t>
            </w:r>
            <w:r>
              <w:rPr>
                <w:rFonts w:hint="eastAsia"/>
                <w:color w:val="auto"/>
                <w:sz w:val="21"/>
                <w:szCs w:val="21"/>
                <w:highlight w:val="none"/>
              </w:rPr>
              <w:t>类标准限值要求。</w:t>
            </w:r>
          </w:p>
          <w:p w14:paraId="771069A3">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cs="Times New Roman"/>
                <w:b/>
                <w:bCs/>
                <w:color w:val="auto"/>
                <w:kern w:val="2"/>
                <w:sz w:val="21"/>
                <w:szCs w:val="21"/>
                <w:highlight w:val="none"/>
                <w:lang w:val="en-US" w:eastAsia="zh-CN" w:bidi="ar-SA"/>
              </w:rPr>
            </w:pPr>
            <w:r>
              <w:rPr>
                <w:rFonts w:hint="eastAsia"/>
                <w:b/>
                <w:bCs/>
                <w:color w:val="auto"/>
                <w:sz w:val="21"/>
                <w:szCs w:val="21"/>
                <w:highlight w:val="none"/>
                <w:lang w:val="en-US" w:eastAsia="zh-CN"/>
              </w:rPr>
              <w:t>4、现有项目污染物实际排放总量</w:t>
            </w:r>
            <w:r>
              <w:rPr>
                <w:rFonts w:hint="eastAsia"/>
                <w:b/>
                <w:bCs/>
                <w:color w:val="auto"/>
                <w:kern w:val="0"/>
                <w:sz w:val="21"/>
                <w:szCs w:val="21"/>
                <w:lang w:val="en-US" w:eastAsia="zh-CN" w:bidi="ar"/>
              </w:rPr>
              <w:t>情况</w:t>
            </w:r>
          </w:p>
          <w:p w14:paraId="3B429617">
            <w:pPr>
              <w:pStyle w:val="23"/>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hint="eastAsia"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废水：</w:t>
            </w:r>
          </w:p>
          <w:p w14:paraId="3863B26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现有项目无生产废水排放，主要是生活污水。现有项目员工约1300人，年工作时间300d，生活用水量约55770t/a，生活污水量约44670t/a，污染因子为pH、COD、SS、NH</w:t>
            </w:r>
            <w:r>
              <w:rPr>
                <w:rFonts w:hint="eastAsia" w:cs="Times New Roman"/>
                <w:b w:val="0"/>
                <w:bCs w:val="0"/>
                <w:color w:val="auto"/>
                <w:kern w:val="2"/>
                <w:sz w:val="21"/>
                <w:szCs w:val="21"/>
                <w:highlight w:val="none"/>
                <w:vertAlign w:val="subscript"/>
                <w:lang w:val="en-US" w:eastAsia="zh-CN" w:bidi="ar-SA"/>
              </w:rPr>
              <w:t>3</w:t>
            </w:r>
            <w:r>
              <w:rPr>
                <w:rFonts w:hint="eastAsia" w:cs="Times New Roman"/>
                <w:b w:val="0"/>
                <w:bCs w:val="0"/>
                <w:color w:val="auto"/>
                <w:kern w:val="2"/>
                <w:sz w:val="21"/>
                <w:szCs w:val="21"/>
                <w:highlight w:val="none"/>
                <w:lang w:val="en-US" w:eastAsia="zh-CN" w:bidi="ar-SA"/>
              </w:rPr>
              <w:t>-N、TP、TN。生活污水经市政管网接管至茅东污水处理厂处理，处理达标后尾水排入薛埠河。现有项目污水主要污染物源强见下表。</w:t>
            </w:r>
          </w:p>
          <w:p w14:paraId="20E090A4">
            <w:pPr>
              <w:pStyle w:val="2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表2-12.1   现有项目废水污染物源强</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62"/>
              <w:gridCol w:w="796"/>
              <w:gridCol w:w="1104"/>
              <w:gridCol w:w="949"/>
              <w:gridCol w:w="878"/>
              <w:gridCol w:w="661"/>
              <w:gridCol w:w="1108"/>
              <w:gridCol w:w="865"/>
              <w:gridCol w:w="1521"/>
            </w:tblGrid>
            <w:tr w14:paraId="3A95064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662" w:type="dxa"/>
                  <w:tcBorders>
                    <w:tl2br w:val="nil"/>
                    <w:tr2bl w:val="nil"/>
                  </w:tcBorders>
                  <w:noWrap w:val="0"/>
                  <w:vAlign w:val="center"/>
                </w:tcPr>
                <w:p w14:paraId="306B78A3">
                  <w:pPr>
                    <w:adjustRightInd w:val="0"/>
                    <w:snapToGrid w:val="0"/>
                    <w:jc w:val="center"/>
                    <w:rPr>
                      <w:b/>
                      <w:color w:val="auto"/>
                      <w:sz w:val="21"/>
                      <w:szCs w:val="21"/>
                      <w:highlight w:val="none"/>
                    </w:rPr>
                  </w:pPr>
                  <w:r>
                    <w:rPr>
                      <w:b/>
                      <w:bCs/>
                      <w:color w:val="auto"/>
                      <w:sz w:val="21"/>
                      <w:szCs w:val="21"/>
                      <w:highlight w:val="none"/>
                    </w:rPr>
                    <w:t>废水类型</w:t>
                  </w:r>
                </w:p>
              </w:tc>
              <w:tc>
                <w:tcPr>
                  <w:tcW w:w="796" w:type="dxa"/>
                  <w:tcBorders>
                    <w:tl2br w:val="nil"/>
                    <w:tr2bl w:val="nil"/>
                  </w:tcBorders>
                  <w:noWrap w:val="0"/>
                  <w:vAlign w:val="center"/>
                </w:tcPr>
                <w:p w14:paraId="2894F7C9">
                  <w:pPr>
                    <w:adjustRightInd w:val="0"/>
                    <w:snapToGrid w:val="0"/>
                    <w:jc w:val="center"/>
                    <w:rPr>
                      <w:rFonts w:hint="eastAsia"/>
                      <w:b/>
                      <w:color w:val="auto"/>
                      <w:sz w:val="21"/>
                      <w:szCs w:val="21"/>
                      <w:highlight w:val="none"/>
                    </w:rPr>
                  </w:pPr>
                  <w:r>
                    <w:rPr>
                      <w:b/>
                      <w:bCs/>
                      <w:color w:val="auto"/>
                      <w:sz w:val="21"/>
                      <w:szCs w:val="21"/>
                      <w:highlight w:val="none"/>
                    </w:rPr>
                    <w:t>废水量t/a</w:t>
                  </w:r>
                </w:p>
              </w:tc>
              <w:tc>
                <w:tcPr>
                  <w:tcW w:w="1104" w:type="dxa"/>
                  <w:tcBorders>
                    <w:tl2br w:val="nil"/>
                    <w:tr2bl w:val="nil"/>
                  </w:tcBorders>
                  <w:noWrap w:val="0"/>
                  <w:vAlign w:val="center"/>
                </w:tcPr>
                <w:p w14:paraId="6ECA81D5">
                  <w:pPr>
                    <w:adjustRightInd w:val="0"/>
                    <w:snapToGrid w:val="0"/>
                    <w:jc w:val="center"/>
                    <w:rPr>
                      <w:rFonts w:hint="eastAsia"/>
                      <w:b/>
                      <w:color w:val="auto"/>
                      <w:sz w:val="21"/>
                      <w:szCs w:val="21"/>
                      <w:highlight w:val="none"/>
                    </w:rPr>
                  </w:pPr>
                  <w:r>
                    <w:rPr>
                      <w:rFonts w:hint="eastAsia"/>
                      <w:b/>
                      <w:color w:val="auto"/>
                      <w:sz w:val="21"/>
                      <w:szCs w:val="21"/>
                      <w:highlight w:val="none"/>
                    </w:rPr>
                    <w:t>污染因子</w:t>
                  </w:r>
                </w:p>
              </w:tc>
              <w:tc>
                <w:tcPr>
                  <w:tcW w:w="949" w:type="dxa"/>
                  <w:tcBorders>
                    <w:tl2br w:val="nil"/>
                    <w:tr2bl w:val="nil"/>
                  </w:tcBorders>
                  <w:noWrap w:val="0"/>
                  <w:vAlign w:val="center"/>
                </w:tcPr>
                <w:p w14:paraId="0847C054">
                  <w:pPr>
                    <w:adjustRightInd w:val="0"/>
                    <w:snapToGrid w:val="0"/>
                    <w:jc w:val="center"/>
                    <w:rPr>
                      <w:b/>
                      <w:color w:val="auto"/>
                      <w:sz w:val="21"/>
                      <w:szCs w:val="21"/>
                      <w:highlight w:val="none"/>
                    </w:rPr>
                  </w:pPr>
                  <w:r>
                    <w:rPr>
                      <w:rFonts w:hint="eastAsia"/>
                      <w:b/>
                      <w:color w:val="auto"/>
                      <w:sz w:val="21"/>
                      <w:szCs w:val="21"/>
                      <w:highlight w:val="none"/>
                    </w:rPr>
                    <w:t>浓度mg/L</w:t>
                  </w:r>
                </w:p>
              </w:tc>
              <w:tc>
                <w:tcPr>
                  <w:tcW w:w="878" w:type="dxa"/>
                  <w:tcBorders>
                    <w:tl2br w:val="nil"/>
                    <w:tr2bl w:val="nil"/>
                  </w:tcBorders>
                  <w:noWrap w:val="0"/>
                  <w:vAlign w:val="center"/>
                </w:tcPr>
                <w:p w14:paraId="7FF202EA">
                  <w:pPr>
                    <w:adjustRightInd w:val="0"/>
                    <w:snapToGrid w:val="0"/>
                    <w:jc w:val="center"/>
                    <w:rPr>
                      <w:b/>
                      <w:color w:val="auto"/>
                      <w:sz w:val="21"/>
                      <w:szCs w:val="21"/>
                      <w:highlight w:val="none"/>
                    </w:rPr>
                  </w:pPr>
                  <w:r>
                    <w:rPr>
                      <w:rFonts w:hint="eastAsia"/>
                      <w:b/>
                      <w:color w:val="auto"/>
                      <w:sz w:val="21"/>
                      <w:szCs w:val="21"/>
                      <w:highlight w:val="none"/>
                    </w:rPr>
                    <w:t>产生量t/a</w:t>
                  </w:r>
                </w:p>
              </w:tc>
              <w:tc>
                <w:tcPr>
                  <w:tcW w:w="661" w:type="dxa"/>
                  <w:tcBorders>
                    <w:tl2br w:val="nil"/>
                    <w:tr2bl w:val="nil"/>
                  </w:tcBorders>
                  <w:noWrap w:val="0"/>
                  <w:vAlign w:val="center"/>
                </w:tcPr>
                <w:p w14:paraId="26880F22">
                  <w:pPr>
                    <w:adjustRightInd w:val="0"/>
                    <w:snapToGrid w:val="0"/>
                    <w:jc w:val="center"/>
                    <w:rPr>
                      <w:b/>
                      <w:color w:val="auto"/>
                      <w:sz w:val="21"/>
                      <w:szCs w:val="21"/>
                      <w:highlight w:val="none"/>
                    </w:rPr>
                  </w:pPr>
                  <w:r>
                    <w:rPr>
                      <w:b/>
                      <w:bCs/>
                      <w:color w:val="auto"/>
                      <w:sz w:val="21"/>
                      <w:szCs w:val="21"/>
                      <w:highlight w:val="none"/>
                    </w:rPr>
                    <w:t>处理方式</w:t>
                  </w:r>
                </w:p>
              </w:tc>
              <w:tc>
                <w:tcPr>
                  <w:tcW w:w="1108" w:type="dxa"/>
                  <w:tcBorders>
                    <w:tl2br w:val="nil"/>
                    <w:tr2bl w:val="nil"/>
                  </w:tcBorders>
                  <w:noWrap w:val="0"/>
                  <w:vAlign w:val="center"/>
                </w:tcPr>
                <w:p w14:paraId="391FA2DE">
                  <w:pPr>
                    <w:adjustRightInd w:val="0"/>
                    <w:snapToGrid w:val="0"/>
                    <w:jc w:val="center"/>
                    <w:rPr>
                      <w:b/>
                      <w:bCs/>
                      <w:color w:val="auto"/>
                      <w:sz w:val="21"/>
                      <w:szCs w:val="21"/>
                      <w:highlight w:val="none"/>
                    </w:rPr>
                  </w:pPr>
                  <w:r>
                    <w:rPr>
                      <w:b/>
                      <w:bCs/>
                      <w:color w:val="auto"/>
                      <w:sz w:val="21"/>
                      <w:szCs w:val="21"/>
                      <w:highlight w:val="none"/>
                    </w:rPr>
                    <w:t>浓度mg/L</w:t>
                  </w:r>
                </w:p>
              </w:tc>
              <w:tc>
                <w:tcPr>
                  <w:tcW w:w="865" w:type="dxa"/>
                  <w:tcBorders>
                    <w:tl2br w:val="nil"/>
                    <w:tr2bl w:val="nil"/>
                  </w:tcBorders>
                  <w:noWrap w:val="0"/>
                  <w:vAlign w:val="center"/>
                </w:tcPr>
                <w:p w14:paraId="028A7240">
                  <w:pPr>
                    <w:adjustRightInd w:val="0"/>
                    <w:snapToGrid w:val="0"/>
                    <w:jc w:val="center"/>
                    <w:rPr>
                      <w:b/>
                      <w:bCs/>
                      <w:color w:val="auto"/>
                      <w:sz w:val="21"/>
                      <w:szCs w:val="21"/>
                      <w:highlight w:val="none"/>
                    </w:rPr>
                  </w:pPr>
                  <w:r>
                    <w:rPr>
                      <w:b/>
                      <w:bCs/>
                      <w:color w:val="auto"/>
                      <w:sz w:val="21"/>
                      <w:szCs w:val="21"/>
                      <w:highlight w:val="none"/>
                    </w:rPr>
                    <w:t>排放量t/a</w:t>
                  </w:r>
                </w:p>
              </w:tc>
              <w:tc>
                <w:tcPr>
                  <w:tcW w:w="1521" w:type="dxa"/>
                  <w:tcBorders>
                    <w:tl2br w:val="nil"/>
                    <w:tr2bl w:val="nil"/>
                  </w:tcBorders>
                  <w:noWrap w:val="0"/>
                  <w:vAlign w:val="center"/>
                </w:tcPr>
                <w:p w14:paraId="149F9D11">
                  <w:pPr>
                    <w:adjustRightInd w:val="0"/>
                    <w:snapToGrid w:val="0"/>
                    <w:jc w:val="center"/>
                    <w:rPr>
                      <w:b/>
                      <w:bCs/>
                      <w:color w:val="auto"/>
                      <w:sz w:val="21"/>
                      <w:szCs w:val="21"/>
                      <w:highlight w:val="none"/>
                    </w:rPr>
                  </w:pPr>
                  <w:r>
                    <w:rPr>
                      <w:b/>
                      <w:bCs/>
                      <w:color w:val="auto"/>
                      <w:sz w:val="21"/>
                      <w:szCs w:val="21"/>
                      <w:highlight w:val="none"/>
                    </w:rPr>
                    <w:t>排放去向</w:t>
                  </w:r>
                </w:p>
              </w:tc>
            </w:tr>
            <w:tr w14:paraId="4A5ED25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662" w:type="dxa"/>
                  <w:vMerge w:val="restart"/>
                  <w:tcBorders>
                    <w:tl2br w:val="nil"/>
                    <w:tr2bl w:val="nil"/>
                  </w:tcBorders>
                  <w:noWrap w:val="0"/>
                  <w:vAlign w:val="center"/>
                </w:tcPr>
                <w:p w14:paraId="4AAF80C5">
                  <w:pPr>
                    <w:adjustRightInd w:val="0"/>
                    <w:snapToGrid w:val="0"/>
                    <w:jc w:val="center"/>
                    <w:rPr>
                      <w:bCs/>
                      <w:color w:val="auto"/>
                      <w:sz w:val="21"/>
                      <w:szCs w:val="21"/>
                      <w:highlight w:val="none"/>
                    </w:rPr>
                  </w:pPr>
                  <w:r>
                    <w:rPr>
                      <w:rFonts w:hint="eastAsia"/>
                      <w:bCs/>
                      <w:color w:val="auto"/>
                      <w:sz w:val="21"/>
                      <w:szCs w:val="21"/>
                      <w:highlight w:val="none"/>
                    </w:rPr>
                    <w:t>生活污水</w:t>
                  </w:r>
                </w:p>
              </w:tc>
              <w:tc>
                <w:tcPr>
                  <w:tcW w:w="796" w:type="dxa"/>
                  <w:vMerge w:val="restart"/>
                  <w:tcBorders>
                    <w:tl2br w:val="nil"/>
                    <w:tr2bl w:val="nil"/>
                  </w:tcBorders>
                  <w:noWrap w:val="0"/>
                  <w:vAlign w:val="center"/>
                </w:tcPr>
                <w:p w14:paraId="3C6B5527">
                  <w:pPr>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44670</w:t>
                  </w:r>
                </w:p>
              </w:tc>
              <w:tc>
                <w:tcPr>
                  <w:tcW w:w="1104" w:type="dxa"/>
                  <w:tcBorders>
                    <w:tl2br w:val="nil"/>
                    <w:tr2bl w:val="nil"/>
                  </w:tcBorders>
                  <w:noWrap w:val="0"/>
                  <w:vAlign w:val="center"/>
                </w:tcPr>
                <w:p w14:paraId="33ACDA6D">
                  <w:pPr>
                    <w:adjustRightInd w:val="0"/>
                    <w:snapToGrid w:val="0"/>
                    <w:jc w:val="center"/>
                    <w:rPr>
                      <w:bCs/>
                      <w:color w:val="auto"/>
                      <w:sz w:val="21"/>
                      <w:szCs w:val="21"/>
                      <w:highlight w:val="none"/>
                    </w:rPr>
                  </w:pPr>
                  <w:r>
                    <w:rPr>
                      <w:rFonts w:hint="eastAsia"/>
                      <w:bCs/>
                      <w:color w:val="auto"/>
                      <w:sz w:val="21"/>
                      <w:szCs w:val="21"/>
                      <w:highlight w:val="none"/>
                    </w:rPr>
                    <w:t>pH</w:t>
                  </w:r>
                </w:p>
              </w:tc>
              <w:tc>
                <w:tcPr>
                  <w:tcW w:w="1827" w:type="dxa"/>
                  <w:gridSpan w:val="2"/>
                  <w:tcBorders>
                    <w:tl2br w:val="nil"/>
                    <w:tr2bl w:val="nil"/>
                  </w:tcBorders>
                  <w:noWrap w:val="0"/>
                  <w:vAlign w:val="center"/>
                </w:tcPr>
                <w:p w14:paraId="3FE11B7B">
                  <w:pPr>
                    <w:adjustRightInd w:val="0"/>
                    <w:snapToGrid w:val="0"/>
                    <w:jc w:val="center"/>
                    <w:rPr>
                      <w:rFonts w:hint="eastAsia"/>
                      <w:bCs/>
                      <w:color w:val="auto"/>
                      <w:sz w:val="21"/>
                      <w:szCs w:val="21"/>
                      <w:highlight w:val="none"/>
                    </w:rPr>
                  </w:pPr>
                  <w:r>
                    <w:rPr>
                      <w:rFonts w:hint="eastAsia"/>
                      <w:bCs/>
                      <w:color w:val="auto"/>
                      <w:sz w:val="21"/>
                      <w:szCs w:val="21"/>
                      <w:highlight w:val="none"/>
                    </w:rPr>
                    <w:t>6~9</w:t>
                  </w:r>
                </w:p>
              </w:tc>
              <w:tc>
                <w:tcPr>
                  <w:tcW w:w="661" w:type="dxa"/>
                  <w:vMerge w:val="restart"/>
                  <w:tcBorders>
                    <w:tl2br w:val="nil"/>
                    <w:tr2bl w:val="nil"/>
                  </w:tcBorders>
                  <w:noWrap w:val="0"/>
                  <w:vAlign w:val="center"/>
                </w:tcPr>
                <w:p w14:paraId="758C65C2">
                  <w:pPr>
                    <w:adjustRightInd w:val="0"/>
                    <w:snapToGrid w:val="0"/>
                    <w:jc w:val="center"/>
                    <w:rPr>
                      <w:b/>
                      <w:color w:val="auto"/>
                      <w:sz w:val="21"/>
                      <w:szCs w:val="21"/>
                      <w:highlight w:val="none"/>
                    </w:rPr>
                  </w:pPr>
                  <w:r>
                    <w:rPr>
                      <w:rFonts w:hint="eastAsia"/>
                      <w:color w:val="auto"/>
                      <w:sz w:val="21"/>
                      <w:szCs w:val="21"/>
                      <w:highlight w:val="none"/>
                    </w:rPr>
                    <w:t>接管</w:t>
                  </w:r>
                </w:p>
              </w:tc>
              <w:tc>
                <w:tcPr>
                  <w:tcW w:w="1973" w:type="dxa"/>
                  <w:gridSpan w:val="2"/>
                  <w:tcBorders>
                    <w:tl2br w:val="nil"/>
                    <w:tr2bl w:val="nil"/>
                  </w:tcBorders>
                  <w:noWrap w:val="0"/>
                  <w:vAlign w:val="center"/>
                </w:tcPr>
                <w:p w14:paraId="52095876">
                  <w:pPr>
                    <w:adjustRightInd w:val="0"/>
                    <w:snapToGrid w:val="0"/>
                    <w:jc w:val="center"/>
                    <w:rPr>
                      <w:rFonts w:hint="eastAsia"/>
                      <w:color w:val="auto"/>
                      <w:sz w:val="21"/>
                      <w:szCs w:val="21"/>
                      <w:highlight w:val="none"/>
                    </w:rPr>
                  </w:pPr>
                  <w:r>
                    <w:rPr>
                      <w:rFonts w:hint="eastAsia"/>
                      <w:bCs/>
                      <w:color w:val="auto"/>
                      <w:sz w:val="21"/>
                      <w:szCs w:val="21"/>
                      <w:highlight w:val="none"/>
                    </w:rPr>
                    <w:t>6~9</w:t>
                  </w:r>
                </w:p>
              </w:tc>
              <w:tc>
                <w:tcPr>
                  <w:tcW w:w="1521" w:type="dxa"/>
                  <w:vMerge w:val="restart"/>
                  <w:tcBorders>
                    <w:tl2br w:val="nil"/>
                    <w:tr2bl w:val="nil"/>
                  </w:tcBorders>
                  <w:noWrap w:val="0"/>
                  <w:vAlign w:val="center"/>
                </w:tcPr>
                <w:p w14:paraId="20E40F39">
                  <w:pPr>
                    <w:adjustRightInd w:val="0"/>
                    <w:snapToGrid w:val="0"/>
                    <w:jc w:val="center"/>
                    <w:rPr>
                      <w:rFonts w:hint="eastAsia" w:eastAsia="宋体"/>
                      <w:color w:val="auto"/>
                      <w:sz w:val="21"/>
                      <w:szCs w:val="21"/>
                      <w:highlight w:val="none"/>
                      <w:lang w:eastAsia="zh-CN"/>
                    </w:rPr>
                  </w:pPr>
                  <w:r>
                    <w:rPr>
                      <w:rFonts w:hint="eastAsia"/>
                      <w:color w:val="auto"/>
                      <w:sz w:val="21"/>
                      <w:szCs w:val="21"/>
                      <w:highlight w:val="none"/>
                    </w:rPr>
                    <w:t>经市政污水管网进入</w:t>
                  </w:r>
                  <w:r>
                    <w:rPr>
                      <w:rFonts w:hint="eastAsia"/>
                      <w:color w:val="auto"/>
                      <w:sz w:val="21"/>
                      <w:szCs w:val="21"/>
                      <w:highlight w:val="none"/>
                      <w:lang w:val="en-US" w:eastAsia="zh-CN"/>
                    </w:rPr>
                    <w:t>茅东污水处理厂</w:t>
                  </w:r>
                  <w:r>
                    <w:rPr>
                      <w:rFonts w:hint="eastAsia"/>
                      <w:color w:val="auto"/>
                      <w:sz w:val="21"/>
                      <w:szCs w:val="21"/>
                      <w:highlight w:val="none"/>
                    </w:rPr>
                    <w:t>处理，尾水排至</w:t>
                  </w:r>
                  <w:r>
                    <w:rPr>
                      <w:rFonts w:hint="eastAsia"/>
                      <w:color w:val="auto"/>
                      <w:sz w:val="21"/>
                      <w:szCs w:val="21"/>
                      <w:highlight w:val="none"/>
                      <w:lang w:val="en-US" w:eastAsia="zh-CN"/>
                    </w:rPr>
                    <w:t>薛埠河</w:t>
                  </w:r>
                </w:p>
              </w:tc>
            </w:tr>
            <w:tr w14:paraId="3CF7216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662" w:type="dxa"/>
                  <w:vMerge w:val="continue"/>
                  <w:tcBorders>
                    <w:tl2br w:val="nil"/>
                    <w:tr2bl w:val="nil"/>
                  </w:tcBorders>
                  <w:noWrap w:val="0"/>
                  <w:vAlign w:val="center"/>
                </w:tcPr>
                <w:p w14:paraId="05060583">
                  <w:pPr>
                    <w:adjustRightInd w:val="0"/>
                    <w:snapToGrid w:val="0"/>
                    <w:jc w:val="center"/>
                    <w:rPr>
                      <w:rFonts w:hint="eastAsia"/>
                      <w:bCs/>
                      <w:color w:val="auto"/>
                      <w:sz w:val="21"/>
                      <w:szCs w:val="21"/>
                      <w:highlight w:val="none"/>
                    </w:rPr>
                  </w:pPr>
                </w:p>
              </w:tc>
              <w:tc>
                <w:tcPr>
                  <w:tcW w:w="796" w:type="dxa"/>
                  <w:vMerge w:val="continue"/>
                  <w:tcBorders>
                    <w:tl2br w:val="nil"/>
                    <w:tr2bl w:val="nil"/>
                  </w:tcBorders>
                  <w:noWrap w:val="0"/>
                  <w:vAlign w:val="center"/>
                </w:tcPr>
                <w:p w14:paraId="5E321C64">
                  <w:pPr>
                    <w:adjustRightInd w:val="0"/>
                    <w:snapToGrid w:val="0"/>
                    <w:jc w:val="center"/>
                    <w:rPr>
                      <w:rFonts w:hint="eastAsia"/>
                      <w:bCs/>
                      <w:color w:val="auto"/>
                      <w:sz w:val="21"/>
                      <w:szCs w:val="21"/>
                      <w:highlight w:val="none"/>
                    </w:rPr>
                  </w:pPr>
                </w:p>
              </w:tc>
              <w:tc>
                <w:tcPr>
                  <w:tcW w:w="1104" w:type="dxa"/>
                  <w:tcBorders>
                    <w:tl2br w:val="nil"/>
                    <w:tr2bl w:val="nil"/>
                  </w:tcBorders>
                  <w:noWrap w:val="0"/>
                  <w:vAlign w:val="center"/>
                </w:tcPr>
                <w:p w14:paraId="156FD738">
                  <w:pPr>
                    <w:adjustRightInd w:val="0"/>
                    <w:snapToGrid w:val="0"/>
                    <w:jc w:val="center"/>
                    <w:rPr>
                      <w:bCs/>
                      <w:color w:val="auto"/>
                      <w:sz w:val="21"/>
                      <w:szCs w:val="21"/>
                      <w:highlight w:val="none"/>
                    </w:rPr>
                  </w:pPr>
                  <w:r>
                    <w:rPr>
                      <w:rFonts w:hint="eastAsia"/>
                      <w:bCs/>
                      <w:color w:val="auto"/>
                      <w:sz w:val="21"/>
                      <w:szCs w:val="21"/>
                      <w:highlight w:val="none"/>
                    </w:rPr>
                    <w:t>COD</w:t>
                  </w:r>
                </w:p>
              </w:tc>
              <w:tc>
                <w:tcPr>
                  <w:tcW w:w="949" w:type="dxa"/>
                  <w:tcBorders>
                    <w:tl2br w:val="nil"/>
                    <w:tr2bl w:val="nil"/>
                  </w:tcBorders>
                  <w:noWrap w:val="0"/>
                  <w:vAlign w:val="center"/>
                </w:tcPr>
                <w:p w14:paraId="4CB9DF5F">
                  <w:pPr>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300</w:t>
                  </w:r>
                </w:p>
              </w:tc>
              <w:tc>
                <w:tcPr>
                  <w:tcW w:w="878" w:type="dxa"/>
                  <w:tcBorders>
                    <w:tl2br w:val="nil"/>
                    <w:tr2bl w:val="nil"/>
                  </w:tcBorders>
                  <w:noWrap w:val="0"/>
                  <w:vAlign w:val="center"/>
                </w:tcPr>
                <w:p w14:paraId="644B640A">
                  <w:pPr>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13.4</w:t>
                  </w:r>
                </w:p>
              </w:tc>
              <w:tc>
                <w:tcPr>
                  <w:tcW w:w="661" w:type="dxa"/>
                  <w:vMerge w:val="continue"/>
                  <w:tcBorders>
                    <w:tl2br w:val="nil"/>
                    <w:tr2bl w:val="nil"/>
                  </w:tcBorders>
                  <w:noWrap w:val="0"/>
                  <w:vAlign w:val="center"/>
                </w:tcPr>
                <w:p w14:paraId="26108C11">
                  <w:pPr>
                    <w:adjustRightInd w:val="0"/>
                    <w:snapToGrid w:val="0"/>
                    <w:jc w:val="center"/>
                    <w:rPr>
                      <w:rFonts w:hint="eastAsia"/>
                      <w:b/>
                      <w:color w:val="auto"/>
                      <w:sz w:val="21"/>
                      <w:szCs w:val="21"/>
                      <w:highlight w:val="none"/>
                    </w:rPr>
                  </w:pPr>
                </w:p>
              </w:tc>
              <w:tc>
                <w:tcPr>
                  <w:tcW w:w="1108" w:type="dxa"/>
                  <w:tcBorders>
                    <w:tl2br w:val="nil"/>
                    <w:tr2bl w:val="nil"/>
                  </w:tcBorders>
                  <w:noWrap w:val="0"/>
                  <w:vAlign w:val="center"/>
                </w:tcPr>
                <w:p w14:paraId="0B91FFBE">
                  <w:pPr>
                    <w:adjustRightInd w:val="0"/>
                    <w:snapToGrid w:val="0"/>
                    <w:jc w:val="center"/>
                    <w:rPr>
                      <w:rFonts w:hint="eastAsia"/>
                      <w:b/>
                      <w:color w:val="auto"/>
                      <w:sz w:val="21"/>
                      <w:szCs w:val="21"/>
                      <w:highlight w:val="none"/>
                    </w:rPr>
                  </w:pPr>
                  <w:r>
                    <w:rPr>
                      <w:rFonts w:hint="eastAsia"/>
                      <w:bCs/>
                      <w:color w:val="auto"/>
                      <w:sz w:val="21"/>
                      <w:szCs w:val="21"/>
                      <w:highlight w:val="none"/>
                      <w:lang w:val="en-US" w:eastAsia="zh-CN"/>
                    </w:rPr>
                    <w:t>300</w:t>
                  </w:r>
                </w:p>
              </w:tc>
              <w:tc>
                <w:tcPr>
                  <w:tcW w:w="865" w:type="dxa"/>
                  <w:tcBorders>
                    <w:tl2br w:val="nil"/>
                    <w:tr2bl w:val="nil"/>
                  </w:tcBorders>
                  <w:noWrap w:val="0"/>
                  <w:vAlign w:val="center"/>
                </w:tcPr>
                <w:p w14:paraId="02B8986B">
                  <w:pPr>
                    <w:adjustRightInd w:val="0"/>
                    <w:snapToGrid w:val="0"/>
                    <w:jc w:val="center"/>
                    <w:rPr>
                      <w:rFonts w:hint="eastAsia"/>
                      <w:b/>
                      <w:color w:val="auto"/>
                      <w:sz w:val="21"/>
                      <w:szCs w:val="21"/>
                      <w:highlight w:val="none"/>
                    </w:rPr>
                  </w:pPr>
                  <w:r>
                    <w:rPr>
                      <w:rFonts w:hint="eastAsia"/>
                      <w:bCs/>
                      <w:color w:val="auto"/>
                      <w:sz w:val="21"/>
                      <w:szCs w:val="21"/>
                      <w:highlight w:val="none"/>
                      <w:lang w:val="en-US" w:eastAsia="zh-CN"/>
                    </w:rPr>
                    <w:t>13.4</w:t>
                  </w:r>
                </w:p>
              </w:tc>
              <w:tc>
                <w:tcPr>
                  <w:tcW w:w="1521" w:type="dxa"/>
                  <w:vMerge w:val="continue"/>
                  <w:tcBorders>
                    <w:tl2br w:val="nil"/>
                    <w:tr2bl w:val="nil"/>
                  </w:tcBorders>
                  <w:noWrap w:val="0"/>
                  <w:vAlign w:val="center"/>
                </w:tcPr>
                <w:p w14:paraId="376FF85D">
                  <w:pPr>
                    <w:adjustRightInd w:val="0"/>
                    <w:snapToGrid w:val="0"/>
                    <w:jc w:val="center"/>
                    <w:rPr>
                      <w:rFonts w:hint="eastAsia"/>
                      <w:b/>
                      <w:color w:val="auto"/>
                      <w:sz w:val="21"/>
                      <w:szCs w:val="21"/>
                      <w:highlight w:val="none"/>
                    </w:rPr>
                  </w:pPr>
                </w:p>
              </w:tc>
            </w:tr>
            <w:tr w14:paraId="51A125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662" w:type="dxa"/>
                  <w:vMerge w:val="continue"/>
                  <w:tcBorders>
                    <w:tl2br w:val="nil"/>
                    <w:tr2bl w:val="nil"/>
                  </w:tcBorders>
                  <w:noWrap w:val="0"/>
                  <w:vAlign w:val="center"/>
                </w:tcPr>
                <w:p w14:paraId="1F5EAF59">
                  <w:pPr>
                    <w:adjustRightInd w:val="0"/>
                    <w:snapToGrid w:val="0"/>
                    <w:jc w:val="center"/>
                    <w:rPr>
                      <w:rFonts w:hint="eastAsia"/>
                      <w:bCs/>
                      <w:color w:val="auto"/>
                      <w:sz w:val="21"/>
                      <w:szCs w:val="21"/>
                      <w:highlight w:val="none"/>
                    </w:rPr>
                  </w:pPr>
                </w:p>
              </w:tc>
              <w:tc>
                <w:tcPr>
                  <w:tcW w:w="796" w:type="dxa"/>
                  <w:vMerge w:val="continue"/>
                  <w:tcBorders>
                    <w:tl2br w:val="nil"/>
                    <w:tr2bl w:val="nil"/>
                  </w:tcBorders>
                  <w:noWrap w:val="0"/>
                  <w:vAlign w:val="center"/>
                </w:tcPr>
                <w:p w14:paraId="137EA7C4">
                  <w:pPr>
                    <w:widowControl/>
                    <w:adjustRightInd w:val="0"/>
                    <w:snapToGrid w:val="0"/>
                    <w:jc w:val="center"/>
                    <w:rPr>
                      <w:bCs/>
                      <w:color w:val="auto"/>
                      <w:kern w:val="0"/>
                      <w:sz w:val="21"/>
                      <w:szCs w:val="21"/>
                      <w:highlight w:val="none"/>
                    </w:rPr>
                  </w:pPr>
                </w:p>
              </w:tc>
              <w:tc>
                <w:tcPr>
                  <w:tcW w:w="1104" w:type="dxa"/>
                  <w:tcBorders>
                    <w:tl2br w:val="nil"/>
                    <w:tr2bl w:val="nil"/>
                  </w:tcBorders>
                  <w:noWrap w:val="0"/>
                  <w:vAlign w:val="center"/>
                </w:tcPr>
                <w:p w14:paraId="768B9504">
                  <w:pPr>
                    <w:widowControl/>
                    <w:adjustRightInd w:val="0"/>
                    <w:snapToGrid w:val="0"/>
                    <w:jc w:val="center"/>
                    <w:rPr>
                      <w:rFonts w:hint="eastAsia"/>
                      <w:bCs/>
                      <w:color w:val="auto"/>
                      <w:sz w:val="21"/>
                      <w:szCs w:val="21"/>
                      <w:highlight w:val="none"/>
                    </w:rPr>
                  </w:pPr>
                  <w:r>
                    <w:rPr>
                      <w:bCs/>
                      <w:color w:val="auto"/>
                      <w:kern w:val="0"/>
                      <w:sz w:val="21"/>
                      <w:szCs w:val="21"/>
                      <w:highlight w:val="none"/>
                    </w:rPr>
                    <w:t>SS</w:t>
                  </w:r>
                </w:p>
              </w:tc>
              <w:tc>
                <w:tcPr>
                  <w:tcW w:w="949" w:type="dxa"/>
                  <w:tcBorders>
                    <w:tl2br w:val="nil"/>
                    <w:tr2bl w:val="nil"/>
                  </w:tcBorders>
                  <w:noWrap w:val="0"/>
                  <w:vAlign w:val="center"/>
                </w:tcPr>
                <w:p w14:paraId="472CADDC">
                  <w:pPr>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200</w:t>
                  </w:r>
                </w:p>
              </w:tc>
              <w:tc>
                <w:tcPr>
                  <w:tcW w:w="878" w:type="dxa"/>
                  <w:tcBorders>
                    <w:tl2br w:val="nil"/>
                    <w:tr2bl w:val="nil"/>
                  </w:tcBorders>
                  <w:noWrap w:val="0"/>
                  <w:vAlign w:val="center"/>
                </w:tcPr>
                <w:p w14:paraId="4B11AFE7">
                  <w:pPr>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8.93</w:t>
                  </w:r>
                </w:p>
              </w:tc>
              <w:tc>
                <w:tcPr>
                  <w:tcW w:w="661" w:type="dxa"/>
                  <w:vMerge w:val="continue"/>
                  <w:tcBorders>
                    <w:tl2br w:val="nil"/>
                    <w:tr2bl w:val="nil"/>
                  </w:tcBorders>
                  <w:noWrap w:val="0"/>
                  <w:vAlign w:val="center"/>
                </w:tcPr>
                <w:p w14:paraId="33EAF7F0">
                  <w:pPr>
                    <w:adjustRightInd w:val="0"/>
                    <w:snapToGrid w:val="0"/>
                    <w:jc w:val="center"/>
                    <w:rPr>
                      <w:rFonts w:hint="eastAsia"/>
                      <w:b/>
                      <w:color w:val="auto"/>
                      <w:sz w:val="21"/>
                      <w:szCs w:val="21"/>
                      <w:highlight w:val="none"/>
                    </w:rPr>
                  </w:pPr>
                </w:p>
              </w:tc>
              <w:tc>
                <w:tcPr>
                  <w:tcW w:w="1108" w:type="dxa"/>
                  <w:tcBorders>
                    <w:tl2br w:val="nil"/>
                    <w:tr2bl w:val="nil"/>
                  </w:tcBorders>
                  <w:noWrap w:val="0"/>
                  <w:vAlign w:val="center"/>
                </w:tcPr>
                <w:p w14:paraId="0B74FEF9">
                  <w:pPr>
                    <w:adjustRightInd w:val="0"/>
                    <w:snapToGrid w:val="0"/>
                    <w:jc w:val="center"/>
                    <w:rPr>
                      <w:rFonts w:hint="eastAsia"/>
                      <w:b/>
                      <w:color w:val="auto"/>
                      <w:sz w:val="21"/>
                      <w:szCs w:val="21"/>
                      <w:highlight w:val="none"/>
                    </w:rPr>
                  </w:pPr>
                  <w:r>
                    <w:rPr>
                      <w:rFonts w:hint="eastAsia"/>
                      <w:bCs/>
                      <w:color w:val="auto"/>
                      <w:sz w:val="21"/>
                      <w:szCs w:val="21"/>
                      <w:highlight w:val="none"/>
                      <w:lang w:val="en-US" w:eastAsia="zh-CN"/>
                    </w:rPr>
                    <w:t>200</w:t>
                  </w:r>
                </w:p>
              </w:tc>
              <w:tc>
                <w:tcPr>
                  <w:tcW w:w="865" w:type="dxa"/>
                  <w:tcBorders>
                    <w:tl2br w:val="nil"/>
                    <w:tr2bl w:val="nil"/>
                  </w:tcBorders>
                  <w:noWrap w:val="0"/>
                  <w:vAlign w:val="center"/>
                </w:tcPr>
                <w:p w14:paraId="1DA47DBB">
                  <w:pPr>
                    <w:adjustRightInd w:val="0"/>
                    <w:snapToGrid w:val="0"/>
                    <w:jc w:val="center"/>
                    <w:rPr>
                      <w:rFonts w:hint="eastAsia"/>
                      <w:b/>
                      <w:color w:val="auto"/>
                      <w:sz w:val="21"/>
                      <w:szCs w:val="21"/>
                      <w:highlight w:val="none"/>
                    </w:rPr>
                  </w:pPr>
                  <w:r>
                    <w:rPr>
                      <w:rFonts w:hint="eastAsia"/>
                      <w:bCs/>
                      <w:color w:val="auto"/>
                      <w:sz w:val="21"/>
                      <w:szCs w:val="21"/>
                      <w:highlight w:val="none"/>
                      <w:lang w:val="en-US" w:eastAsia="zh-CN"/>
                    </w:rPr>
                    <w:t>8.93</w:t>
                  </w:r>
                </w:p>
              </w:tc>
              <w:tc>
                <w:tcPr>
                  <w:tcW w:w="1521" w:type="dxa"/>
                  <w:vMerge w:val="continue"/>
                  <w:tcBorders>
                    <w:tl2br w:val="nil"/>
                    <w:tr2bl w:val="nil"/>
                  </w:tcBorders>
                  <w:noWrap w:val="0"/>
                  <w:vAlign w:val="center"/>
                </w:tcPr>
                <w:p w14:paraId="59ACCF8E">
                  <w:pPr>
                    <w:adjustRightInd w:val="0"/>
                    <w:snapToGrid w:val="0"/>
                    <w:jc w:val="center"/>
                    <w:rPr>
                      <w:rFonts w:hint="eastAsia"/>
                      <w:b/>
                      <w:color w:val="auto"/>
                      <w:sz w:val="21"/>
                      <w:szCs w:val="21"/>
                      <w:highlight w:val="none"/>
                    </w:rPr>
                  </w:pPr>
                </w:p>
              </w:tc>
            </w:tr>
            <w:tr w14:paraId="60FE894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662" w:type="dxa"/>
                  <w:vMerge w:val="continue"/>
                  <w:tcBorders>
                    <w:tl2br w:val="nil"/>
                    <w:tr2bl w:val="nil"/>
                  </w:tcBorders>
                  <w:noWrap w:val="0"/>
                  <w:vAlign w:val="center"/>
                </w:tcPr>
                <w:p w14:paraId="2A2366C0">
                  <w:pPr>
                    <w:adjustRightInd w:val="0"/>
                    <w:snapToGrid w:val="0"/>
                    <w:jc w:val="center"/>
                    <w:rPr>
                      <w:rFonts w:hint="eastAsia"/>
                      <w:bCs/>
                      <w:color w:val="auto"/>
                      <w:sz w:val="21"/>
                      <w:szCs w:val="21"/>
                      <w:highlight w:val="none"/>
                    </w:rPr>
                  </w:pPr>
                </w:p>
              </w:tc>
              <w:tc>
                <w:tcPr>
                  <w:tcW w:w="796" w:type="dxa"/>
                  <w:vMerge w:val="continue"/>
                  <w:tcBorders>
                    <w:tl2br w:val="nil"/>
                    <w:tr2bl w:val="nil"/>
                  </w:tcBorders>
                  <w:noWrap w:val="0"/>
                  <w:vAlign w:val="center"/>
                </w:tcPr>
                <w:p w14:paraId="55B1E546">
                  <w:pPr>
                    <w:widowControl/>
                    <w:adjustRightInd w:val="0"/>
                    <w:snapToGrid w:val="0"/>
                    <w:jc w:val="center"/>
                    <w:rPr>
                      <w:bCs/>
                      <w:color w:val="auto"/>
                      <w:kern w:val="0"/>
                      <w:sz w:val="21"/>
                      <w:szCs w:val="21"/>
                      <w:highlight w:val="none"/>
                    </w:rPr>
                  </w:pPr>
                </w:p>
              </w:tc>
              <w:tc>
                <w:tcPr>
                  <w:tcW w:w="1104" w:type="dxa"/>
                  <w:tcBorders>
                    <w:tl2br w:val="nil"/>
                    <w:tr2bl w:val="nil"/>
                  </w:tcBorders>
                  <w:shd w:val="clear" w:color="auto" w:fill="auto"/>
                  <w:noWrap w:val="0"/>
                  <w:vAlign w:val="center"/>
                </w:tcPr>
                <w:p w14:paraId="2B7DBD59">
                  <w:pPr>
                    <w:widowControl/>
                    <w:adjustRightInd w:val="0"/>
                    <w:snapToGrid w:val="0"/>
                    <w:jc w:val="center"/>
                    <w:rPr>
                      <w:rFonts w:ascii="Times New Roman" w:hAnsi="Times New Roman" w:eastAsia="宋体" w:cs="Times New Roman"/>
                      <w:bCs/>
                      <w:snapToGrid w:val="0"/>
                      <w:color w:val="auto"/>
                      <w:kern w:val="2"/>
                      <w:sz w:val="21"/>
                      <w:szCs w:val="21"/>
                      <w:highlight w:val="none"/>
                      <w:lang w:val="en-US" w:eastAsia="zh-CN" w:bidi="ar-SA"/>
                    </w:rPr>
                  </w:pPr>
                  <w:r>
                    <w:rPr>
                      <w:bCs/>
                      <w:color w:val="auto"/>
                      <w:sz w:val="21"/>
                      <w:szCs w:val="21"/>
                      <w:highlight w:val="none"/>
                    </w:rPr>
                    <w:t>NH</w:t>
                  </w:r>
                  <w:r>
                    <w:rPr>
                      <w:bCs/>
                      <w:color w:val="auto"/>
                      <w:sz w:val="21"/>
                      <w:szCs w:val="21"/>
                      <w:highlight w:val="none"/>
                      <w:vertAlign w:val="subscript"/>
                    </w:rPr>
                    <w:t>3</w:t>
                  </w:r>
                  <w:r>
                    <w:rPr>
                      <w:bCs/>
                      <w:color w:val="auto"/>
                      <w:sz w:val="21"/>
                      <w:szCs w:val="21"/>
                      <w:highlight w:val="none"/>
                    </w:rPr>
                    <w:t>-N</w:t>
                  </w:r>
                </w:p>
              </w:tc>
              <w:tc>
                <w:tcPr>
                  <w:tcW w:w="949" w:type="dxa"/>
                  <w:tcBorders>
                    <w:tl2br w:val="nil"/>
                    <w:tr2bl w:val="nil"/>
                  </w:tcBorders>
                  <w:shd w:val="clear" w:color="auto" w:fill="auto"/>
                  <w:noWrap w:val="0"/>
                  <w:vAlign w:val="center"/>
                </w:tcPr>
                <w:p w14:paraId="071543BB">
                  <w:pPr>
                    <w:adjustRightInd w:val="0"/>
                    <w:snapToGrid w:val="0"/>
                    <w:jc w:val="center"/>
                    <w:rPr>
                      <w:rFonts w:hint="default" w:ascii="Times New Roman" w:hAnsi="Times New Roman" w:eastAsia="宋体" w:cs="Times New Roman"/>
                      <w:bCs/>
                      <w:snapToGrid w:val="0"/>
                      <w:color w:val="auto"/>
                      <w:kern w:val="2"/>
                      <w:sz w:val="21"/>
                      <w:szCs w:val="21"/>
                      <w:highlight w:val="none"/>
                      <w:lang w:val="en-US" w:eastAsia="zh-CN" w:bidi="ar-SA"/>
                    </w:rPr>
                  </w:pPr>
                  <w:r>
                    <w:rPr>
                      <w:rFonts w:hint="eastAsia" w:cs="Times New Roman"/>
                      <w:bCs/>
                      <w:snapToGrid w:val="0"/>
                      <w:color w:val="auto"/>
                      <w:kern w:val="2"/>
                      <w:sz w:val="21"/>
                      <w:szCs w:val="21"/>
                      <w:highlight w:val="none"/>
                      <w:lang w:val="en-US" w:eastAsia="zh-CN" w:bidi="ar-SA"/>
                    </w:rPr>
                    <w:t>20</w:t>
                  </w:r>
                </w:p>
              </w:tc>
              <w:tc>
                <w:tcPr>
                  <w:tcW w:w="878" w:type="dxa"/>
                  <w:tcBorders>
                    <w:tl2br w:val="nil"/>
                    <w:tr2bl w:val="nil"/>
                  </w:tcBorders>
                  <w:shd w:val="clear" w:color="auto" w:fill="auto"/>
                  <w:noWrap w:val="0"/>
                  <w:vAlign w:val="center"/>
                </w:tcPr>
                <w:p w14:paraId="0160A5F8">
                  <w:pPr>
                    <w:adjustRightInd w:val="0"/>
                    <w:snapToGrid w:val="0"/>
                    <w:jc w:val="center"/>
                    <w:rPr>
                      <w:rFonts w:hint="default" w:ascii="Times New Roman" w:hAnsi="Times New Roman" w:eastAsia="宋体" w:cs="Times New Roman"/>
                      <w:bCs/>
                      <w:snapToGrid w:val="0"/>
                      <w:color w:val="auto"/>
                      <w:kern w:val="2"/>
                      <w:sz w:val="21"/>
                      <w:szCs w:val="21"/>
                      <w:highlight w:val="none"/>
                      <w:lang w:val="en-US" w:eastAsia="zh-CN" w:bidi="ar-SA"/>
                    </w:rPr>
                  </w:pPr>
                  <w:r>
                    <w:rPr>
                      <w:rFonts w:hint="eastAsia" w:cs="Times New Roman"/>
                      <w:bCs/>
                      <w:snapToGrid w:val="0"/>
                      <w:color w:val="auto"/>
                      <w:kern w:val="2"/>
                      <w:sz w:val="21"/>
                      <w:szCs w:val="21"/>
                      <w:highlight w:val="none"/>
                      <w:lang w:val="en-US" w:eastAsia="zh-CN" w:bidi="ar-SA"/>
                    </w:rPr>
                    <w:t>0.893</w:t>
                  </w:r>
                </w:p>
              </w:tc>
              <w:tc>
                <w:tcPr>
                  <w:tcW w:w="661" w:type="dxa"/>
                  <w:vMerge w:val="continue"/>
                  <w:tcBorders>
                    <w:tl2br w:val="nil"/>
                    <w:tr2bl w:val="nil"/>
                  </w:tcBorders>
                  <w:shd w:val="clear" w:color="auto" w:fill="auto"/>
                  <w:noWrap w:val="0"/>
                  <w:vAlign w:val="center"/>
                </w:tcPr>
                <w:p w14:paraId="3D19CC93">
                  <w:pPr>
                    <w:adjustRightInd w:val="0"/>
                    <w:snapToGrid w:val="0"/>
                    <w:jc w:val="center"/>
                    <w:rPr>
                      <w:rFonts w:hint="eastAsia" w:ascii="Times New Roman" w:hAnsi="Times New Roman" w:eastAsia="宋体" w:cs="Times New Roman"/>
                      <w:b/>
                      <w:snapToGrid w:val="0"/>
                      <w:color w:val="auto"/>
                      <w:kern w:val="2"/>
                      <w:sz w:val="21"/>
                      <w:szCs w:val="21"/>
                      <w:highlight w:val="none"/>
                      <w:lang w:val="en-US" w:eastAsia="zh-CN" w:bidi="ar-SA"/>
                    </w:rPr>
                  </w:pPr>
                </w:p>
              </w:tc>
              <w:tc>
                <w:tcPr>
                  <w:tcW w:w="1108" w:type="dxa"/>
                  <w:tcBorders>
                    <w:tl2br w:val="nil"/>
                    <w:tr2bl w:val="nil"/>
                  </w:tcBorders>
                  <w:shd w:val="clear" w:color="auto" w:fill="auto"/>
                  <w:noWrap w:val="0"/>
                  <w:vAlign w:val="center"/>
                </w:tcPr>
                <w:p w14:paraId="3E2DCE54">
                  <w:pPr>
                    <w:adjustRightInd w:val="0"/>
                    <w:snapToGrid w:val="0"/>
                    <w:jc w:val="center"/>
                    <w:rPr>
                      <w:rFonts w:hint="eastAsia" w:ascii="Times New Roman" w:hAnsi="Times New Roman" w:eastAsia="宋体" w:cs="Times New Roman"/>
                      <w:b/>
                      <w:snapToGrid w:val="0"/>
                      <w:color w:val="auto"/>
                      <w:kern w:val="2"/>
                      <w:sz w:val="21"/>
                      <w:szCs w:val="21"/>
                      <w:highlight w:val="none"/>
                      <w:lang w:val="en-US" w:eastAsia="zh-CN" w:bidi="ar-SA"/>
                    </w:rPr>
                  </w:pPr>
                  <w:r>
                    <w:rPr>
                      <w:rFonts w:hint="eastAsia" w:cs="Times New Roman"/>
                      <w:bCs/>
                      <w:snapToGrid w:val="0"/>
                      <w:color w:val="auto"/>
                      <w:kern w:val="2"/>
                      <w:sz w:val="21"/>
                      <w:szCs w:val="21"/>
                      <w:highlight w:val="none"/>
                      <w:lang w:val="en-US" w:eastAsia="zh-CN" w:bidi="ar-SA"/>
                    </w:rPr>
                    <w:t>20</w:t>
                  </w:r>
                </w:p>
              </w:tc>
              <w:tc>
                <w:tcPr>
                  <w:tcW w:w="865" w:type="dxa"/>
                  <w:tcBorders>
                    <w:tl2br w:val="nil"/>
                    <w:tr2bl w:val="nil"/>
                  </w:tcBorders>
                  <w:shd w:val="clear" w:color="auto" w:fill="auto"/>
                  <w:noWrap w:val="0"/>
                  <w:vAlign w:val="center"/>
                </w:tcPr>
                <w:p w14:paraId="3F49DF49">
                  <w:pPr>
                    <w:adjustRightInd w:val="0"/>
                    <w:snapToGrid w:val="0"/>
                    <w:jc w:val="center"/>
                    <w:rPr>
                      <w:rFonts w:hint="eastAsia" w:ascii="Times New Roman" w:hAnsi="Times New Roman" w:eastAsia="宋体" w:cs="Times New Roman"/>
                      <w:b/>
                      <w:snapToGrid w:val="0"/>
                      <w:color w:val="auto"/>
                      <w:kern w:val="2"/>
                      <w:sz w:val="21"/>
                      <w:szCs w:val="21"/>
                      <w:highlight w:val="none"/>
                      <w:lang w:val="en-US" w:eastAsia="zh-CN" w:bidi="ar-SA"/>
                    </w:rPr>
                  </w:pPr>
                  <w:r>
                    <w:rPr>
                      <w:rFonts w:hint="eastAsia" w:cs="Times New Roman"/>
                      <w:bCs/>
                      <w:snapToGrid w:val="0"/>
                      <w:color w:val="auto"/>
                      <w:kern w:val="2"/>
                      <w:sz w:val="21"/>
                      <w:szCs w:val="21"/>
                      <w:highlight w:val="none"/>
                      <w:lang w:val="en-US" w:eastAsia="zh-CN" w:bidi="ar-SA"/>
                    </w:rPr>
                    <w:t>0.893</w:t>
                  </w:r>
                </w:p>
              </w:tc>
              <w:tc>
                <w:tcPr>
                  <w:tcW w:w="1521" w:type="dxa"/>
                  <w:vMerge w:val="continue"/>
                  <w:tcBorders>
                    <w:tl2br w:val="nil"/>
                    <w:tr2bl w:val="nil"/>
                  </w:tcBorders>
                  <w:noWrap w:val="0"/>
                  <w:vAlign w:val="center"/>
                </w:tcPr>
                <w:p w14:paraId="73018856">
                  <w:pPr>
                    <w:adjustRightInd w:val="0"/>
                    <w:snapToGrid w:val="0"/>
                    <w:jc w:val="center"/>
                    <w:rPr>
                      <w:rFonts w:hint="eastAsia"/>
                      <w:b/>
                      <w:color w:val="auto"/>
                      <w:sz w:val="21"/>
                      <w:szCs w:val="21"/>
                      <w:highlight w:val="none"/>
                    </w:rPr>
                  </w:pPr>
                </w:p>
              </w:tc>
            </w:tr>
            <w:tr w14:paraId="6D39E2E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662" w:type="dxa"/>
                  <w:vMerge w:val="continue"/>
                  <w:tcBorders>
                    <w:tl2br w:val="nil"/>
                    <w:tr2bl w:val="nil"/>
                  </w:tcBorders>
                  <w:noWrap w:val="0"/>
                  <w:vAlign w:val="center"/>
                </w:tcPr>
                <w:p w14:paraId="0A855B22">
                  <w:pPr>
                    <w:adjustRightInd w:val="0"/>
                    <w:snapToGrid w:val="0"/>
                    <w:jc w:val="center"/>
                    <w:rPr>
                      <w:rFonts w:hint="eastAsia"/>
                      <w:bCs/>
                      <w:color w:val="auto"/>
                      <w:sz w:val="21"/>
                      <w:szCs w:val="21"/>
                      <w:highlight w:val="none"/>
                    </w:rPr>
                  </w:pPr>
                </w:p>
              </w:tc>
              <w:tc>
                <w:tcPr>
                  <w:tcW w:w="796" w:type="dxa"/>
                  <w:vMerge w:val="continue"/>
                  <w:tcBorders>
                    <w:tl2br w:val="nil"/>
                    <w:tr2bl w:val="nil"/>
                  </w:tcBorders>
                  <w:noWrap w:val="0"/>
                  <w:vAlign w:val="center"/>
                </w:tcPr>
                <w:p w14:paraId="5500FA73">
                  <w:pPr>
                    <w:adjustRightInd w:val="0"/>
                    <w:snapToGrid w:val="0"/>
                    <w:jc w:val="center"/>
                    <w:textAlignment w:val="center"/>
                    <w:rPr>
                      <w:bCs/>
                      <w:color w:val="auto"/>
                      <w:sz w:val="21"/>
                      <w:szCs w:val="21"/>
                      <w:highlight w:val="none"/>
                    </w:rPr>
                  </w:pPr>
                </w:p>
              </w:tc>
              <w:tc>
                <w:tcPr>
                  <w:tcW w:w="1104" w:type="dxa"/>
                  <w:tcBorders>
                    <w:tl2br w:val="nil"/>
                    <w:tr2bl w:val="nil"/>
                  </w:tcBorders>
                  <w:noWrap w:val="0"/>
                  <w:vAlign w:val="center"/>
                </w:tcPr>
                <w:p w14:paraId="42E406AB">
                  <w:pPr>
                    <w:adjustRightInd w:val="0"/>
                    <w:snapToGrid w:val="0"/>
                    <w:jc w:val="center"/>
                    <w:textAlignment w:val="center"/>
                    <w:rPr>
                      <w:rFonts w:hint="eastAsia"/>
                      <w:bCs/>
                      <w:color w:val="auto"/>
                      <w:sz w:val="21"/>
                      <w:szCs w:val="21"/>
                      <w:highlight w:val="none"/>
                    </w:rPr>
                  </w:pPr>
                  <w:r>
                    <w:rPr>
                      <w:bCs/>
                      <w:color w:val="auto"/>
                      <w:sz w:val="21"/>
                      <w:szCs w:val="21"/>
                      <w:highlight w:val="none"/>
                    </w:rPr>
                    <w:t>TP</w:t>
                  </w:r>
                </w:p>
              </w:tc>
              <w:tc>
                <w:tcPr>
                  <w:tcW w:w="949" w:type="dxa"/>
                  <w:tcBorders>
                    <w:tl2br w:val="nil"/>
                    <w:tr2bl w:val="nil"/>
                  </w:tcBorders>
                  <w:noWrap w:val="0"/>
                  <w:vAlign w:val="center"/>
                </w:tcPr>
                <w:p w14:paraId="0D672D48">
                  <w:pPr>
                    <w:adjustRightInd w:val="0"/>
                    <w:snapToGrid w:val="0"/>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3</w:t>
                  </w:r>
                </w:p>
              </w:tc>
              <w:tc>
                <w:tcPr>
                  <w:tcW w:w="878" w:type="dxa"/>
                  <w:tcBorders>
                    <w:tl2br w:val="nil"/>
                    <w:tr2bl w:val="nil"/>
                  </w:tcBorders>
                  <w:noWrap w:val="0"/>
                  <w:vAlign w:val="center"/>
                </w:tcPr>
                <w:p w14:paraId="196FE127">
                  <w:pPr>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0.134</w:t>
                  </w:r>
                </w:p>
              </w:tc>
              <w:tc>
                <w:tcPr>
                  <w:tcW w:w="661" w:type="dxa"/>
                  <w:vMerge w:val="continue"/>
                  <w:tcBorders>
                    <w:tl2br w:val="nil"/>
                    <w:tr2bl w:val="nil"/>
                  </w:tcBorders>
                  <w:noWrap w:val="0"/>
                  <w:vAlign w:val="center"/>
                </w:tcPr>
                <w:p w14:paraId="6F96F357">
                  <w:pPr>
                    <w:adjustRightInd w:val="0"/>
                    <w:snapToGrid w:val="0"/>
                    <w:jc w:val="center"/>
                    <w:rPr>
                      <w:rFonts w:hint="eastAsia"/>
                      <w:b/>
                      <w:color w:val="auto"/>
                      <w:sz w:val="21"/>
                      <w:szCs w:val="21"/>
                      <w:highlight w:val="none"/>
                    </w:rPr>
                  </w:pPr>
                </w:p>
              </w:tc>
              <w:tc>
                <w:tcPr>
                  <w:tcW w:w="1108" w:type="dxa"/>
                  <w:tcBorders>
                    <w:tl2br w:val="nil"/>
                    <w:tr2bl w:val="nil"/>
                  </w:tcBorders>
                  <w:noWrap w:val="0"/>
                  <w:vAlign w:val="center"/>
                </w:tcPr>
                <w:p w14:paraId="1A6F2C50">
                  <w:pPr>
                    <w:adjustRightInd w:val="0"/>
                    <w:snapToGrid w:val="0"/>
                    <w:jc w:val="center"/>
                    <w:rPr>
                      <w:rFonts w:hint="eastAsia"/>
                      <w:b/>
                      <w:color w:val="auto"/>
                      <w:sz w:val="21"/>
                      <w:szCs w:val="21"/>
                      <w:highlight w:val="none"/>
                    </w:rPr>
                  </w:pPr>
                  <w:r>
                    <w:rPr>
                      <w:rFonts w:hint="eastAsia"/>
                      <w:bCs/>
                      <w:color w:val="auto"/>
                      <w:sz w:val="21"/>
                      <w:szCs w:val="21"/>
                      <w:highlight w:val="none"/>
                      <w:lang w:val="en-US" w:eastAsia="zh-CN"/>
                    </w:rPr>
                    <w:t>3</w:t>
                  </w:r>
                </w:p>
              </w:tc>
              <w:tc>
                <w:tcPr>
                  <w:tcW w:w="865" w:type="dxa"/>
                  <w:tcBorders>
                    <w:tl2br w:val="nil"/>
                    <w:tr2bl w:val="nil"/>
                  </w:tcBorders>
                  <w:noWrap w:val="0"/>
                  <w:vAlign w:val="center"/>
                </w:tcPr>
                <w:p w14:paraId="4CD93D0B">
                  <w:pPr>
                    <w:adjustRightInd w:val="0"/>
                    <w:snapToGrid w:val="0"/>
                    <w:jc w:val="center"/>
                    <w:rPr>
                      <w:rFonts w:hint="eastAsia"/>
                      <w:b/>
                      <w:color w:val="auto"/>
                      <w:sz w:val="21"/>
                      <w:szCs w:val="21"/>
                      <w:highlight w:val="none"/>
                    </w:rPr>
                  </w:pPr>
                  <w:r>
                    <w:rPr>
                      <w:rFonts w:hint="eastAsia"/>
                      <w:bCs/>
                      <w:color w:val="auto"/>
                      <w:sz w:val="21"/>
                      <w:szCs w:val="21"/>
                      <w:highlight w:val="none"/>
                      <w:lang w:val="en-US" w:eastAsia="zh-CN"/>
                    </w:rPr>
                    <w:t>0.134</w:t>
                  </w:r>
                </w:p>
              </w:tc>
              <w:tc>
                <w:tcPr>
                  <w:tcW w:w="1521" w:type="dxa"/>
                  <w:vMerge w:val="continue"/>
                  <w:tcBorders>
                    <w:tl2br w:val="nil"/>
                    <w:tr2bl w:val="nil"/>
                  </w:tcBorders>
                  <w:noWrap w:val="0"/>
                  <w:vAlign w:val="center"/>
                </w:tcPr>
                <w:p w14:paraId="44C22F52">
                  <w:pPr>
                    <w:adjustRightInd w:val="0"/>
                    <w:snapToGrid w:val="0"/>
                    <w:jc w:val="center"/>
                    <w:rPr>
                      <w:rFonts w:hint="eastAsia"/>
                      <w:b/>
                      <w:color w:val="auto"/>
                      <w:sz w:val="21"/>
                      <w:szCs w:val="21"/>
                      <w:highlight w:val="none"/>
                    </w:rPr>
                  </w:pPr>
                </w:p>
              </w:tc>
            </w:tr>
            <w:tr w14:paraId="1AB60D8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662" w:type="dxa"/>
                  <w:vMerge w:val="continue"/>
                  <w:tcBorders>
                    <w:tl2br w:val="nil"/>
                    <w:tr2bl w:val="nil"/>
                  </w:tcBorders>
                  <w:noWrap w:val="0"/>
                  <w:vAlign w:val="center"/>
                </w:tcPr>
                <w:p w14:paraId="48C3AC6E">
                  <w:pPr>
                    <w:adjustRightInd w:val="0"/>
                    <w:snapToGrid w:val="0"/>
                    <w:jc w:val="center"/>
                    <w:rPr>
                      <w:rFonts w:hint="eastAsia"/>
                      <w:bCs/>
                      <w:color w:val="auto"/>
                      <w:sz w:val="21"/>
                      <w:szCs w:val="21"/>
                      <w:highlight w:val="none"/>
                    </w:rPr>
                  </w:pPr>
                </w:p>
              </w:tc>
              <w:tc>
                <w:tcPr>
                  <w:tcW w:w="796" w:type="dxa"/>
                  <w:vMerge w:val="continue"/>
                  <w:tcBorders>
                    <w:tl2br w:val="nil"/>
                    <w:tr2bl w:val="nil"/>
                  </w:tcBorders>
                  <w:noWrap w:val="0"/>
                  <w:vAlign w:val="center"/>
                </w:tcPr>
                <w:p w14:paraId="7E563086">
                  <w:pPr>
                    <w:adjustRightInd w:val="0"/>
                    <w:snapToGrid w:val="0"/>
                    <w:jc w:val="center"/>
                    <w:textAlignment w:val="center"/>
                    <w:rPr>
                      <w:bCs/>
                      <w:color w:val="auto"/>
                      <w:sz w:val="21"/>
                      <w:szCs w:val="21"/>
                      <w:highlight w:val="none"/>
                    </w:rPr>
                  </w:pPr>
                </w:p>
              </w:tc>
              <w:tc>
                <w:tcPr>
                  <w:tcW w:w="1104" w:type="dxa"/>
                  <w:tcBorders>
                    <w:tl2br w:val="nil"/>
                    <w:tr2bl w:val="nil"/>
                  </w:tcBorders>
                  <w:noWrap w:val="0"/>
                  <w:vAlign w:val="center"/>
                </w:tcPr>
                <w:p w14:paraId="57321107">
                  <w:pPr>
                    <w:adjustRightInd w:val="0"/>
                    <w:snapToGrid w:val="0"/>
                    <w:jc w:val="center"/>
                    <w:textAlignment w:val="center"/>
                    <w:rPr>
                      <w:rFonts w:hint="eastAsia"/>
                      <w:bCs/>
                      <w:color w:val="auto"/>
                      <w:sz w:val="21"/>
                      <w:szCs w:val="21"/>
                      <w:highlight w:val="none"/>
                    </w:rPr>
                  </w:pPr>
                  <w:r>
                    <w:rPr>
                      <w:bCs/>
                      <w:color w:val="auto"/>
                      <w:sz w:val="21"/>
                      <w:szCs w:val="21"/>
                      <w:highlight w:val="none"/>
                    </w:rPr>
                    <w:t>TN</w:t>
                  </w:r>
                </w:p>
              </w:tc>
              <w:tc>
                <w:tcPr>
                  <w:tcW w:w="949" w:type="dxa"/>
                  <w:tcBorders>
                    <w:tl2br w:val="nil"/>
                    <w:tr2bl w:val="nil"/>
                  </w:tcBorders>
                  <w:noWrap w:val="0"/>
                  <w:vAlign w:val="center"/>
                </w:tcPr>
                <w:p w14:paraId="37BE3DC8">
                  <w:pPr>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30</w:t>
                  </w:r>
                </w:p>
              </w:tc>
              <w:tc>
                <w:tcPr>
                  <w:tcW w:w="878" w:type="dxa"/>
                  <w:tcBorders>
                    <w:tl2br w:val="nil"/>
                    <w:tr2bl w:val="nil"/>
                  </w:tcBorders>
                  <w:noWrap w:val="0"/>
                  <w:vAlign w:val="center"/>
                </w:tcPr>
                <w:p w14:paraId="6EFF905C">
                  <w:pPr>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1.34</w:t>
                  </w:r>
                </w:p>
              </w:tc>
              <w:tc>
                <w:tcPr>
                  <w:tcW w:w="661" w:type="dxa"/>
                  <w:vMerge w:val="continue"/>
                  <w:tcBorders>
                    <w:tl2br w:val="nil"/>
                    <w:tr2bl w:val="nil"/>
                  </w:tcBorders>
                  <w:noWrap w:val="0"/>
                  <w:vAlign w:val="center"/>
                </w:tcPr>
                <w:p w14:paraId="13EFA206">
                  <w:pPr>
                    <w:adjustRightInd w:val="0"/>
                    <w:snapToGrid w:val="0"/>
                    <w:jc w:val="center"/>
                    <w:rPr>
                      <w:rFonts w:hint="eastAsia"/>
                      <w:b/>
                      <w:color w:val="auto"/>
                      <w:sz w:val="21"/>
                      <w:szCs w:val="21"/>
                      <w:highlight w:val="none"/>
                    </w:rPr>
                  </w:pPr>
                </w:p>
              </w:tc>
              <w:tc>
                <w:tcPr>
                  <w:tcW w:w="1108" w:type="dxa"/>
                  <w:tcBorders>
                    <w:tl2br w:val="nil"/>
                    <w:tr2bl w:val="nil"/>
                  </w:tcBorders>
                  <w:noWrap w:val="0"/>
                  <w:vAlign w:val="center"/>
                </w:tcPr>
                <w:p w14:paraId="1ED84DA6">
                  <w:pPr>
                    <w:adjustRightInd w:val="0"/>
                    <w:snapToGrid w:val="0"/>
                    <w:jc w:val="center"/>
                    <w:rPr>
                      <w:rFonts w:hint="eastAsia"/>
                      <w:b/>
                      <w:color w:val="auto"/>
                      <w:sz w:val="21"/>
                      <w:szCs w:val="21"/>
                      <w:highlight w:val="none"/>
                    </w:rPr>
                  </w:pPr>
                  <w:r>
                    <w:rPr>
                      <w:rFonts w:hint="eastAsia"/>
                      <w:bCs/>
                      <w:color w:val="auto"/>
                      <w:sz w:val="21"/>
                      <w:szCs w:val="21"/>
                      <w:highlight w:val="none"/>
                      <w:lang w:val="en-US" w:eastAsia="zh-CN"/>
                    </w:rPr>
                    <w:t>30</w:t>
                  </w:r>
                </w:p>
              </w:tc>
              <w:tc>
                <w:tcPr>
                  <w:tcW w:w="865" w:type="dxa"/>
                  <w:tcBorders>
                    <w:tl2br w:val="nil"/>
                    <w:tr2bl w:val="nil"/>
                  </w:tcBorders>
                  <w:noWrap w:val="0"/>
                  <w:vAlign w:val="center"/>
                </w:tcPr>
                <w:p w14:paraId="6B3AA950">
                  <w:pPr>
                    <w:adjustRightInd w:val="0"/>
                    <w:snapToGrid w:val="0"/>
                    <w:jc w:val="center"/>
                    <w:rPr>
                      <w:rFonts w:hint="eastAsia"/>
                      <w:b/>
                      <w:color w:val="auto"/>
                      <w:sz w:val="21"/>
                      <w:szCs w:val="21"/>
                      <w:highlight w:val="none"/>
                    </w:rPr>
                  </w:pPr>
                  <w:r>
                    <w:rPr>
                      <w:rFonts w:hint="eastAsia"/>
                      <w:bCs/>
                      <w:color w:val="auto"/>
                      <w:sz w:val="21"/>
                      <w:szCs w:val="21"/>
                      <w:highlight w:val="none"/>
                      <w:lang w:val="en-US" w:eastAsia="zh-CN"/>
                    </w:rPr>
                    <w:t>1.34</w:t>
                  </w:r>
                </w:p>
              </w:tc>
              <w:tc>
                <w:tcPr>
                  <w:tcW w:w="1521" w:type="dxa"/>
                  <w:vMerge w:val="continue"/>
                  <w:tcBorders>
                    <w:tl2br w:val="nil"/>
                    <w:tr2bl w:val="nil"/>
                  </w:tcBorders>
                  <w:noWrap w:val="0"/>
                  <w:vAlign w:val="center"/>
                </w:tcPr>
                <w:p w14:paraId="69A1D38D">
                  <w:pPr>
                    <w:adjustRightInd w:val="0"/>
                    <w:snapToGrid w:val="0"/>
                    <w:jc w:val="center"/>
                    <w:rPr>
                      <w:rFonts w:hint="eastAsia"/>
                      <w:b/>
                      <w:color w:val="auto"/>
                      <w:sz w:val="21"/>
                      <w:szCs w:val="21"/>
                      <w:highlight w:val="none"/>
                    </w:rPr>
                  </w:pPr>
                </w:p>
              </w:tc>
            </w:tr>
            <w:tr w14:paraId="493333A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662" w:type="dxa"/>
                  <w:vMerge w:val="continue"/>
                  <w:tcBorders>
                    <w:tl2br w:val="nil"/>
                    <w:tr2bl w:val="nil"/>
                  </w:tcBorders>
                  <w:noWrap w:val="0"/>
                  <w:vAlign w:val="center"/>
                </w:tcPr>
                <w:p w14:paraId="6303A0B3">
                  <w:pPr>
                    <w:adjustRightInd w:val="0"/>
                    <w:snapToGrid w:val="0"/>
                    <w:jc w:val="center"/>
                    <w:rPr>
                      <w:rFonts w:hint="eastAsia"/>
                      <w:bCs/>
                      <w:color w:val="auto"/>
                      <w:sz w:val="21"/>
                      <w:szCs w:val="21"/>
                      <w:highlight w:val="none"/>
                    </w:rPr>
                  </w:pPr>
                </w:p>
              </w:tc>
              <w:tc>
                <w:tcPr>
                  <w:tcW w:w="796" w:type="dxa"/>
                  <w:vMerge w:val="continue"/>
                  <w:tcBorders>
                    <w:tl2br w:val="nil"/>
                    <w:tr2bl w:val="nil"/>
                  </w:tcBorders>
                  <w:noWrap w:val="0"/>
                  <w:vAlign w:val="center"/>
                </w:tcPr>
                <w:p w14:paraId="2C6B573C">
                  <w:pPr>
                    <w:adjustRightInd w:val="0"/>
                    <w:snapToGrid w:val="0"/>
                    <w:jc w:val="center"/>
                    <w:textAlignment w:val="center"/>
                    <w:rPr>
                      <w:bCs/>
                      <w:color w:val="auto"/>
                      <w:sz w:val="21"/>
                      <w:szCs w:val="21"/>
                      <w:highlight w:val="none"/>
                    </w:rPr>
                  </w:pPr>
                </w:p>
              </w:tc>
              <w:tc>
                <w:tcPr>
                  <w:tcW w:w="1104" w:type="dxa"/>
                  <w:tcBorders>
                    <w:tl2br w:val="nil"/>
                    <w:tr2bl w:val="nil"/>
                  </w:tcBorders>
                  <w:noWrap w:val="0"/>
                  <w:vAlign w:val="center"/>
                </w:tcPr>
                <w:p w14:paraId="284E7008">
                  <w:pPr>
                    <w:adjustRightInd w:val="0"/>
                    <w:snapToGrid w:val="0"/>
                    <w:jc w:val="center"/>
                    <w:textAlignment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动植物油</w:t>
                  </w:r>
                </w:p>
              </w:tc>
              <w:tc>
                <w:tcPr>
                  <w:tcW w:w="949" w:type="dxa"/>
                  <w:tcBorders>
                    <w:tl2br w:val="nil"/>
                    <w:tr2bl w:val="nil"/>
                  </w:tcBorders>
                  <w:noWrap w:val="0"/>
                  <w:vAlign w:val="center"/>
                </w:tcPr>
                <w:p w14:paraId="405E472B">
                  <w:pPr>
                    <w:adjustRightInd w:val="0"/>
                    <w:snapToGrid w:val="0"/>
                    <w:jc w:val="center"/>
                    <w:rPr>
                      <w:rFonts w:hint="default"/>
                      <w:bCs/>
                      <w:color w:val="auto"/>
                      <w:sz w:val="21"/>
                      <w:szCs w:val="21"/>
                      <w:highlight w:val="none"/>
                      <w:lang w:val="en-US" w:eastAsia="zh-CN"/>
                    </w:rPr>
                  </w:pPr>
                  <w:r>
                    <w:rPr>
                      <w:rFonts w:hint="eastAsia"/>
                      <w:bCs/>
                      <w:color w:val="auto"/>
                      <w:sz w:val="21"/>
                      <w:szCs w:val="21"/>
                      <w:highlight w:val="none"/>
                      <w:lang w:val="en-US" w:eastAsia="zh-CN"/>
                    </w:rPr>
                    <w:t>60</w:t>
                  </w:r>
                </w:p>
              </w:tc>
              <w:tc>
                <w:tcPr>
                  <w:tcW w:w="878" w:type="dxa"/>
                  <w:tcBorders>
                    <w:tl2br w:val="nil"/>
                    <w:tr2bl w:val="nil"/>
                  </w:tcBorders>
                  <w:noWrap w:val="0"/>
                  <w:vAlign w:val="center"/>
                </w:tcPr>
                <w:p w14:paraId="16084FA2">
                  <w:pPr>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2.68</w:t>
                  </w:r>
                </w:p>
              </w:tc>
              <w:tc>
                <w:tcPr>
                  <w:tcW w:w="661" w:type="dxa"/>
                  <w:vMerge w:val="continue"/>
                  <w:tcBorders>
                    <w:tl2br w:val="nil"/>
                    <w:tr2bl w:val="nil"/>
                  </w:tcBorders>
                  <w:noWrap w:val="0"/>
                  <w:vAlign w:val="center"/>
                </w:tcPr>
                <w:p w14:paraId="17D27373">
                  <w:pPr>
                    <w:adjustRightInd w:val="0"/>
                    <w:snapToGrid w:val="0"/>
                    <w:jc w:val="center"/>
                    <w:rPr>
                      <w:rFonts w:hint="eastAsia"/>
                      <w:b/>
                      <w:color w:val="auto"/>
                      <w:sz w:val="21"/>
                      <w:szCs w:val="21"/>
                      <w:highlight w:val="none"/>
                    </w:rPr>
                  </w:pPr>
                </w:p>
              </w:tc>
              <w:tc>
                <w:tcPr>
                  <w:tcW w:w="1108" w:type="dxa"/>
                  <w:tcBorders>
                    <w:tl2br w:val="nil"/>
                    <w:tr2bl w:val="nil"/>
                  </w:tcBorders>
                  <w:noWrap w:val="0"/>
                  <w:vAlign w:val="center"/>
                </w:tcPr>
                <w:p w14:paraId="3910BFC2">
                  <w:pPr>
                    <w:adjustRightInd w:val="0"/>
                    <w:snapToGrid w:val="0"/>
                    <w:jc w:val="center"/>
                    <w:rPr>
                      <w:rFonts w:hint="eastAsia"/>
                      <w:b/>
                      <w:color w:val="auto"/>
                      <w:sz w:val="21"/>
                      <w:szCs w:val="21"/>
                      <w:highlight w:val="none"/>
                    </w:rPr>
                  </w:pPr>
                  <w:r>
                    <w:rPr>
                      <w:rFonts w:hint="eastAsia"/>
                      <w:bCs/>
                      <w:color w:val="auto"/>
                      <w:sz w:val="21"/>
                      <w:szCs w:val="21"/>
                      <w:highlight w:val="none"/>
                      <w:lang w:val="en-US" w:eastAsia="zh-CN"/>
                    </w:rPr>
                    <w:t>60</w:t>
                  </w:r>
                </w:p>
              </w:tc>
              <w:tc>
                <w:tcPr>
                  <w:tcW w:w="865" w:type="dxa"/>
                  <w:tcBorders>
                    <w:tl2br w:val="nil"/>
                    <w:tr2bl w:val="nil"/>
                  </w:tcBorders>
                  <w:noWrap w:val="0"/>
                  <w:vAlign w:val="center"/>
                </w:tcPr>
                <w:p w14:paraId="5E6C0D21">
                  <w:pPr>
                    <w:adjustRightInd w:val="0"/>
                    <w:snapToGrid w:val="0"/>
                    <w:jc w:val="center"/>
                    <w:rPr>
                      <w:rFonts w:hint="eastAsia"/>
                      <w:b/>
                      <w:color w:val="auto"/>
                      <w:sz w:val="21"/>
                      <w:szCs w:val="21"/>
                      <w:highlight w:val="none"/>
                    </w:rPr>
                  </w:pPr>
                  <w:r>
                    <w:rPr>
                      <w:rFonts w:hint="eastAsia"/>
                      <w:bCs/>
                      <w:color w:val="auto"/>
                      <w:sz w:val="21"/>
                      <w:szCs w:val="21"/>
                      <w:highlight w:val="none"/>
                      <w:lang w:val="en-US" w:eastAsia="zh-CN"/>
                    </w:rPr>
                    <w:t>2.68</w:t>
                  </w:r>
                </w:p>
              </w:tc>
              <w:tc>
                <w:tcPr>
                  <w:tcW w:w="1521" w:type="dxa"/>
                  <w:vMerge w:val="continue"/>
                  <w:tcBorders>
                    <w:tl2br w:val="nil"/>
                    <w:tr2bl w:val="nil"/>
                  </w:tcBorders>
                  <w:noWrap w:val="0"/>
                  <w:vAlign w:val="center"/>
                </w:tcPr>
                <w:p w14:paraId="071A45D2">
                  <w:pPr>
                    <w:adjustRightInd w:val="0"/>
                    <w:snapToGrid w:val="0"/>
                    <w:jc w:val="center"/>
                    <w:rPr>
                      <w:rFonts w:hint="eastAsia"/>
                      <w:b/>
                      <w:color w:val="auto"/>
                      <w:sz w:val="21"/>
                      <w:szCs w:val="21"/>
                      <w:highlight w:val="none"/>
                    </w:rPr>
                  </w:pPr>
                </w:p>
              </w:tc>
            </w:tr>
            <w:tr w14:paraId="211CBA0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8544" w:type="dxa"/>
                  <w:gridSpan w:val="9"/>
                  <w:tcBorders>
                    <w:tl2br w:val="nil"/>
                    <w:tr2bl w:val="nil"/>
                  </w:tcBorders>
                  <w:noWrap w:val="0"/>
                  <w:vAlign w:val="center"/>
                </w:tcPr>
                <w:p w14:paraId="5FF67FBA">
                  <w:pPr>
                    <w:adjustRightInd w:val="0"/>
                    <w:snapToGrid w:val="0"/>
                    <w:jc w:val="left"/>
                    <w:rPr>
                      <w:rFonts w:hint="default" w:eastAsia="宋体"/>
                      <w:b/>
                      <w:color w:val="auto"/>
                      <w:sz w:val="21"/>
                      <w:szCs w:val="21"/>
                      <w:highlight w:val="none"/>
                      <w:lang w:val="en-US" w:eastAsia="zh-CN"/>
                    </w:rPr>
                  </w:pPr>
                  <w:r>
                    <w:rPr>
                      <w:rFonts w:hint="eastAsia"/>
                      <w:b/>
                      <w:color w:val="auto"/>
                      <w:sz w:val="21"/>
                      <w:szCs w:val="21"/>
                      <w:highlight w:val="none"/>
                      <w:lang w:val="en-US" w:eastAsia="zh-CN"/>
                    </w:rPr>
                    <w:t>注：现有项目未识别TN、动植物油，本次补充识别。</w:t>
                  </w:r>
                </w:p>
              </w:tc>
            </w:tr>
          </w:tbl>
          <w:p w14:paraId="5E010406">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cs="Times New Roman"/>
                <w:b/>
                <w:bCs/>
                <w:color w:val="auto"/>
                <w:kern w:val="0"/>
                <w:sz w:val="21"/>
                <w:szCs w:val="21"/>
                <w:highlight w:val="none"/>
                <w:lang w:val="en-US" w:eastAsia="zh-CN" w:bidi="ar-SA"/>
              </w:rPr>
            </w:pPr>
            <w:r>
              <w:rPr>
                <w:rFonts w:hint="eastAsia" w:cs="Times New Roman"/>
                <w:b/>
                <w:bCs/>
                <w:color w:val="auto"/>
                <w:kern w:val="0"/>
                <w:sz w:val="21"/>
                <w:szCs w:val="21"/>
                <w:highlight w:val="none"/>
                <w:lang w:val="en-US" w:eastAsia="zh-CN" w:bidi="ar-SA"/>
              </w:rPr>
              <w:t>固废：</w:t>
            </w:r>
          </w:p>
          <w:p w14:paraId="3FFB6289">
            <w:pPr>
              <w:pStyle w:val="23"/>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kern w:val="0"/>
                <w:sz w:val="21"/>
                <w:szCs w:val="21"/>
                <w:highlight w:val="none"/>
                <w:lang w:val="en-US" w:eastAsia="zh-CN" w:bidi="ar-SA"/>
              </w:rPr>
            </w:pPr>
            <w:r>
              <w:rPr>
                <w:rFonts w:hint="eastAsia" w:ascii="Times New Roman" w:hAnsi="Times New Roman" w:cs="Times New Roman"/>
                <w:b/>
                <w:bCs/>
                <w:color w:val="auto"/>
                <w:kern w:val="0"/>
                <w:sz w:val="21"/>
                <w:szCs w:val="21"/>
                <w:highlight w:val="none"/>
                <w:lang w:val="en-US" w:eastAsia="zh-CN" w:bidi="ar-SA"/>
              </w:rPr>
              <w:t>一般固废：</w:t>
            </w:r>
          </w:p>
          <w:p w14:paraId="2C1E1102">
            <w:pPr>
              <w:pStyle w:val="23"/>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val="0"/>
                <w:bCs w:val="0"/>
                <w:color w:val="auto"/>
                <w:kern w:val="0"/>
                <w:sz w:val="21"/>
                <w:szCs w:val="21"/>
                <w:highlight w:val="none"/>
                <w:lang w:val="en-US" w:eastAsia="zh-CN" w:bidi="ar-SA"/>
              </w:rPr>
            </w:pPr>
            <w:r>
              <w:rPr>
                <w:rFonts w:hint="default" w:ascii="Times New Roman" w:hAnsi="Times New Roman" w:cs="Times New Roman"/>
                <w:b/>
                <w:bCs/>
                <w:color w:val="auto"/>
                <w:kern w:val="0"/>
                <w:sz w:val="21"/>
                <w:szCs w:val="21"/>
                <w:highlight w:val="none"/>
                <w:lang w:val="en-US" w:eastAsia="zh-CN" w:bidi="ar-SA"/>
              </w:rPr>
              <w:t>废边角料：</w:t>
            </w:r>
            <w:r>
              <w:rPr>
                <w:rFonts w:hint="default" w:ascii="Times New Roman" w:hAnsi="Times New Roman" w:cs="Times New Roman"/>
                <w:b w:val="0"/>
                <w:bCs w:val="0"/>
                <w:color w:val="auto"/>
                <w:kern w:val="0"/>
                <w:sz w:val="21"/>
                <w:szCs w:val="21"/>
                <w:highlight w:val="none"/>
                <w:lang w:val="en-US" w:eastAsia="zh-CN" w:bidi="ar-SA"/>
              </w:rPr>
              <w:t>注塑过程中会产生废边角料，产生量约为原辅料用量的40%，原料年用量600t/a，则不合格品产生量为240t/a；</w:t>
            </w:r>
          </w:p>
          <w:p w14:paraId="2C45691C">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val="0"/>
                <w:bCs w:val="0"/>
                <w:color w:val="auto"/>
                <w:kern w:val="0"/>
                <w:sz w:val="21"/>
                <w:szCs w:val="21"/>
                <w:highlight w:val="none"/>
                <w:lang w:val="en-US" w:eastAsia="zh-CN" w:bidi="ar-SA"/>
              </w:rPr>
            </w:pPr>
            <w:r>
              <w:rPr>
                <w:rFonts w:hint="default" w:ascii="Times New Roman" w:hAnsi="Times New Roman" w:cs="Times New Roman"/>
                <w:b/>
                <w:bCs/>
                <w:color w:val="auto"/>
                <w:kern w:val="0"/>
                <w:sz w:val="21"/>
                <w:szCs w:val="21"/>
                <w:highlight w:val="none"/>
                <w:lang w:val="en-US" w:eastAsia="zh-CN" w:bidi="ar-SA"/>
              </w:rPr>
              <w:t>废金属壳：</w:t>
            </w:r>
            <w:r>
              <w:rPr>
                <w:rFonts w:hint="default" w:ascii="Times New Roman" w:hAnsi="Times New Roman" w:cs="Times New Roman"/>
                <w:b w:val="0"/>
                <w:bCs w:val="0"/>
                <w:color w:val="auto"/>
                <w:kern w:val="0"/>
                <w:sz w:val="21"/>
                <w:szCs w:val="21"/>
                <w:highlight w:val="none"/>
                <w:lang w:val="en-US" w:eastAsia="zh-CN" w:bidi="ar-SA"/>
              </w:rPr>
              <w:t>在焚烧过程中仅含金属危废（沉淀渣、废药浆管、废产气药、废气体发生器）会产生产生废金属壳，含金属危废焚烧量约为296.3t/a，废金属壳产生量约为焚烧量的70%，则废金属壳产生量约为207.4t/a；</w:t>
            </w:r>
          </w:p>
          <w:p w14:paraId="4798AC00">
            <w:pPr>
              <w:pStyle w:val="58"/>
              <w:keepNext w:val="0"/>
              <w:keepLines w:val="0"/>
              <w:pageBreakBefore w:val="0"/>
              <w:kinsoku/>
              <w:wordWrap/>
              <w:overflowPunct/>
              <w:topLinePunct w:val="0"/>
              <w:autoSpaceDE/>
              <w:autoSpaceDN/>
              <w:bidi w:val="0"/>
              <w:adjustRightInd w:val="0"/>
              <w:snapToGrid w:val="0"/>
              <w:spacing w:after="0" w:line="360" w:lineRule="auto"/>
              <w:ind w:left="0" w:leftChars="0" w:firstLine="422" w:firstLineChars="200"/>
              <w:rPr>
                <w:rFonts w:hint="default" w:ascii="Times New Roman" w:hAnsi="Times New Roman" w:cs="Times New Roman"/>
                <w:b w:val="0"/>
                <w:bCs w:val="0"/>
                <w:color w:val="auto"/>
                <w:kern w:val="0"/>
                <w:sz w:val="21"/>
                <w:szCs w:val="21"/>
                <w:highlight w:val="none"/>
                <w:lang w:val="en-US" w:eastAsia="zh-CN" w:bidi="ar-SA"/>
              </w:rPr>
            </w:pPr>
            <w:r>
              <w:rPr>
                <w:rFonts w:hint="default" w:ascii="Times New Roman" w:hAnsi="Times New Roman" w:cs="Times New Roman"/>
                <w:b/>
                <w:bCs/>
                <w:color w:val="auto"/>
                <w:kern w:val="0"/>
                <w:sz w:val="21"/>
                <w:szCs w:val="21"/>
                <w:highlight w:val="none"/>
                <w:lang w:val="en-US" w:eastAsia="zh-CN" w:bidi="ar-SA"/>
              </w:rPr>
              <w:t>废包装盒/袋：</w:t>
            </w:r>
            <w:r>
              <w:rPr>
                <w:rFonts w:hint="default" w:ascii="Times New Roman" w:hAnsi="Times New Roman" w:cs="Times New Roman"/>
                <w:b w:val="0"/>
                <w:bCs w:val="0"/>
                <w:color w:val="auto"/>
                <w:kern w:val="0"/>
                <w:sz w:val="21"/>
                <w:szCs w:val="21"/>
                <w:highlight w:val="none"/>
                <w:lang w:val="en-US" w:eastAsia="zh-CN" w:bidi="ar-SA"/>
              </w:rPr>
              <w:t>在原辅料使用中会产生废包装盒/袋，</w:t>
            </w:r>
            <w:r>
              <w:rPr>
                <w:rFonts w:hint="eastAsia" w:ascii="Times New Roman" w:hAnsi="Times New Roman" w:cs="Times New Roman"/>
                <w:b w:val="0"/>
                <w:bCs w:val="0"/>
                <w:color w:val="auto"/>
                <w:kern w:val="0"/>
                <w:sz w:val="21"/>
                <w:szCs w:val="21"/>
                <w:highlight w:val="none"/>
                <w:lang w:val="en-US" w:eastAsia="zh-CN" w:bidi="ar-SA"/>
              </w:rPr>
              <w:t>根据企业提供的经验数据，</w:t>
            </w:r>
            <w:r>
              <w:rPr>
                <w:rFonts w:hint="default" w:ascii="Times New Roman" w:hAnsi="Times New Roman" w:cs="Times New Roman"/>
                <w:b w:val="0"/>
                <w:bCs w:val="0"/>
                <w:color w:val="auto"/>
                <w:kern w:val="0"/>
                <w:sz w:val="21"/>
                <w:szCs w:val="21"/>
                <w:highlight w:val="none"/>
                <w:lang w:val="en-US" w:eastAsia="zh-CN" w:bidi="ar-SA"/>
              </w:rPr>
              <w:t>产生量约为9.07t/a；</w:t>
            </w:r>
          </w:p>
          <w:p w14:paraId="189D8EB4">
            <w:pPr>
              <w:pStyle w:val="29"/>
              <w:keepNext w:val="0"/>
              <w:keepLines w:val="0"/>
              <w:pageBreakBefore w:val="0"/>
              <w:kinsoku/>
              <w:wordWrap/>
              <w:overflowPunct/>
              <w:topLinePunct w:val="0"/>
              <w:autoSpaceDE/>
              <w:autoSpaceDN/>
              <w:bidi w:val="0"/>
              <w:adjustRightInd w:val="0"/>
              <w:snapToGrid w:val="0"/>
              <w:spacing w:line="360" w:lineRule="auto"/>
              <w:ind w:left="0" w:leftChars="0" w:firstLine="422" w:firstLineChars="200"/>
              <w:rPr>
                <w:rFonts w:hint="default" w:ascii="Times New Roman" w:hAnsi="Times New Roman" w:cs="Times New Roman"/>
                <w:b w:val="0"/>
                <w:bCs w:val="0"/>
                <w:color w:val="auto"/>
                <w:kern w:val="0"/>
                <w:sz w:val="21"/>
                <w:szCs w:val="21"/>
                <w:highlight w:val="none"/>
                <w:lang w:val="en-US" w:eastAsia="zh-CN" w:bidi="ar-SA"/>
              </w:rPr>
            </w:pPr>
            <w:r>
              <w:rPr>
                <w:rFonts w:hint="default" w:ascii="Times New Roman" w:hAnsi="Times New Roman" w:cs="Times New Roman"/>
                <w:b/>
                <w:bCs/>
                <w:color w:val="auto"/>
                <w:kern w:val="0"/>
                <w:sz w:val="21"/>
                <w:szCs w:val="21"/>
                <w:highlight w:val="none"/>
                <w:lang w:val="en-US" w:eastAsia="zh-CN" w:bidi="ar-SA"/>
              </w:rPr>
              <w:t>压滤机滤布</w:t>
            </w:r>
            <w:r>
              <w:rPr>
                <w:rFonts w:hint="default" w:ascii="Times New Roman" w:hAnsi="Times New Roman" w:cs="Times New Roman"/>
                <w:b w:val="0"/>
                <w:bCs w:val="0"/>
                <w:color w:val="auto"/>
                <w:kern w:val="0"/>
                <w:sz w:val="21"/>
                <w:szCs w:val="21"/>
                <w:highlight w:val="none"/>
                <w:lang w:val="en-US" w:eastAsia="zh-CN" w:bidi="ar-SA"/>
              </w:rPr>
              <w:t>：来源于企业废水处理过程，</w:t>
            </w:r>
            <w:r>
              <w:rPr>
                <w:rFonts w:hint="eastAsia" w:ascii="Times New Roman" w:hAnsi="Times New Roman" w:cs="Times New Roman"/>
                <w:b w:val="0"/>
                <w:bCs w:val="0"/>
                <w:color w:val="auto"/>
                <w:kern w:val="0"/>
                <w:sz w:val="21"/>
                <w:szCs w:val="21"/>
                <w:highlight w:val="none"/>
                <w:lang w:val="en-US" w:eastAsia="zh-CN" w:bidi="ar-SA"/>
              </w:rPr>
              <w:t>根据企业提供的经验数据，</w:t>
            </w:r>
            <w:r>
              <w:rPr>
                <w:rFonts w:hint="default" w:ascii="Times New Roman" w:hAnsi="Times New Roman" w:cs="Times New Roman"/>
                <w:b w:val="0"/>
                <w:bCs w:val="0"/>
                <w:color w:val="auto"/>
                <w:kern w:val="0"/>
                <w:sz w:val="21"/>
                <w:szCs w:val="21"/>
                <w:highlight w:val="none"/>
                <w:lang w:val="en-US" w:eastAsia="zh-CN" w:bidi="ar-SA"/>
              </w:rPr>
              <w:t>产生量约为0.1t/a；</w:t>
            </w:r>
          </w:p>
          <w:p w14:paraId="72D35AF8">
            <w:pPr>
              <w:keepNext w:val="0"/>
              <w:keepLines w:val="0"/>
              <w:pageBreakBefore w:val="0"/>
              <w:kinsoku/>
              <w:wordWrap/>
              <w:overflowPunct/>
              <w:topLinePunct w:val="0"/>
              <w:autoSpaceDE/>
              <w:autoSpaceDN/>
              <w:bidi w:val="0"/>
              <w:adjustRightInd w:val="0"/>
              <w:snapToGrid w:val="0"/>
              <w:spacing w:line="360" w:lineRule="auto"/>
              <w:ind w:firstLine="422" w:firstLineChars="200"/>
              <w:rPr>
                <w:rFonts w:hint="default" w:ascii="Times New Roman" w:hAnsi="Times New Roman" w:cs="Times New Roman"/>
                <w:color w:val="auto"/>
                <w:kern w:val="0"/>
                <w:lang w:val="en-US" w:eastAsia="zh-CN"/>
              </w:rPr>
            </w:pPr>
            <w:r>
              <w:rPr>
                <w:rFonts w:hint="default" w:ascii="Times New Roman" w:hAnsi="Times New Roman" w:cs="Times New Roman"/>
                <w:b/>
                <w:bCs/>
                <w:color w:val="auto"/>
                <w:kern w:val="0"/>
                <w:lang w:val="en-US" w:eastAsia="zh-CN"/>
              </w:rPr>
              <w:t>拆解物：</w:t>
            </w:r>
            <w:r>
              <w:rPr>
                <w:rFonts w:hint="default" w:ascii="Times New Roman" w:hAnsi="Times New Roman" w:cs="Times New Roman"/>
                <w:color w:val="auto"/>
                <w:kern w:val="0"/>
                <w:lang w:val="en-US" w:eastAsia="zh-CN"/>
              </w:rPr>
              <w:t>来源于企业固废处理过程，</w:t>
            </w:r>
            <w:r>
              <w:rPr>
                <w:rFonts w:hint="eastAsia" w:ascii="Times New Roman" w:hAnsi="Times New Roman" w:cs="Times New Roman"/>
                <w:b w:val="0"/>
                <w:bCs w:val="0"/>
                <w:color w:val="auto"/>
                <w:kern w:val="0"/>
                <w:sz w:val="21"/>
                <w:szCs w:val="21"/>
                <w:highlight w:val="none"/>
                <w:lang w:val="en-US" w:eastAsia="zh-CN" w:bidi="ar-SA"/>
              </w:rPr>
              <w:t>根据企业提供的经验数据，</w:t>
            </w:r>
            <w:r>
              <w:rPr>
                <w:rFonts w:hint="default" w:ascii="Times New Roman" w:hAnsi="Times New Roman" w:cs="Times New Roman"/>
                <w:color w:val="auto"/>
                <w:kern w:val="0"/>
                <w:lang w:val="en-US" w:eastAsia="zh-CN"/>
              </w:rPr>
              <w:t>产生量约为10t/a；</w:t>
            </w:r>
          </w:p>
          <w:p w14:paraId="7AF4B697">
            <w:pPr>
              <w:keepNext w:val="0"/>
              <w:keepLines w:val="0"/>
              <w:pageBreakBefore w:val="0"/>
              <w:kinsoku/>
              <w:wordWrap/>
              <w:overflowPunct/>
              <w:topLinePunct w:val="0"/>
              <w:autoSpaceDE/>
              <w:autoSpaceDN/>
              <w:bidi w:val="0"/>
              <w:adjustRightInd w:val="0"/>
              <w:snapToGrid w:val="0"/>
              <w:spacing w:line="360" w:lineRule="auto"/>
              <w:ind w:left="0" w:leftChars="0" w:firstLine="422" w:firstLineChars="200"/>
              <w:textAlignment w:val="auto"/>
              <w:rPr>
                <w:rFonts w:hint="default" w:ascii="Times New Roman" w:hAnsi="Times New Roman" w:cs="Times New Roman"/>
                <w:b w:val="0"/>
                <w:bCs w:val="0"/>
                <w:color w:val="auto"/>
                <w:kern w:val="0"/>
                <w:sz w:val="21"/>
                <w:szCs w:val="21"/>
                <w:highlight w:val="none"/>
                <w:lang w:val="en-US" w:eastAsia="zh-CN" w:bidi="ar-SA"/>
              </w:rPr>
            </w:pPr>
            <w:r>
              <w:rPr>
                <w:rFonts w:hint="default" w:ascii="Times New Roman" w:hAnsi="Times New Roman" w:cs="Times New Roman"/>
                <w:b/>
                <w:bCs/>
                <w:color w:val="auto"/>
                <w:kern w:val="0"/>
                <w:sz w:val="21"/>
                <w:szCs w:val="21"/>
                <w:highlight w:val="none"/>
                <w:lang w:val="en-US" w:eastAsia="zh-CN" w:bidi="ar-SA"/>
              </w:rPr>
              <w:t>点火具焊接烟尘：</w:t>
            </w:r>
            <w:r>
              <w:rPr>
                <w:rFonts w:hint="default" w:ascii="Times New Roman" w:hAnsi="Times New Roman" w:cs="Times New Roman"/>
                <w:b w:val="0"/>
                <w:bCs w:val="0"/>
                <w:color w:val="auto"/>
                <w:kern w:val="0"/>
                <w:sz w:val="21"/>
                <w:szCs w:val="21"/>
                <w:highlight w:val="none"/>
                <w:lang w:val="en-US" w:eastAsia="zh-CN" w:bidi="ar-SA"/>
              </w:rPr>
              <w:t>来源于企业废气治理过程，</w:t>
            </w:r>
            <w:r>
              <w:rPr>
                <w:rFonts w:hint="eastAsia" w:ascii="Times New Roman" w:hAnsi="Times New Roman" w:cs="Times New Roman"/>
                <w:b w:val="0"/>
                <w:bCs w:val="0"/>
                <w:color w:val="auto"/>
                <w:kern w:val="0"/>
                <w:sz w:val="21"/>
                <w:szCs w:val="21"/>
                <w:highlight w:val="none"/>
                <w:lang w:val="en-US" w:eastAsia="zh-CN" w:bidi="ar-SA"/>
              </w:rPr>
              <w:t>根据企业提供的经验数据，</w:t>
            </w:r>
            <w:r>
              <w:rPr>
                <w:rFonts w:hint="default" w:ascii="Times New Roman" w:hAnsi="Times New Roman" w:cs="Times New Roman"/>
                <w:b w:val="0"/>
                <w:bCs w:val="0"/>
                <w:color w:val="auto"/>
                <w:kern w:val="0"/>
                <w:sz w:val="21"/>
                <w:szCs w:val="21"/>
                <w:highlight w:val="none"/>
                <w:lang w:val="en-US" w:eastAsia="zh-CN" w:bidi="ar-SA"/>
              </w:rPr>
              <w:t>产生量约为0.14t/a；</w:t>
            </w:r>
          </w:p>
          <w:p w14:paraId="046021E1">
            <w:pPr>
              <w:pStyle w:val="23"/>
              <w:keepNext w:val="0"/>
              <w:keepLines w:val="0"/>
              <w:pageBreakBefore w:val="0"/>
              <w:kinsoku/>
              <w:wordWrap/>
              <w:overflowPunct/>
              <w:topLinePunct w:val="0"/>
              <w:autoSpaceDE/>
              <w:autoSpaceDN/>
              <w:bidi w:val="0"/>
              <w:adjustRightInd w:val="0"/>
              <w:snapToGrid w:val="0"/>
              <w:spacing w:line="360" w:lineRule="auto"/>
              <w:ind w:left="0" w:leftChars="0" w:firstLine="422" w:firstLineChars="200"/>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废砂：</w:t>
            </w:r>
            <w:r>
              <w:rPr>
                <w:rFonts w:hint="default" w:ascii="Times New Roman" w:hAnsi="Times New Roman" w:cs="Times New Roman"/>
                <w:color w:val="auto"/>
                <w:kern w:val="0"/>
                <w:sz w:val="21"/>
                <w:szCs w:val="21"/>
                <w:lang w:val="en-US" w:eastAsia="zh-CN"/>
              </w:rPr>
              <w:t>来源于企业废水处理过程，</w:t>
            </w:r>
            <w:r>
              <w:rPr>
                <w:rFonts w:hint="eastAsia" w:ascii="Times New Roman" w:hAnsi="Times New Roman" w:cs="Times New Roman"/>
                <w:b w:val="0"/>
                <w:bCs w:val="0"/>
                <w:color w:val="auto"/>
                <w:kern w:val="0"/>
                <w:sz w:val="21"/>
                <w:szCs w:val="21"/>
                <w:highlight w:val="none"/>
                <w:lang w:val="en-US" w:eastAsia="zh-CN" w:bidi="ar-SA"/>
              </w:rPr>
              <w:t>根据企业提供的经验数据，</w:t>
            </w:r>
            <w:r>
              <w:rPr>
                <w:rFonts w:hint="default" w:ascii="Times New Roman" w:hAnsi="Times New Roman" w:cs="Times New Roman"/>
                <w:color w:val="auto"/>
                <w:kern w:val="0"/>
                <w:sz w:val="21"/>
                <w:szCs w:val="21"/>
                <w:lang w:val="en-US" w:eastAsia="zh-CN"/>
              </w:rPr>
              <w:t>产生量约为1t/a；</w:t>
            </w:r>
          </w:p>
          <w:p w14:paraId="6AE0A23C">
            <w:pPr>
              <w:keepNext w:val="0"/>
              <w:keepLines w:val="0"/>
              <w:pageBreakBefore w:val="0"/>
              <w:kinsoku/>
              <w:wordWrap/>
              <w:overflowPunct/>
              <w:topLinePunct w:val="0"/>
              <w:autoSpaceDE/>
              <w:autoSpaceDN/>
              <w:bidi w:val="0"/>
              <w:adjustRightInd w:val="0"/>
              <w:snapToGrid w:val="0"/>
              <w:spacing w:line="360" w:lineRule="auto"/>
              <w:ind w:left="0" w:leftChars="0" w:firstLine="422" w:firstLineChars="200"/>
              <w:rPr>
                <w:rFonts w:hint="default" w:ascii="Times New Roman" w:hAnsi="Times New Roman" w:cs="Times New Roman"/>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RO膜：</w:t>
            </w:r>
            <w:r>
              <w:rPr>
                <w:rFonts w:hint="default" w:ascii="Times New Roman" w:hAnsi="Times New Roman" w:cs="Times New Roman"/>
                <w:color w:val="auto"/>
                <w:kern w:val="0"/>
                <w:sz w:val="21"/>
                <w:szCs w:val="21"/>
                <w:lang w:val="en-US" w:eastAsia="zh-CN"/>
              </w:rPr>
              <w:t>来源于企业废水处理过程，</w:t>
            </w:r>
            <w:r>
              <w:rPr>
                <w:rFonts w:hint="eastAsia" w:ascii="Times New Roman" w:hAnsi="Times New Roman" w:cs="Times New Roman"/>
                <w:b w:val="0"/>
                <w:bCs w:val="0"/>
                <w:color w:val="auto"/>
                <w:kern w:val="0"/>
                <w:sz w:val="21"/>
                <w:szCs w:val="21"/>
                <w:highlight w:val="none"/>
                <w:lang w:val="en-US" w:eastAsia="zh-CN" w:bidi="ar-SA"/>
              </w:rPr>
              <w:t>根据企业提供的经验数据，</w:t>
            </w:r>
            <w:r>
              <w:rPr>
                <w:rFonts w:hint="default" w:ascii="Times New Roman" w:hAnsi="Times New Roman" w:cs="Times New Roman"/>
                <w:color w:val="auto"/>
                <w:kern w:val="0"/>
                <w:sz w:val="21"/>
                <w:szCs w:val="21"/>
                <w:lang w:val="en-US" w:eastAsia="zh-CN"/>
              </w:rPr>
              <w:t>产生量约为0.1t/a；</w:t>
            </w:r>
          </w:p>
          <w:p w14:paraId="03B08723">
            <w:pPr>
              <w:pStyle w:val="58"/>
              <w:keepNext w:val="0"/>
              <w:keepLines w:val="0"/>
              <w:pageBreakBefore w:val="0"/>
              <w:kinsoku/>
              <w:wordWrap/>
              <w:overflowPunct/>
              <w:topLinePunct w:val="0"/>
              <w:autoSpaceDE/>
              <w:autoSpaceDN/>
              <w:bidi w:val="0"/>
              <w:adjustRightInd w:val="0"/>
              <w:snapToGrid w:val="0"/>
              <w:spacing w:after="0" w:line="360" w:lineRule="auto"/>
              <w:ind w:left="0" w:leftChars="0" w:firstLine="422" w:firstLineChars="200"/>
              <w:rPr>
                <w:rFonts w:hint="default" w:ascii="Times New Roman" w:hAnsi="Times New Roman" w:cs="Times New Roman"/>
                <w:color w:val="auto"/>
                <w:kern w:val="0"/>
                <w:lang w:val="en-US" w:eastAsia="zh-CN"/>
              </w:rPr>
            </w:pPr>
            <w:r>
              <w:rPr>
                <w:rFonts w:hint="default" w:ascii="Times New Roman" w:hAnsi="Times New Roman" w:cs="Times New Roman"/>
                <w:b/>
                <w:bCs/>
                <w:color w:val="auto"/>
                <w:kern w:val="0"/>
                <w:sz w:val="21"/>
                <w:szCs w:val="21"/>
                <w:lang w:val="en-US" w:eastAsia="zh-CN"/>
              </w:rPr>
              <w:t>浓盐废液：</w:t>
            </w:r>
            <w:r>
              <w:rPr>
                <w:rFonts w:hint="default" w:ascii="Times New Roman" w:hAnsi="Times New Roman" w:cs="Times New Roman"/>
                <w:color w:val="auto"/>
                <w:kern w:val="0"/>
                <w:sz w:val="21"/>
                <w:szCs w:val="21"/>
                <w:lang w:val="en-US" w:eastAsia="zh-CN"/>
              </w:rPr>
              <w:t>来源于企业废水处理过程，</w:t>
            </w:r>
            <w:r>
              <w:rPr>
                <w:rFonts w:hint="eastAsia" w:ascii="Times New Roman" w:hAnsi="Times New Roman" w:cs="Times New Roman"/>
                <w:b w:val="0"/>
                <w:bCs w:val="0"/>
                <w:color w:val="auto"/>
                <w:kern w:val="0"/>
                <w:sz w:val="21"/>
                <w:szCs w:val="21"/>
                <w:highlight w:val="none"/>
                <w:lang w:val="en-US" w:eastAsia="zh-CN" w:bidi="ar-SA"/>
              </w:rPr>
              <w:t>根据企业提供的经验数据，</w:t>
            </w:r>
            <w:r>
              <w:rPr>
                <w:rFonts w:hint="default" w:ascii="Times New Roman" w:hAnsi="Times New Roman" w:cs="Times New Roman"/>
                <w:color w:val="auto"/>
                <w:kern w:val="0"/>
                <w:sz w:val="21"/>
                <w:szCs w:val="21"/>
                <w:lang w:val="en-US" w:eastAsia="zh-CN"/>
              </w:rPr>
              <w:t>产生量约</w:t>
            </w:r>
            <w:r>
              <w:rPr>
                <w:rFonts w:hint="eastAsia" w:ascii="Times New Roman" w:hAnsi="Times New Roman" w:cs="Times New Roman"/>
                <w:color w:val="auto"/>
                <w:kern w:val="0"/>
                <w:sz w:val="21"/>
                <w:szCs w:val="21"/>
                <w:lang w:val="en-US" w:eastAsia="zh-CN"/>
              </w:rPr>
              <w:t>为</w:t>
            </w:r>
            <w:r>
              <w:rPr>
                <w:rFonts w:hint="default" w:ascii="Times New Roman" w:hAnsi="Times New Roman" w:cs="Times New Roman"/>
                <w:color w:val="auto"/>
                <w:kern w:val="0"/>
                <w:sz w:val="21"/>
                <w:szCs w:val="21"/>
                <w:lang w:val="en-US" w:eastAsia="zh-CN"/>
              </w:rPr>
              <w:t>396.78t/a；</w:t>
            </w:r>
          </w:p>
          <w:p w14:paraId="61F4E61F">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2" w:firstLineChars="200"/>
              <w:rPr>
                <w:rFonts w:hint="default" w:ascii="Times New Roman" w:hAnsi="Times New Roman" w:cs="Times New Roman"/>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废滤网、滤芯：</w:t>
            </w:r>
            <w:r>
              <w:rPr>
                <w:rFonts w:hint="default" w:ascii="Times New Roman" w:hAnsi="Times New Roman" w:cs="Times New Roman"/>
                <w:color w:val="auto"/>
                <w:kern w:val="0"/>
                <w:sz w:val="21"/>
                <w:szCs w:val="21"/>
                <w:lang w:val="en-US" w:eastAsia="zh-CN"/>
              </w:rPr>
              <w:t>来源于企业废气治理过程，</w:t>
            </w:r>
            <w:r>
              <w:rPr>
                <w:rFonts w:hint="eastAsia" w:ascii="Times New Roman" w:hAnsi="Times New Roman" w:cs="Times New Roman"/>
                <w:b w:val="0"/>
                <w:bCs w:val="0"/>
                <w:color w:val="auto"/>
                <w:kern w:val="0"/>
                <w:sz w:val="21"/>
                <w:szCs w:val="21"/>
                <w:highlight w:val="none"/>
                <w:lang w:val="en-US" w:eastAsia="zh-CN" w:bidi="ar-SA"/>
              </w:rPr>
              <w:t>根据企业提供的经验数据，</w:t>
            </w:r>
            <w:r>
              <w:rPr>
                <w:rFonts w:hint="default" w:ascii="Times New Roman" w:hAnsi="Times New Roman" w:cs="Times New Roman"/>
                <w:color w:val="auto"/>
                <w:kern w:val="0"/>
                <w:sz w:val="21"/>
                <w:szCs w:val="21"/>
                <w:lang w:val="en-US" w:eastAsia="zh-CN"/>
              </w:rPr>
              <w:t>产生量约为3.15t/a；</w:t>
            </w:r>
          </w:p>
          <w:p w14:paraId="0D672CD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2" w:firstLineChars="200"/>
              <w:rPr>
                <w:rFonts w:hint="default"/>
                <w:color w:val="auto"/>
                <w:kern w:val="0"/>
                <w:sz w:val="21"/>
                <w:szCs w:val="21"/>
                <w:lang w:val="en-US" w:eastAsia="zh-CN"/>
              </w:rPr>
            </w:pPr>
            <w:r>
              <w:rPr>
                <w:rFonts w:hint="eastAsia"/>
                <w:b/>
                <w:bCs/>
                <w:i w:val="0"/>
                <w:iCs w:val="0"/>
                <w:color w:val="auto"/>
                <w:kern w:val="0"/>
                <w:sz w:val="21"/>
                <w:szCs w:val="21"/>
                <w:lang w:val="en-US" w:eastAsia="zh-CN"/>
              </w:rPr>
              <w:t>废水处理站污泥（301污水站）：</w:t>
            </w:r>
            <w:r>
              <w:rPr>
                <w:rFonts w:hint="eastAsia"/>
                <w:color w:val="auto"/>
                <w:kern w:val="0"/>
                <w:sz w:val="21"/>
                <w:szCs w:val="21"/>
                <w:lang w:val="en-US" w:eastAsia="zh-CN"/>
              </w:rPr>
              <w:t>来源于企业废水处理过程，</w:t>
            </w:r>
            <w:r>
              <w:rPr>
                <w:rFonts w:hint="eastAsia" w:ascii="Times New Roman" w:hAnsi="Times New Roman" w:cs="Times New Roman"/>
                <w:b w:val="0"/>
                <w:bCs w:val="0"/>
                <w:color w:val="auto"/>
                <w:kern w:val="0"/>
                <w:sz w:val="21"/>
                <w:szCs w:val="21"/>
                <w:highlight w:val="none"/>
                <w:lang w:val="en-US" w:eastAsia="zh-CN" w:bidi="ar-SA"/>
              </w:rPr>
              <w:t>根据企业提供的经验数据，</w:t>
            </w:r>
            <w:r>
              <w:rPr>
                <w:rFonts w:hint="eastAsia"/>
                <w:color w:val="auto"/>
                <w:kern w:val="0"/>
                <w:sz w:val="21"/>
                <w:szCs w:val="21"/>
                <w:lang w:val="en-US" w:eastAsia="zh-CN"/>
              </w:rPr>
              <w:t>产生量约为25t/a；</w:t>
            </w:r>
          </w:p>
          <w:p w14:paraId="1603DE7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2" w:firstLineChars="200"/>
              <w:rPr>
                <w:rFonts w:hint="default"/>
                <w:color w:val="auto"/>
                <w:kern w:val="0"/>
                <w:sz w:val="21"/>
                <w:szCs w:val="21"/>
                <w:lang w:val="en-US" w:eastAsia="zh-CN"/>
              </w:rPr>
            </w:pPr>
            <w:r>
              <w:rPr>
                <w:rFonts w:hint="eastAsia"/>
                <w:b/>
                <w:bCs/>
                <w:color w:val="auto"/>
                <w:kern w:val="0"/>
                <w:sz w:val="21"/>
                <w:szCs w:val="21"/>
                <w:lang w:val="en-US" w:eastAsia="zh-CN"/>
              </w:rPr>
              <w:t>废水处理站污泥（505污水站）：</w:t>
            </w:r>
            <w:r>
              <w:rPr>
                <w:rFonts w:hint="eastAsia"/>
                <w:color w:val="auto"/>
                <w:kern w:val="0"/>
                <w:sz w:val="21"/>
                <w:szCs w:val="21"/>
                <w:lang w:val="en-US" w:eastAsia="zh-CN"/>
              </w:rPr>
              <w:t>来源于企业废水处理过程，</w:t>
            </w:r>
            <w:r>
              <w:rPr>
                <w:rFonts w:hint="eastAsia" w:ascii="Times New Roman" w:hAnsi="Times New Roman" w:cs="Times New Roman"/>
                <w:b w:val="0"/>
                <w:bCs w:val="0"/>
                <w:color w:val="auto"/>
                <w:kern w:val="0"/>
                <w:sz w:val="21"/>
                <w:szCs w:val="21"/>
                <w:highlight w:val="none"/>
                <w:lang w:val="en-US" w:eastAsia="zh-CN" w:bidi="ar-SA"/>
              </w:rPr>
              <w:t>根据企业提供的经验数据，</w:t>
            </w:r>
            <w:r>
              <w:rPr>
                <w:rFonts w:hint="eastAsia"/>
                <w:color w:val="auto"/>
                <w:kern w:val="0"/>
                <w:sz w:val="21"/>
                <w:szCs w:val="21"/>
                <w:lang w:val="en-US" w:eastAsia="zh-CN"/>
              </w:rPr>
              <w:t>产生量约为25t/a。</w:t>
            </w:r>
          </w:p>
          <w:p w14:paraId="337DE46F">
            <w:pPr>
              <w:pStyle w:val="5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2" w:firstLineChars="200"/>
              <w:rPr>
                <w:rFonts w:hint="default"/>
                <w:b/>
                <w:bCs/>
                <w:color w:val="auto"/>
                <w:kern w:val="0"/>
                <w:sz w:val="21"/>
                <w:szCs w:val="21"/>
                <w:lang w:val="en-US" w:eastAsia="zh-CN"/>
              </w:rPr>
            </w:pPr>
            <w:r>
              <w:rPr>
                <w:rFonts w:hint="eastAsia"/>
                <w:b/>
                <w:bCs/>
                <w:color w:val="auto"/>
                <w:kern w:val="0"/>
                <w:sz w:val="21"/>
                <w:szCs w:val="21"/>
                <w:lang w:val="en-US" w:eastAsia="zh-CN"/>
              </w:rPr>
              <w:t>危险固废</w:t>
            </w:r>
          </w:p>
          <w:p w14:paraId="0E1ECC4C">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2" w:firstLineChars="200"/>
              <w:rPr>
                <w:rFonts w:hint="eastAsia" w:ascii="Times New Roman" w:hAnsi="Times New Roman" w:cs="Times New Roman"/>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传火药废水处理站污泥：</w:t>
            </w:r>
            <w:r>
              <w:rPr>
                <w:rFonts w:hint="eastAsia" w:ascii="Times New Roman" w:hAnsi="Times New Roman" w:cs="Times New Roman"/>
                <w:color w:val="auto"/>
                <w:kern w:val="0"/>
                <w:sz w:val="21"/>
                <w:szCs w:val="21"/>
                <w:lang w:val="en-US" w:eastAsia="zh-CN"/>
              </w:rPr>
              <w:t>来源于企业处理传火药废水，</w:t>
            </w:r>
            <w:r>
              <w:rPr>
                <w:rFonts w:hint="eastAsia" w:ascii="Times New Roman" w:hAnsi="Times New Roman" w:cs="Times New Roman"/>
                <w:b w:val="0"/>
                <w:bCs w:val="0"/>
                <w:color w:val="auto"/>
                <w:kern w:val="0"/>
                <w:sz w:val="21"/>
                <w:szCs w:val="21"/>
                <w:highlight w:val="none"/>
                <w:lang w:val="en-US" w:eastAsia="zh-CN" w:bidi="ar-SA"/>
              </w:rPr>
              <w:t>根据企业提供的经验数据，</w:t>
            </w:r>
            <w:r>
              <w:rPr>
                <w:rFonts w:hint="eastAsia" w:ascii="Times New Roman" w:hAnsi="Times New Roman" w:cs="Times New Roman"/>
                <w:color w:val="auto"/>
                <w:kern w:val="0"/>
                <w:sz w:val="21"/>
                <w:szCs w:val="21"/>
                <w:lang w:val="en-US" w:eastAsia="zh-CN"/>
              </w:rPr>
              <w:t>产生量约20t/a，经收集后暂存于危废仓库，经自建焚烧炉焚毁；</w:t>
            </w:r>
          </w:p>
          <w:p w14:paraId="5D63F9C3">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rPr>
                <w:rFonts w:hint="eastAsia" w:cs="Times New Roman"/>
                <w:b w:val="0"/>
                <w:bCs w:val="0"/>
                <w:color w:val="auto"/>
                <w:kern w:val="0"/>
                <w:sz w:val="21"/>
                <w:szCs w:val="21"/>
                <w:highlight w:val="none"/>
                <w:lang w:val="en-US" w:eastAsia="zh-CN" w:bidi="ar-SA"/>
              </w:rPr>
            </w:pPr>
            <w:r>
              <w:rPr>
                <w:rFonts w:hint="eastAsia"/>
                <w:b/>
                <w:bCs/>
                <w:color w:val="auto"/>
                <w:kern w:val="0"/>
                <w:lang w:val="en-US" w:eastAsia="zh-CN"/>
              </w:rPr>
              <w:t>沉淀渣：</w:t>
            </w:r>
            <w:r>
              <w:rPr>
                <w:rFonts w:hint="eastAsia"/>
                <w:color w:val="auto"/>
                <w:kern w:val="0"/>
                <w:lang w:val="en-US" w:eastAsia="zh-CN"/>
              </w:rPr>
              <w:t>来源于企业废水处理过程，</w:t>
            </w:r>
            <w:r>
              <w:rPr>
                <w:rFonts w:hint="eastAsia" w:ascii="Times New Roman" w:hAnsi="Times New Roman" w:cs="Times New Roman"/>
                <w:b w:val="0"/>
                <w:bCs w:val="0"/>
                <w:color w:val="auto"/>
                <w:kern w:val="0"/>
                <w:sz w:val="21"/>
                <w:szCs w:val="21"/>
                <w:highlight w:val="none"/>
                <w:lang w:val="en-US" w:eastAsia="zh-CN" w:bidi="ar-SA"/>
              </w:rPr>
              <w:t>根据企业提供的经验数据，</w:t>
            </w:r>
            <w:r>
              <w:rPr>
                <w:rFonts w:hint="eastAsia" w:cs="Times New Roman"/>
                <w:b w:val="0"/>
                <w:bCs w:val="0"/>
                <w:color w:val="auto"/>
                <w:kern w:val="0"/>
                <w:sz w:val="21"/>
                <w:szCs w:val="21"/>
                <w:highlight w:val="none"/>
                <w:lang w:val="en-US" w:eastAsia="zh-CN" w:bidi="ar-SA"/>
              </w:rPr>
              <w:t>产生量约2.5t/a，经收集后暂存于危废仓库，经自建焚烧炉焚毁；</w:t>
            </w:r>
          </w:p>
          <w:p w14:paraId="48EC7849">
            <w:pPr>
              <w:pStyle w:val="5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2" w:firstLineChars="200"/>
              <w:rPr>
                <w:rFonts w:hint="default"/>
                <w:color w:val="auto"/>
                <w:kern w:val="0"/>
                <w:sz w:val="21"/>
                <w:szCs w:val="21"/>
                <w:lang w:val="en-US" w:eastAsia="zh-CN"/>
              </w:rPr>
            </w:pPr>
            <w:r>
              <w:rPr>
                <w:rFonts w:hint="eastAsia"/>
                <w:b/>
                <w:bCs/>
                <w:color w:val="auto"/>
                <w:kern w:val="0"/>
                <w:sz w:val="21"/>
                <w:szCs w:val="21"/>
                <w:lang w:val="en-US" w:eastAsia="zh-CN"/>
              </w:rPr>
              <w:t>废药浆管：</w:t>
            </w:r>
            <w:r>
              <w:rPr>
                <w:rFonts w:hint="eastAsia"/>
                <w:color w:val="auto"/>
                <w:kern w:val="0"/>
                <w:sz w:val="21"/>
                <w:szCs w:val="21"/>
                <w:lang w:val="en-US" w:eastAsia="zh-CN"/>
              </w:rPr>
              <w:t>来源于企业点火具生产过程产生的报废药浆管，现有项目药浆管年用量约730t/a，实际生产过程中随着工艺的进步，实际报废量约为年用量的2.5%，则废药浆管产生量约18t/a，经收集后暂存于危废仓库，经自建焚烧炉焚毁；</w:t>
            </w:r>
          </w:p>
          <w:p w14:paraId="7807373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2" w:firstLineChars="200"/>
              <w:rPr>
                <w:rFonts w:hint="default" w:ascii="Times New Roman" w:hAnsi="Times New Roman" w:cs="Times New Roman"/>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不合格品（废点火具）：</w:t>
            </w:r>
            <w:r>
              <w:rPr>
                <w:rFonts w:hint="eastAsia" w:ascii="Times New Roman" w:hAnsi="Times New Roman" w:cs="Times New Roman"/>
                <w:color w:val="auto"/>
                <w:kern w:val="0"/>
                <w:sz w:val="21"/>
                <w:szCs w:val="21"/>
                <w:lang w:val="en-US" w:eastAsia="zh-CN"/>
              </w:rPr>
              <w:t>来源于注塑检验步骤，现有项目年生产点火具约1270t/a，实际生产过程中随着工艺的进步，实际不合格品约为年生产量的2.5%，则不合格品（废点火具）产生量约32t/a，经收集后暂存于危废仓库，经自建焚烧炉焚毁；</w:t>
            </w:r>
          </w:p>
          <w:p w14:paraId="3DF4E89A">
            <w:pPr>
              <w:pStyle w:val="5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2" w:firstLineChars="200"/>
              <w:rPr>
                <w:rFonts w:hint="default"/>
                <w:color w:val="auto"/>
                <w:kern w:val="0"/>
                <w:lang w:val="en-US" w:eastAsia="zh-CN"/>
              </w:rPr>
            </w:pPr>
            <w:r>
              <w:rPr>
                <w:rFonts w:hint="eastAsia" w:ascii="Times New Roman" w:hAnsi="Times New Roman" w:cs="Times New Roman"/>
                <w:b/>
                <w:bCs/>
                <w:color w:val="auto"/>
                <w:kern w:val="0"/>
                <w:sz w:val="21"/>
                <w:szCs w:val="21"/>
                <w:lang w:val="en-US" w:eastAsia="zh-CN"/>
              </w:rPr>
              <w:t>废药片（废产气药）：</w:t>
            </w:r>
            <w:r>
              <w:rPr>
                <w:rFonts w:hint="eastAsia" w:ascii="Times New Roman" w:hAnsi="Times New Roman" w:cs="Times New Roman"/>
                <w:color w:val="auto"/>
                <w:kern w:val="0"/>
                <w:sz w:val="21"/>
                <w:szCs w:val="21"/>
                <w:lang w:val="en-US" w:eastAsia="zh-CN"/>
              </w:rPr>
              <w:t>来源于企业产气药生产过程产生的废药片，现有项目年生产产气药约4300t/a，实际生产过程中随着工艺的进步，实际产生的废药片约为年产量的2.5%，则废药片（废产气药）产生量约为108t/a，经收集后暂存于危废仓库，经自建焚烧炉焚毁；</w:t>
            </w:r>
          </w:p>
          <w:p w14:paraId="567E2FB7">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2" w:firstLineChars="200"/>
              <w:rPr>
                <w:rFonts w:hint="default" w:ascii="Times New Roman" w:hAnsi="Times New Roman" w:cs="Times New Roman"/>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不合格品（废气体发生器）：</w:t>
            </w:r>
            <w:r>
              <w:rPr>
                <w:rFonts w:hint="eastAsia" w:ascii="Times New Roman" w:hAnsi="Times New Roman" w:cs="Times New Roman"/>
                <w:color w:val="auto"/>
                <w:kern w:val="0"/>
                <w:sz w:val="21"/>
                <w:szCs w:val="21"/>
                <w:lang w:val="en-US" w:eastAsia="zh-CN"/>
              </w:rPr>
              <w:t>来源于气体发生器生产过程中产生的不合格品。现有项目年生产气体发生器约9500t/a，实际生产过程中随着工艺的进步，实际产生的不合格品约为年产量的2.5%，则不合格品（废气体发生器）产生量约为238t/a，经收集后暂存于危废仓库，经自建焚烧炉焚毁；</w:t>
            </w:r>
          </w:p>
          <w:p w14:paraId="6096E5B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2" w:firstLineChars="200"/>
              <w:rPr>
                <w:rFonts w:hint="default" w:ascii="Times New Roman" w:hAnsi="Times New Roman" w:cs="Times New Roman"/>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废矿物油：</w:t>
            </w:r>
            <w:r>
              <w:rPr>
                <w:rFonts w:hint="eastAsia" w:ascii="Times New Roman" w:hAnsi="Times New Roman" w:cs="Times New Roman"/>
                <w:color w:val="auto"/>
                <w:kern w:val="0"/>
                <w:sz w:val="21"/>
                <w:szCs w:val="21"/>
                <w:lang w:val="en-US" w:eastAsia="zh-CN"/>
              </w:rPr>
              <w:t>设备维护过程中会产生废矿物油，根据企业提供的经验数据，产生量约为10t/a，经收集后暂存于危废仓库，经自建焚烧炉焚毁；</w:t>
            </w:r>
          </w:p>
          <w:p w14:paraId="2A88A83E">
            <w:pPr>
              <w:pStyle w:val="5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2" w:firstLineChars="200"/>
              <w:rPr>
                <w:rFonts w:hint="default" w:ascii="Times New Roman" w:hAnsi="Times New Roman" w:cs="Times New Roman"/>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药浆擦拭纸：</w:t>
            </w:r>
            <w:r>
              <w:rPr>
                <w:rFonts w:hint="eastAsia" w:ascii="Times New Roman" w:hAnsi="Times New Roman" w:cs="Times New Roman"/>
                <w:color w:val="auto"/>
                <w:kern w:val="0"/>
                <w:sz w:val="21"/>
                <w:szCs w:val="21"/>
                <w:lang w:val="en-US" w:eastAsia="zh-CN"/>
              </w:rPr>
              <w:t>来源于企业点火具生产过程，根据企业提供的经验数据，产生量约为11.8t/a，经收集后暂存于危废仓库，经自建焚烧炉焚毁；</w:t>
            </w:r>
          </w:p>
          <w:p w14:paraId="06A64FCF">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2" w:firstLineChars="200"/>
              <w:rPr>
                <w:rFonts w:hint="default" w:ascii="Times New Roman" w:hAnsi="Times New Roman" w:cs="Times New Roman"/>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化学品沾染物：</w:t>
            </w:r>
            <w:r>
              <w:rPr>
                <w:rFonts w:hint="eastAsia" w:ascii="Times New Roman" w:hAnsi="Times New Roman" w:cs="Times New Roman"/>
                <w:color w:val="auto"/>
                <w:kern w:val="0"/>
                <w:sz w:val="21"/>
                <w:szCs w:val="21"/>
                <w:lang w:val="en-US" w:eastAsia="zh-CN"/>
              </w:rPr>
              <w:t>来源于企业生产过程中各种沾染化学品、油、药剂等物质，根据企业提供的经验数据，产生量约为12t/a，经收集后暂存于危废仓库，经自建焚烧炉焚毁；</w:t>
            </w:r>
          </w:p>
          <w:p w14:paraId="3E4C206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2" w:firstLineChars="200"/>
              <w:rPr>
                <w:rFonts w:hint="default" w:ascii="Times New Roman" w:hAnsi="Times New Roman" w:cs="Times New Roman"/>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废离子交换树脂</w:t>
            </w:r>
            <w:r>
              <w:rPr>
                <w:rFonts w:hint="eastAsia" w:ascii="Times New Roman" w:hAnsi="Times New Roman" w:cs="Times New Roman"/>
                <w:color w:val="auto"/>
                <w:kern w:val="0"/>
                <w:sz w:val="21"/>
                <w:szCs w:val="21"/>
                <w:lang w:val="en-US" w:eastAsia="zh-CN"/>
              </w:rPr>
              <w:t>：来源于去离子水制备过程，根据企业提供的经验数据，产生量约为3t/a，经收集后暂存于危废仓库，经自建焚烧炉焚毁；</w:t>
            </w:r>
          </w:p>
          <w:p w14:paraId="5A36676A">
            <w:pPr>
              <w:pStyle w:val="5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2" w:firstLineChars="200"/>
              <w:rPr>
                <w:rFonts w:hint="default" w:ascii="Times New Roman" w:hAnsi="Times New Roman" w:cs="Times New Roman"/>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灰渣：</w:t>
            </w:r>
            <w:r>
              <w:rPr>
                <w:rFonts w:hint="eastAsia" w:ascii="Times New Roman" w:hAnsi="Times New Roman" w:cs="Times New Roman"/>
                <w:color w:val="auto"/>
                <w:kern w:val="0"/>
                <w:sz w:val="21"/>
                <w:szCs w:val="21"/>
                <w:lang w:val="en-US" w:eastAsia="zh-CN"/>
              </w:rPr>
              <w:t>在危废焚烧过程中产生炉渣，现有项目危废焚烧量为481t/a，炉渣产生量约为焚烧量的2%，则灰渣产生量为9.62t/a，经收集后暂存于危废仓库，定期委托有资质单位处理；</w:t>
            </w:r>
          </w:p>
          <w:p w14:paraId="481893D5">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2" w:firstLineChars="200"/>
              <w:rPr>
                <w:rFonts w:hint="default" w:ascii="Times New Roman" w:hAnsi="Times New Roman" w:cs="Times New Roman"/>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飞灰：</w:t>
            </w:r>
            <w:r>
              <w:rPr>
                <w:rFonts w:hint="eastAsia" w:ascii="Times New Roman" w:hAnsi="Times New Roman" w:cs="Times New Roman"/>
                <w:color w:val="auto"/>
                <w:kern w:val="0"/>
                <w:sz w:val="21"/>
                <w:szCs w:val="21"/>
                <w:lang w:val="en-US" w:eastAsia="zh-CN"/>
              </w:rPr>
              <w:t>在急冷除盐、干粉吸收、布袋除尘过程中会产生飞灰，根据企业提供的经验数据，产生量为12.5t/a，经收集后暂存于危废仓库，定期委托有资质单位处理；</w:t>
            </w:r>
          </w:p>
          <w:p w14:paraId="247E317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2" w:firstLineChars="200"/>
              <w:rPr>
                <w:rFonts w:hint="default" w:ascii="Times New Roman" w:hAnsi="Times New Roman" w:cs="Times New Roman"/>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废布袋：</w:t>
            </w:r>
            <w:r>
              <w:rPr>
                <w:rFonts w:hint="eastAsia" w:ascii="Times New Roman" w:hAnsi="Times New Roman" w:cs="Times New Roman"/>
                <w:color w:val="auto"/>
                <w:kern w:val="0"/>
                <w:sz w:val="21"/>
                <w:szCs w:val="21"/>
                <w:lang w:val="en-US" w:eastAsia="zh-CN"/>
              </w:rPr>
              <w:t>布袋除尘器内不带需定期更换，根据企业提供的经验数据，产生量为0.38t/a，经收集后暂存于危废仓库，定期委托有资质单位处理；</w:t>
            </w:r>
          </w:p>
          <w:p w14:paraId="04242F8D">
            <w:pPr>
              <w:pStyle w:val="5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2" w:firstLineChars="200"/>
              <w:rPr>
                <w:rFonts w:hint="default" w:ascii="Times New Roman" w:hAnsi="Times New Roman" w:cs="Times New Roman"/>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废活性炭（中水回用处理）：</w:t>
            </w:r>
            <w:r>
              <w:rPr>
                <w:rFonts w:hint="eastAsia" w:ascii="Times New Roman" w:hAnsi="Times New Roman" w:cs="Times New Roman"/>
                <w:color w:val="auto"/>
                <w:kern w:val="0"/>
                <w:sz w:val="21"/>
                <w:szCs w:val="21"/>
                <w:lang w:val="en-US" w:eastAsia="zh-CN"/>
              </w:rPr>
              <w:t>来源于企业废水处理过程活性炭过滤，根据企业提供的经验数据，产生量为5.8t/a，经收集后暂存于危废仓库，定期委托有资质单位处理；</w:t>
            </w:r>
          </w:p>
          <w:p w14:paraId="38081AE1">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2" w:firstLineChars="200"/>
              <w:rPr>
                <w:rFonts w:hint="default" w:ascii="Times New Roman" w:hAnsi="Times New Roman" w:cs="Times New Roman"/>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有毒有害物质塑料内封：</w:t>
            </w:r>
            <w:r>
              <w:rPr>
                <w:rFonts w:hint="eastAsia" w:ascii="Times New Roman" w:hAnsi="Times New Roman" w:cs="Times New Roman"/>
                <w:color w:val="auto"/>
                <w:kern w:val="0"/>
                <w:sz w:val="21"/>
                <w:szCs w:val="21"/>
                <w:lang w:val="en-US" w:eastAsia="zh-CN"/>
              </w:rPr>
              <w:t>来源于原辅料拆包使用时，产生的沾染药剂的塑料内封，根据企业提供的经验数据，产生量为0.15t/a，经收集后暂存于危废仓库，定期委托有资质单位处理；</w:t>
            </w:r>
          </w:p>
          <w:p w14:paraId="442988B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2" w:firstLineChars="200"/>
              <w:rPr>
                <w:rFonts w:hint="default" w:ascii="Times New Roman" w:hAnsi="Times New Roman" w:cs="Times New Roman"/>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废电瓶、废灯管：</w:t>
            </w:r>
            <w:r>
              <w:rPr>
                <w:rFonts w:hint="eastAsia" w:ascii="Times New Roman" w:hAnsi="Times New Roman" w:cs="Times New Roman"/>
                <w:color w:val="auto"/>
                <w:kern w:val="0"/>
                <w:sz w:val="21"/>
                <w:szCs w:val="21"/>
                <w:lang w:val="en-US" w:eastAsia="zh-CN"/>
              </w:rPr>
              <w:t>来源于日常生活使用，根据企业提供的经验数据，产生量为0.15t/a，经收集后暂存于危废仓库，定期委托有资质单位处理；</w:t>
            </w:r>
          </w:p>
          <w:p w14:paraId="374004A5">
            <w:pPr>
              <w:pStyle w:val="5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2" w:firstLineChars="200"/>
              <w:rPr>
                <w:rFonts w:hint="default" w:ascii="Times New Roman" w:hAnsi="Times New Roman" w:cs="Times New Roman"/>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废氨水：</w:t>
            </w:r>
            <w:r>
              <w:rPr>
                <w:rFonts w:hint="eastAsia" w:ascii="Times New Roman" w:hAnsi="Times New Roman" w:cs="Times New Roman"/>
                <w:color w:val="auto"/>
                <w:kern w:val="0"/>
                <w:sz w:val="21"/>
                <w:szCs w:val="21"/>
                <w:lang w:val="en-US" w:eastAsia="zh-CN"/>
              </w:rPr>
              <w:t>来源于废气治理过程，根据企业提供的经验数据，产生量为0.9t/a，经收集后暂存于危废仓库，定期委托有资质单位处理；</w:t>
            </w:r>
          </w:p>
          <w:p w14:paraId="70CEABA3">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2" w:firstLineChars="200"/>
              <w:rPr>
                <w:rFonts w:hint="default" w:ascii="Times New Roman" w:hAnsi="Times New Roman" w:cs="Times New Roman"/>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过滤布袋：</w:t>
            </w:r>
            <w:r>
              <w:rPr>
                <w:rFonts w:hint="eastAsia" w:ascii="Times New Roman" w:hAnsi="Times New Roman" w:cs="Times New Roman"/>
                <w:color w:val="auto"/>
                <w:kern w:val="0"/>
                <w:sz w:val="21"/>
                <w:szCs w:val="21"/>
                <w:lang w:val="en-US" w:eastAsia="zh-CN"/>
              </w:rPr>
              <w:t>来源于废气治理过程，根据企业提供的经验数据，产生量为0.76t/a，经收集后暂存于危废仓库，定期委托有资质单位处理；</w:t>
            </w:r>
          </w:p>
          <w:p w14:paraId="1CAC110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2" w:firstLineChars="200"/>
              <w:rPr>
                <w:rFonts w:hint="default" w:ascii="Times New Roman" w:hAnsi="Times New Roman" w:cs="Times New Roman"/>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废耐火材料：</w:t>
            </w:r>
            <w:r>
              <w:rPr>
                <w:rFonts w:hint="eastAsia" w:ascii="Times New Roman" w:hAnsi="Times New Roman" w:cs="Times New Roman"/>
                <w:color w:val="auto"/>
                <w:kern w:val="0"/>
                <w:sz w:val="21"/>
                <w:szCs w:val="21"/>
                <w:lang w:val="en-US" w:eastAsia="zh-CN"/>
              </w:rPr>
              <w:t>焚烧装置需定期更换耐火材料，根据企业提供的经验数据，产生量为2.4t/3a，经收集后暂存于危废仓库，定期委托有资质单位处理；</w:t>
            </w:r>
          </w:p>
          <w:p w14:paraId="4ABDF0DC">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2" w:firstLineChars="200"/>
              <w:rPr>
                <w:rFonts w:hint="default" w:ascii="Times New Roman" w:hAnsi="Times New Roman" w:cs="Times New Roman"/>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废活性炭：</w:t>
            </w:r>
            <w:r>
              <w:rPr>
                <w:rFonts w:hint="eastAsia" w:ascii="Times New Roman" w:hAnsi="Times New Roman" w:cs="Times New Roman"/>
                <w:color w:val="auto"/>
                <w:kern w:val="0"/>
                <w:sz w:val="21"/>
                <w:szCs w:val="21"/>
                <w:lang w:val="en-US" w:eastAsia="zh-CN"/>
              </w:rPr>
              <w:t>来源于废气治理过程，根据企业提供的经验数据，产生量为4.26t/a，经收集后暂存于危废仓库，定期委托有资质单位处理。</w:t>
            </w:r>
          </w:p>
          <w:p w14:paraId="0153ABA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2" w:firstLineChars="200"/>
              <w:rPr>
                <w:rFonts w:hint="default" w:ascii="Times New Roman" w:hAnsi="Times New Roman" w:cs="Times New Roman"/>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生活垃圾</w:t>
            </w:r>
          </w:p>
          <w:p w14:paraId="3CC9E8C6">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来源于职工日常生活，根据企业提供的经验数据，生活垃圾产生量为175t/a，统一收集后由环卫部门处理。</w:t>
            </w:r>
          </w:p>
          <w:p w14:paraId="59C08E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lang w:val="en-US" w:eastAsia="zh-CN"/>
              </w:rPr>
            </w:pPr>
            <w:r>
              <w:rPr>
                <w:rFonts w:hint="eastAsia"/>
                <w:b/>
                <w:bCs/>
                <w:color w:val="auto"/>
                <w:lang w:val="en-US" w:eastAsia="zh-CN"/>
              </w:rPr>
              <w:t>表2-12.2   现有项目固废汇总表</w:t>
            </w:r>
          </w:p>
          <w:tbl>
            <w:tblPr>
              <w:tblStyle w:val="60"/>
              <w:tblW w:w="4994"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585"/>
              <w:gridCol w:w="723"/>
              <w:gridCol w:w="788"/>
              <w:gridCol w:w="1457"/>
              <w:gridCol w:w="705"/>
              <w:gridCol w:w="1318"/>
              <w:gridCol w:w="1052"/>
              <w:gridCol w:w="911"/>
            </w:tblGrid>
            <w:tr w14:paraId="00A7C33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47B6E6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固废名称</w:t>
                  </w:r>
                </w:p>
              </w:tc>
              <w:tc>
                <w:tcPr>
                  <w:tcW w:w="423" w:type="pct"/>
                  <w:tcBorders>
                    <w:tl2br w:val="nil"/>
                    <w:tr2bl w:val="nil"/>
                  </w:tcBorders>
                  <w:vAlign w:val="center"/>
                </w:tcPr>
                <w:p w14:paraId="636ED5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产生工序</w:t>
                  </w:r>
                </w:p>
              </w:tc>
              <w:tc>
                <w:tcPr>
                  <w:tcW w:w="461" w:type="pct"/>
                  <w:tcBorders>
                    <w:tl2br w:val="nil"/>
                    <w:tr2bl w:val="nil"/>
                  </w:tcBorders>
                  <w:vAlign w:val="center"/>
                </w:tcPr>
                <w:p w14:paraId="18E226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形态</w:t>
                  </w:r>
                </w:p>
              </w:tc>
              <w:tc>
                <w:tcPr>
                  <w:tcW w:w="853" w:type="pct"/>
                  <w:tcBorders>
                    <w:tl2br w:val="nil"/>
                    <w:tr2bl w:val="nil"/>
                  </w:tcBorders>
                  <w:vAlign w:val="center"/>
                </w:tcPr>
                <w:p w14:paraId="5C7A06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主要成分</w:t>
                  </w:r>
                </w:p>
              </w:tc>
              <w:tc>
                <w:tcPr>
                  <w:tcW w:w="412" w:type="pct"/>
                  <w:tcBorders>
                    <w:tl2br w:val="nil"/>
                    <w:tr2bl w:val="nil"/>
                  </w:tcBorders>
                  <w:vAlign w:val="center"/>
                </w:tcPr>
                <w:p w14:paraId="525A30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属性</w:t>
                  </w:r>
                </w:p>
              </w:tc>
              <w:tc>
                <w:tcPr>
                  <w:tcW w:w="771" w:type="pct"/>
                  <w:tcBorders>
                    <w:tl2br w:val="nil"/>
                    <w:tr2bl w:val="nil"/>
                  </w:tcBorders>
                  <w:vAlign w:val="center"/>
                </w:tcPr>
                <w:p w14:paraId="631BFE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废物代码</w:t>
                  </w:r>
                </w:p>
              </w:tc>
              <w:tc>
                <w:tcPr>
                  <w:tcW w:w="615" w:type="pct"/>
                  <w:tcBorders>
                    <w:tl2br w:val="nil"/>
                    <w:tr2bl w:val="nil"/>
                  </w:tcBorders>
                  <w:vAlign w:val="center"/>
                </w:tcPr>
                <w:p w14:paraId="29AE94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产生量t/a</w:t>
                  </w:r>
                </w:p>
              </w:tc>
              <w:tc>
                <w:tcPr>
                  <w:tcW w:w="533" w:type="pct"/>
                  <w:tcBorders>
                    <w:tl2br w:val="nil"/>
                    <w:tr2bl w:val="nil"/>
                  </w:tcBorders>
                  <w:vAlign w:val="center"/>
                </w:tcPr>
                <w:p w14:paraId="3AFD55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sz w:val="21"/>
                      <w:szCs w:val="21"/>
                      <w:vertAlign w:val="baseline"/>
                      <w:lang w:val="en-US" w:eastAsia="zh-CN"/>
                    </w:rPr>
                  </w:pPr>
                  <w:r>
                    <w:rPr>
                      <w:rFonts w:hint="eastAsia"/>
                      <w:b/>
                      <w:bCs/>
                      <w:color w:val="auto"/>
                      <w:sz w:val="21"/>
                      <w:szCs w:val="21"/>
                      <w:vertAlign w:val="baseline"/>
                      <w:lang w:val="en-US" w:eastAsia="zh-CN"/>
                    </w:rPr>
                    <w:t>处置</w:t>
                  </w:r>
                </w:p>
                <w:p w14:paraId="674630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方式</w:t>
                  </w:r>
                </w:p>
              </w:tc>
            </w:tr>
            <w:tr w14:paraId="02F3661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7E449E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废边角料</w:t>
                  </w:r>
                </w:p>
              </w:tc>
              <w:tc>
                <w:tcPr>
                  <w:tcW w:w="423" w:type="pct"/>
                  <w:tcBorders>
                    <w:tl2br w:val="nil"/>
                    <w:tr2bl w:val="nil"/>
                  </w:tcBorders>
                  <w:vAlign w:val="center"/>
                </w:tcPr>
                <w:p w14:paraId="715D13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注塑</w:t>
                  </w:r>
                </w:p>
              </w:tc>
              <w:tc>
                <w:tcPr>
                  <w:tcW w:w="461" w:type="pct"/>
                  <w:tcBorders>
                    <w:tl2br w:val="nil"/>
                    <w:tr2bl w:val="nil"/>
                  </w:tcBorders>
                  <w:vAlign w:val="center"/>
                </w:tcPr>
                <w:p w14:paraId="1D7E3D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1511D6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塑料</w:t>
                  </w:r>
                </w:p>
              </w:tc>
              <w:tc>
                <w:tcPr>
                  <w:tcW w:w="412" w:type="pct"/>
                  <w:vMerge w:val="restart"/>
                  <w:tcBorders>
                    <w:tl2br w:val="nil"/>
                    <w:tr2bl w:val="nil"/>
                  </w:tcBorders>
                  <w:vAlign w:val="center"/>
                </w:tcPr>
                <w:p w14:paraId="0003BE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一般固废</w:t>
                  </w:r>
                </w:p>
              </w:tc>
              <w:tc>
                <w:tcPr>
                  <w:tcW w:w="771" w:type="pct"/>
                  <w:tcBorders>
                    <w:tl2br w:val="nil"/>
                    <w:tr2bl w:val="nil"/>
                  </w:tcBorders>
                  <w:vAlign w:val="center"/>
                </w:tcPr>
                <w:p w14:paraId="38519D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SW17</w:t>
                  </w:r>
                </w:p>
                <w:p w14:paraId="733280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900-003-S17</w:t>
                  </w:r>
                </w:p>
              </w:tc>
              <w:tc>
                <w:tcPr>
                  <w:tcW w:w="615" w:type="pct"/>
                  <w:tcBorders>
                    <w:tl2br w:val="nil"/>
                    <w:tr2bl w:val="nil"/>
                  </w:tcBorders>
                  <w:vAlign w:val="center"/>
                </w:tcPr>
                <w:p w14:paraId="112B79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240</w:t>
                  </w:r>
                </w:p>
              </w:tc>
              <w:tc>
                <w:tcPr>
                  <w:tcW w:w="533" w:type="pct"/>
                  <w:vMerge w:val="restart"/>
                  <w:tcBorders>
                    <w:tl2br w:val="nil"/>
                    <w:tr2bl w:val="nil"/>
                  </w:tcBorders>
                  <w:vAlign w:val="center"/>
                </w:tcPr>
                <w:p w14:paraId="75B774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外售综合利用</w:t>
                  </w:r>
                </w:p>
              </w:tc>
            </w:tr>
            <w:tr w14:paraId="4C15D0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79BE98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废金属壳</w:t>
                  </w:r>
                </w:p>
              </w:tc>
              <w:tc>
                <w:tcPr>
                  <w:tcW w:w="423" w:type="pct"/>
                  <w:tcBorders>
                    <w:tl2br w:val="nil"/>
                    <w:tr2bl w:val="nil"/>
                  </w:tcBorders>
                  <w:vAlign w:val="center"/>
                </w:tcPr>
                <w:p w14:paraId="1C0CB2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焚烧</w:t>
                  </w:r>
                </w:p>
              </w:tc>
              <w:tc>
                <w:tcPr>
                  <w:tcW w:w="461" w:type="pct"/>
                  <w:tcBorders>
                    <w:tl2br w:val="nil"/>
                    <w:tr2bl w:val="nil"/>
                  </w:tcBorders>
                  <w:vAlign w:val="center"/>
                </w:tcPr>
                <w:p w14:paraId="23FC52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4D5F5E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铁等</w:t>
                  </w:r>
                </w:p>
              </w:tc>
              <w:tc>
                <w:tcPr>
                  <w:tcW w:w="412" w:type="pct"/>
                  <w:vMerge w:val="continue"/>
                  <w:tcBorders>
                    <w:tl2br w:val="nil"/>
                    <w:tr2bl w:val="nil"/>
                  </w:tcBorders>
                  <w:vAlign w:val="center"/>
                </w:tcPr>
                <w:p w14:paraId="7A7D6C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01FDBE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SW59</w:t>
                  </w:r>
                </w:p>
                <w:p w14:paraId="4B64F5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900-099-S59</w:t>
                  </w:r>
                </w:p>
              </w:tc>
              <w:tc>
                <w:tcPr>
                  <w:tcW w:w="615" w:type="pct"/>
                  <w:tcBorders>
                    <w:tl2br w:val="nil"/>
                    <w:tr2bl w:val="nil"/>
                  </w:tcBorders>
                  <w:vAlign w:val="center"/>
                </w:tcPr>
                <w:p w14:paraId="2F3884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207.4</w:t>
                  </w:r>
                </w:p>
              </w:tc>
              <w:tc>
                <w:tcPr>
                  <w:tcW w:w="533" w:type="pct"/>
                  <w:vMerge w:val="continue"/>
                  <w:tcBorders>
                    <w:tl2br w:val="nil"/>
                    <w:tr2bl w:val="nil"/>
                  </w:tcBorders>
                  <w:vAlign w:val="center"/>
                </w:tcPr>
                <w:p w14:paraId="2E805A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2B163F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0D5360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废包装盒/袋</w:t>
                  </w:r>
                </w:p>
              </w:tc>
              <w:tc>
                <w:tcPr>
                  <w:tcW w:w="423" w:type="pct"/>
                  <w:tcBorders>
                    <w:tl2br w:val="nil"/>
                    <w:tr2bl w:val="nil"/>
                  </w:tcBorders>
                  <w:vAlign w:val="center"/>
                </w:tcPr>
                <w:p w14:paraId="6C165B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原料拆包</w:t>
                  </w:r>
                </w:p>
              </w:tc>
              <w:tc>
                <w:tcPr>
                  <w:tcW w:w="461" w:type="pct"/>
                  <w:tcBorders>
                    <w:tl2br w:val="nil"/>
                    <w:tr2bl w:val="nil"/>
                  </w:tcBorders>
                  <w:vAlign w:val="center"/>
                </w:tcPr>
                <w:p w14:paraId="66A7BA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0D24F3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纸、塑料等</w:t>
                  </w:r>
                </w:p>
              </w:tc>
              <w:tc>
                <w:tcPr>
                  <w:tcW w:w="412" w:type="pct"/>
                  <w:vMerge w:val="continue"/>
                  <w:tcBorders>
                    <w:tl2br w:val="nil"/>
                    <w:tr2bl w:val="nil"/>
                  </w:tcBorders>
                  <w:vAlign w:val="center"/>
                </w:tcPr>
                <w:p w14:paraId="599D44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62968E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SW17</w:t>
                  </w:r>
                </w:p>
                <w:p w14:paraId="22F3E0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900-005-S17</w:t>
                  </w:r>
                </w:p>
              </w:tc>
              <w:tc>
                <w:tcPr>
                  <w:tcW w:w="615" w:type="pct"/>
                  <w:tcBorders>
                    <w:tl2br w:val="nil"/>
                    <w:tr2bl w:val="nil"/>
                  </w:tcBorders>
                  <w:vAlign w:val="center"/>
                </w:tcPr>
                <w:p w14:paraId="254531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9.07</w:t>
                  </w:r>
                </w:p>
              </w:tc>
              <w:tc>
                <w:tcPr>
                  <w:tcW w:w="533" w:type="pct"/>
                  <w:vMerge w:val="continue"/>
                  <w:tcBorders>
                    <w:tl2br w:val="nil"/>
                    <w:tr2bl w:val="nil"/>
                  </w:tcBorders>
                  <w:vAlign w:val="center"/>
                </w:tcPr>
                <w:p w14:paraId="71A966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6B704B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1A5330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压滤机滤布</w:t>
                  </w:r>
                </w:p>
              </w:tc>
              <w:tc>
                <w:tcPr>
                  <w:tcW w:w="423" w:type="pct"/>
                  <w:tcBorders>
                    <w:tl2br w:val="nil"/>
                    <w:tr2bl w:val="nil"/>
                  </w:tcBorders>
                  <w:vAlign w:val="center"/>
                </w:tcPr>
                <w:p w14:paraId="0FC11B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废水处理</w:t>
                  </w:r>
                </w:p>
              </w:tc>
              <w:tc>
                <w:tcPr>
                  <w:tcW w:w="461" w:type="pct"/>
                  <w:tcBorders>
                    <w:tl2br w:val="nil"/>
                    <w:tr2bl w:val="nil"/>
                  </w:tcBorders>
                  <w:vAlign w:val="center"/>
                </w:tcPr>
                <w:p w14:paraId="15C8CE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03FC5A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布</w:t>
                  </w:r>
                </w:p>
              </w:tc>
              <w:tc>
                <w:tcPr>
                  <w:tcW w:w="412" w:type="pct"/>
                  <w:vMerge w:val="continue"/>
                  <w:tcBorders>
                    <w:tl2br w:val="nil"/>
                    <w:tr2bl w:val="nil"/>
                  </w:tcBorders>
                  <w:vAlign w:val="center"/>
                </w:tcPr>
                <w:p w14:paraId="403798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58583C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SW59</w:t>
                  </w:r>
                </w:p>
                <w:p w14:paraId="23996B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900-099-S59</w:t>
                  </w:r>
                </w:p>
              </w:tc>
              <w:tc>
                <w:tcPr>
                  <w:tcW w:w="615" w:type="pct"/>
                  <w:tcBorders>
                    <w:tl2br w:val="nil"/>
                    <w:tr2bl w:val="nil"/>
                  </w:tcBorders>
                  <w:vAlign w:val="center"/>
                </w:tcPr>
                <w:p w14:paraId="78A0D3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0.1</w:t>
                  </w:r>
                </w:p>
              </w:tc>
              <w:tc>
                <w:tcPr>
                  <w:tcW w:w="533" w:type="pct"/>
                  <w:vMerge w:val="continue"/>
                  <w:tcBorders>
                    <w:tl2br w:val="nil"/>
                    <w:tr2bl w:val="nil"/>
                  </w:tcBorders>
                  <w:vAlign w:val="center"/>
                </w:tcPr>
                <w:p w14:paraId="53C31F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773A0CB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507486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拆解物</w:t>
                  </w:r>
                </w:p>
              </w:tc>
              <w:tc>
                <w:tcPr>
                  <w:tcW w:w="423" w:type="pct"/>
                  <w:tcBorders>
                    <w:tl2br w:val="nil"/>
                    <w:tr2bl w:val="nil"/>
                  </w:tcBorders>
                  <w:vAlign w:val="center"/>
                </w:tcPr>
                <w:p w14:paraId="2F08CF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固废处理</w:t>
                  </w:r>
                </w:p>
              </w:tc>
              <w:tc>
                <w:tcPr>
                  <w:tcW w:w="461" w:type="pct"/>
                  <w:tcBorders>
                    <w:tl2br w:val="nil"/>
                    <w:tr2bl w:val="nil"/>
                  </w:tcBorders>
                  <w:vAlign w:val="center"/>
                </w:tcPr>
                <w:p w14:paraId="37474B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1D74B1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铁</w:t>
                  </w:r>
                </w:p>
              </w:tc>
              <w:tc>
                <w:tcPr>
                  <w:tcW w:w="412" w:type="pct"/>
                  <w:vMerge w:val="continue"/>
                  <w:tcBorders>
                    <w:tl2br w:val="nil"/>
                    <w:tr2bl w:val="nil"/>
                  </w:tcBorders>
                  <w:vAlign w:val="center"/>
                </w:tcPr>
                <w:p w14:paraId="79A60C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20D675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SW59</w:t>
                  </w:r>
                </w:p>
                <w:p w14:paraId="7E3EB0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900-099-S59</w:t>
                  </w:r>
                </w:p>
              </w:tc>
              <w:tc>
                <w:tcPr>
                  <w:tcW w:w="615" w:type="pct"/>
                  <w:tcBorders>
                    <w:tl2br w:val="nil"/>
                    <w:tr2bl w:val="nil"/>
                  </w:tcBorders>
                  <w:vAlign w:val="center"/>
                </w:tcPr>
                <w:p w14:paraId="2E10A3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10</w:t>
                  </w:r>
                </w:p>
              </w:tc>
              <w:tc>
                <w:tcPr>
                  <w:tcW w:w="533" w:type="pct"/>
                  <w:vMerge w:val="continue"/>
                  <w:tcBorders>
                    <w:tl2br w:val="nil"/>
                    <w:tr2bl w:val="nil"/>
                  </w:tcBorders>
                  <w:vAlign w:val="center"/>
                </w:tcPr>
                <w:p w14:paraId="36E4A1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396822B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295B6F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点火具焊接烟尘</w:t>
                  </w:r>
                </w:p>
              </w:tc>
              <w:tc>
                <w:tcPr>
                  <w:tcW w:w="423" w:type="pct"/>
                  <w:tcBorders>
                    <w:tl2br w:val="nil"/>
                    <w:tr2bl w:val="nil"/>
                  </w:tcBorders>
                  <w:vAlign w:val="center"/>
                </w:tcPr>
                <w:p w14:paraId="386A1B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废气处理</w:t>
                  </w:r>
                </w:p>
              </w:tc>
              <w:tc>
                <w:tcPr>
                  <w:tcW w:w="461" w:type="pct"/>
                  <w:tcBorders>
                    <w:tl2br w:val="nil"/>
                    <w:tr2bl w:val="nil"/>
                  </w:tcBorders>
                  <w:vAlign w:val="center"/>
                </w:tcPr>
                <w:p w14:paraId="2F418B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153E09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粉尘</w:t>
                  </w:r>
                </w:p>
              </w:tc>
              <w:tc>
                <w:tcPr>
                  <w:tcW w:w="412" w:type="pct"/>
                  <w:vMerge w:val="continue"/>
                  <w:tcBorders>
                    <w:tl2br w:val="nil"/>
                    <w:tr2bl w:val="nil"/>
                  </w:tcBorders>
                  <w:vAlign w:val="center"/>
                </w:tcPr>
                <w:p w14:paraId="663637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0E77A7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SW59</w:t>
                  </w:r>
                </w:p>
                <w:p w14:paraId="0F2712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900-099-S59</w:t>
                  </w:r>
                </w:p>
              </w:tc>
              <w:tc>
                <w:tcPr>
                  <w:tcW w:w="615" w:type="pct"/>
                  <w:tcBorders>
                    <w:tl2br w:val="nil"/>
                    <w:tr2bl w:val="nil"/>
                  </w:tcBorders>
                  <w:vAlign w:val="center"/>
                </w:tcPr>
                <w:p w14:paraId="7187FB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0.14</w:t>
                  </w:r>
                </w:p>
              </w:tc>
              <w:tc>
                <w:tcPr>
                  <w:tcW w:w="533" w:type="pct"/>
                  <w:vMerge w:val="continue"/>
                  <w:tcBorders>
                    <w:tl2br w:val="nil"/>
                    <w:tr2bl w:val="nil"/>
                  </w:tcBorders>
                  <w:vAlign w:val="center"/>
                </w:tcPr>
                <w:p w14:paraId="21C3B8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2662079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76A11D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废砂</w:t>
                  </w:r>
                </w:p>
              </w:tc>
              <w:tc>
                <w:tcPr>
                  <w:tcW w:w="423" w:type="pct"/>
                  <w:tcBorders>
                    <w:tl2br w:val="nil"/>
                    <w:tr2bl w:val="nil"/>
                  </w:tcBorders>
                  <w:vAlign w:val="center"/>
                </w:tcPr>
                <w:p w14:paraId="2F5647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废水处理</w:t>
                  </w:r>
                </w:p>
              </w:tc>
              <w:tc>
                <w:tcPr>
                  <w:tcW w:w="461" w:type="pct"/>
                  <w:tcBorders>
                    <w:tl2br w:val="nil"/>
                    <w:tr2bl w:val="nil"/>
                  </w:tcBorders>
                  <w:vAlign w:val="center"/>
                </w:tcPr>
                <w:p w14:paraId="3BEE5A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0B7843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砂</w:t>
                  </w:r>
                </w:p>
              </w:tc>
              <w:tc>
                <w:tcPr>
                  <w:tcW w:w="412" w:type="pct"/>
                  <w:vMerge w:val="continue"/>
                  <w:tcBorders>
                    <w:tl2br w:val="nil"/>
                    <w:tr2bl w:val="nil"/>
                  </w:tcBorders>
                  <w:vAlign w:val="center"/>
                </w:tcPr>
                <w:p w14:paraId="05C42E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5ADE32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SW59</w:t>
                  </w:r>
                </w:p>
                <w:p w14:paraId="55B6EF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900-099-S59</w:t>
                  </w:r>
                </w:p>
              </w:tc>
              <w:tc>
                <w:tcPr>
                  <w:tcW w:w="615" w:type="pct"/>
                  <w:tcBorders>
                    <w:tl2br w:val="nil"/>
                    <w:tr2bl w:val="nil"/>
                  </w:tcBorders>
                  <w:vAlign w:val="center"/>
                </w:tcPr>
                <w:p w14:paraId="73B92F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w:t>
                  </w:r>
                </w:p>
              </w:tc>
              <w:tc>
                <w:tcPr>
                  <w:tcW w:w="533" w:type="pct"/>
                  <w:vMerge w:val="continue"/>
                  <w:tcBorders>
                    <w:tl2br w:val="nil"/>
                    <w:tr2bl w:val="nil"/>
                  </w:tcBorders>
                  <w:vAlign w:val="center"/>
                </w:tcPr>
                <w:p w14:paraId="1D9371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6548CBD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11C38F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RO膜</w:t>
                  </w:r>
                </w:p>
              </w:tc>
              <w:tc>
                <w:tcPr>
                  <w:tcW w:w="423" w:type="pct"/>
                  <w:tcBorders>
                    <w:tl2br w:val="nil"/>
                    <w:tr2bl w:val="nil"/>
                  </w:tcBorders>
                  <w:vAlign w:val="center"/>
                </w:tcPr>
                <w:p w14:paraId="2491FB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废水处理</w:t>
                  </w:r>
                </w:p>
              </w:tc>
              <w:tc>
                <w:tcPr>
                  <w:tcW w:w="461" w:type="pct"/>
                  <w:tcBorders>
                    <w:tl2br w:val="nil"/>
                    <w:tr2bl w:val="nil"/>
                  </w:tcBorders>
                  <w:vAlign w:val="center"/>
                </w:tcPr>
                <w:p w14:paraId="273014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01C009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膜</w:t>
                  </w:r>
                </w:p>
              </w:tc>
              <w:tc>
                <w:tcPr>
                  <w:tcW w:w="412" w:type="pct"/>
                  <w:vMerge w:val="continue"/>
                  <w:tcBorders>
                    <w:tl2br w:val="nil"/>
                    <w:tr2bl w:val="nil"/>
                  </w:tcBorders>
                  <w:vAlign w:val="center"/>
                </w:tcPr>
                <w:p w14:paraId="71E8FC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01CF5F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SW59</w:t>
                  </w:r>
                </w:p>
                <w:p w14:paraId="38E48C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900-099-S59</w:t>
                  </w:r>
                </w:p>
              </w:tc>
              <w:tc>
                <w:tcPr>
                  <w:tcW w:w="615" w:type="pct"/>
                  <w:tcBorders>
                    <w:tl2br w:val="nil"/>
                    <w:tr2bl w:val="nil"/>
                  </w:tcBorders>
                  <w:vAlign w:val="center"/>
                </w:tcPr>
                <w:p w14:paraId="075907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0.1</w:t>
                  </w:r>
                </w:p>
              </w:tc>
              <w:tc>
                <w:tcPr>
                  <w:tcW w:w="533" w:type="pct"/>
                  <w:vMerge w:val="continue"/>
                  <w:tcBorders>
                    <w:tl2br w:val="nil"/>
                    <w:tr2bl w:val="nil"/>
                  </w:tcBorders>
                  <w:vAlign w:val="center"/>
                </w:tcPr>
                <w:p w14:paraId="770712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7DCF5FB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38EDBC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浓盐废液</w:t>
                  </w:r>
                </w:p>
              </w:tc>
              <w:tc>
                <w:tcPr>
                  <w:tcW w:w="423" w:type="pct"/>
                  <w:tcBorders>
                    <w:tl2br w:val="nil"/>
                    <w:tr2bl w:val="nil"/>
                  </w:tcBorders>
                  <w:vAlign w:val="center"/>
                </w:tcPr>
                <w:p w14:paraId="6522F3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废水处理</w:t>
                  </w:r>
                </w:p>
              </w:tc>
              <w:tc>
                <w:tcPr>
                  <w:tcW w:w="461" w:type="pct"/>
                  <w:tcBorders>
                    <w:tl2br w:val="nil"/>
                    <w:tr2bl w:val="nil"/>
                  </w:tcBorders>
                  <w:vAlign w:val="center"/>
                </w:tcPr>
                <w:p w14:paraId="1FEAEC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0942CD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COD、SS</w:t>
                  </w:r>
                </w:p>
              </w:tc>
              <w:tc>
                <w:tcPr>
                  <w:tcW w:w="412" w:type="pct"/>
                  <w:vMerge w:val="continue"/>
                  <w:tcBorders>
                    <w:tl2br w:val="nil"/>
                    <w:tr2bl w:val="nil"/>
                  </w:tcBorders>
                  <w:vAlign w:val="center"/>
                </w:tcPr>
                <w:p w14:paraId="6A8DF4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7AC8D2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SW59</w:t>
                  </w:r>
                </w:p>
                <w:p w14:paraId="514CBA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900-099-S59</w:t>
                  </w:r>
                </w:p>
              </w:tc>
              <w:tc>
                <w:tcPr>
                  <w:tcW w:w="615" w:type="pct"/>
                  <w:tcBorders>
                    <w:tl2br w:val="nil"/>
                    <w:tr2bl w:val="nil"/>
                  </w:tcBorders>
                  <w:vAlign w:val="center"/>
                </w:tcPr>
                <w:p w14:paraId="01FA34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396.78</w:t>
                  </w:r>
                </w:p>
              </w:tc>
              <w:tc>
                <w:tcPr>
                  <w:tcW w:w="533" w:type="pct"/>
                  <w:vMerge w:val="continue"/>
                  <w:tcBorders>
                    <w:tl2br w:val="nil"/>
                    <w:tr2bl w:val="nil"/>
                  </w:tcBorders>
                  <w:vAlign w:val="center"/>
                </w:tcPr>
                <w:p w14:paraId="6BBAFC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2D88ED1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60928A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废滤网、滤芯</w:t>
                  </w:r>
                </w:p>
              </w:tc>
              <w:tc>
                <w:tcPr>
                  <w:tcW w:w="423" w:type="pct"/>
                  <w:tcBorders>
                    <w:tl2br w:val="nil"/>
                    <w:tr2bl w:val="nil"/>
                  </w:tcBorders>
                  <w:vAlign w:val="center"/>
                </w:tcPr>
                <w:p w14:paraId="5781E7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废气处理</w:t>
                  </w:r>
                </w:p>
              </w:tc>
              <w:tc>
                <w:tcPr>
                  <w:tcW w:w="461" w:type="pct"/>
                  <w:tcBorders>
                    <w:tl2br w:val="nil"/>
                    <w:tr2bl w:val="nil"/>
                  </w:tcBorders>
                  <w:vAlign w:val="center"/>
                </w:tcPr>
                <w:p w14:paraId="1EB732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275E97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滤网、滤芯</w:t>
                  </w:r>
                </w:p>
              </w:tc>
              <w:tc>
                <w:tcPr>
                  <w:tcW w:w="412" w:type="pct"/>
                  <w:vMerge w:val="continue"/>
                  <w:tcBorders>
                    <w:tl2br w:val="nil"/>
                    <w:tr2bl w:val="nil"/>
                  </w:tcBorders>
                  <w:vAlign w:val="center"/>
                </w:tcPr>
                <w:p w14:paraId="7BEDAD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74814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SW59</w:t>
                  </w:r>
                </w:p>
                <w:p w14:paraId="6BBADC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900-099-S59</w:t>
                  </w:r>
                </w:p>
              </w:tc>
              <w:tc>
                <w:tcPr>
                  <w:tcW w:w="615" w:type="pct"/>
                  <w:tcBorders>
                    <w:tl2br w:val="nil"/>
                    <w:tr2bl w:val="nil"/>
                  </w:tcBorders>
                  <w:vAlign w:val="center"/>
                </w:tcPr>
                <w:p w14:paraId="590BD7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3.15</w:t>
                  </w:r>
                </w:p>
              </w:tc>
              <w:tc>
                <w:tcPr>
                  <w:tcW w:w="533" w:type="pct"/>
                  <w:vMerge w:val="continue"/>
                  <w:tcBorders>
                    <w:tl2br w:val="nil"/>
                    <w:tr2bl w:val="nil"/>
                  </w:tcBorders>
                  <w:vAlign w:val="center"/>
                </w:tcPr>
                <w:p w14:paraId="6C8283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086D227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6F5237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废水处理站污泥（301污水站）</w:t>
                  </w:r>
                </w:p>
              </w:tc>
              <w:tc>
                <w:tcPr>
                  <w:tcW w:w="423" w:type="pct"/>
                  <w:tcBorders>
                    <w:tl2br w:val="nil"/>
                    <w:tr2bl w:val="nil"/>
                  </w:tcBorders>
                  <w:vAlign w:val="center"/>
                </w:tcPr>
                <w:p w14:paraId="1B2262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废水处理</w:t>
                  </w:r>
                </w:p>
              </w:tc>
              <w:tc>
                <w:tcPr>
                  <w:tcW w:w="461" w:type="pct"/>
                  <w:tcBorders>
                    <w:tl2br w:val="nil"/>
                    <w:tr2bl w:val="nil"/>
                  </w:tcBorders>
                  <w:vAlign w:val="center"/>
                </w:tcPr>
                <w:p w14:paraId="790AD8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半固</w:t>
                  </w:r>
                </w:p>
              </w:tc>
              <w:tc>
                <w:tcPr>
                  <w:tcW w:w="853" w:type="pct"/>
                  <w:tcBorders>
                    <w:tl2br w:val="nil"/>
                    <w:tr2bl w:val="nil"/>
                  </w:tcBorders>
                  <w:vAlign w:val="center"/>
                </w:tcPr>
                <w:p w14:paraId="335EEA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污泥</w:t>
                  </w:r>
                </w:p>
              </w:tc>
              <w:tc>
                <w:tcPr>
                  <w:tcW w:w="412" w:type="pct"/>
                  <w:vMerge w:val="continue"/>
                  <w:tcBorders>
                    <w:tl2br w:val="nil"/>
                    <w:tr2bl w:val="nil"/>
                  </w:tcBorders>
                  <w:vAlign w:val="center"/>
                </w:tcPr>
                <w:p w14:paraId="4253C0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14AFDC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SW07</w:t>
                  </w:r>
                </w:p>
                <w:p w14:paraId="0F79A4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900-099-S07</w:t>
                  </w:r>
                </w:p>
              </w:tc>
              <w:tc>
                <w:tcPr>
                  <w:tcW w:w="615" w:type="pct"/>
                  <w:tcBorders>
                    <w:tl2br w:val="nil"/>
                    <w:tr2bl w:val="nil"/>
                  </w:tcBorders>
                  <w:vAlign w:val="center"/>
                </w:tcPr>
                <w:p w14:paraId="09D86B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25</w:t>
                  </w:r>
                </w:p>
              </w:tc>
              <w:tc>
                <w:tcPr>
                  <w:tcW w:w="533" w:type="pct"/>
                  <w:vMerge w:val="continue"/>
                  <w:tcBorders>
                    <w:tl2br w:val="nil"/>
                    <w:tr2bl w:val="nil"/>
                  </w:tcBorders>
                  <w:vAlign w:val="center"/>
                </w:tcPr>
                <w:p w14:paraId="39CA2D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75C89E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16DAE9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废水处理站污泥（505污水站）</w:t>
                  </w:r>
                </w:p>
              </w:tc>
              <w:tc>
                <w:tcPr>
                  <w:tcW w:w="423" w:type="pct"/>
                  <w:tcBorders>
                    <w:tl2br w:val="nil"/>
                    <w:tr2bl w:val="nil"/>
                  </w:tcBorders>
                  <w:vAlign w:val="center"/>
                </w:tcPr>
                <w:p w14:paraId="35D5C3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废水处理</w:t>
                  </w:r>
                </w:p>
              </w:tc>
              <w:tc>
                <w:tcPr>
                  <w:tcW w:w="461" w:type="pct"/>
                  <w:tcBorders>
                    <w:tl2br w:val="nil"/>
                    <w:tr2bl w:val="nil"/>
                  </w:tcBorders>
                  <w:vAlign w:val="center"/>
                </w:tcPr>
                <w:p w14:paraId="7EB029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半固</w:t>
                  </w:r>
                </w:p>
              </w:tc>
              <w:tc>
                <w:tcPr>
                  <w:tcW w:w="853" w:type="pct"/>
                  <w:tcBorders>
                    <w:tl2br w:val="nil"/>
                    <w:tr2bl w:val="nil"/>
                  </w:tcBorders>
                  <w:vAlign w:val="center"/>
                </w:tcPr>
                <w:p w14:paraId="239744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污泥</w:t>
                  </w:r>
                </w:p>
              </w:tc>
              <w:tc>
                <w:tcPr>
                  <w:tcW w:w="412" w:type="pct"/>
                  <w:vMerge w:val="continue"/>
                  <w:tcBorders>
                    <w:tl2br w:val="nil"/>
                    <w:tr2bl w:val="nil"/>
                  </w:tcBorders>
                  <w:vAlign w:val="center"/>
                </w:tcPr>
                <w:p w14:paraId="124620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3394FE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SW07</w:t>
                  </w:r>
                </w:p>
                <w:p w14:paraId="412A4A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900-099-S07</w:t>
                  </w:r>
                </w:p>
              </w:tc>
              <w:tc>
                <w:tcPr>
                  <w:tcW w:w="615" w:type="pct"/>
                  <w:tcBorders>
                    <w:tl2br w:val="nil"/>
                    <w:tr2bl w:val="nil"/>
                  </w:tcBorders>
                  <w:vAlign w:val="center"/>
                </w:tcPr>
                <w:p w14:paraId="068FFD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25</w:t>
                  </w:r>
                </w:p>
              </w:tc>
              <w:tc>
                <w:tcPr>
                  <w:tcW w:w="533" w:type="pct"/>
                  <w:vMerge w:val="continue"/>
                  <w:tcBorders>
                    <w:tl2br w:val="nil"/>
                    <w:tr2bl w:val="nil"/>
                  </w:tcBorders>
                  <w:vAlign w:val="center"/>
                </w:tcPr>
                <w:p w14:paraId="270D47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693A4A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0BD726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传火药废水处理站污泥</w:t>
                  </w:r>
                </w:p>
              </w:tc>
              <w:tc>
                <w:tcPr>
                  <w:tcW w:w="423" w:type="pct"/>
                  <w:tcBorders>
                    <w:tl2br w:val="nil"/>
                    <w:tr2bl w:val="nil"/>
                  </w:tcBorders>
                  <w:vAlign w:val="center"/>
                </w:tcPr>
                <w:p w14:paraId="6FCA88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废水处理</w:t>
                  </w:r>
                </w:p>
              </w:tc>
              <w:tc>
                <w:tcPr>
                  <w:tcW w:w="461" w:type="pct"/>
                  <w:tcBorders>
                    <w:tl2br w:val="nil"/>
                    <w:tr2bl w:val="nil"/>
                  </w:tcBorders>
                  <w:vAlign w:val="center"/>
                </w:tcPr>
                <w:p w14:paraId="755FEC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半固</w:t>
                  </w:r>
                </w:p>
              </w:tc>
              <w:tc>
                <w:tcPr>
                  <w:tcW w:w="853" w:type="pct"/>
                  <w:tcBorders>
                    <w:tl2br w:val="nil"/>
                    <w:tr2bl w:val="nil"/>
                  </w:tcBorders>
                  <w:vAlign w:val="center"/>
                </w:tcPr>
                <w:p w14:paraId="056E26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污泥</w:t>
                  </w:r>
                </w:p>
              </w:tc>
              <w:tc>
                <w:tcPr>
                  <w:tcW w:w="412" w:type="pct"/>
                  <w:vMerge w:val="restart"/>
                  <w:tcBorders>
                    <w:tl2br w:val="nil"/>
                    <w:tr2bl w:val="nil"/>
                  </w:tcBorders>
                  <w:vAlign w:val="center"/>
                </w:tcPr>
                <w:p w14:paraId="22725C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危险废物</w:t>
                  </w:r>
                </w:p>
              </w:tc>
              <w:tc>
                <w:tcPr>
                  <w:tcW w:w="771" w:type="pct"/>
                  <w:tcBorders>
                    <w:tl2br w:val="nil"/>
                    <w:tr2bl w:val="nil"/>
                  </w:tcBorders>
                  <w:vAlign w:val="center"/>
                </w:tcPr>
                <w:p w14:paraId="51DD9E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HW15</w:t>
                  </w:r>
                </w:p>
                <w:p w14:paraId="744D21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267-001-15</w:t>
                  </w:r>
                </w:p>
              </w:tc>
              <w:tc>
                <w:tcPr>
                  <w:tcW w:w="615" w:type="pct"/>
                  <w:tcBorders>
                    <w:tl2br w:val="nil"/>
                    <w:tr2bl w:val="nil"/>
                  </w:tcBorders>
                  <w:vAlign w:val="center"/>
                </w:tcPr>
                <w:p w14:paraId="0EB8F5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20</w:t>
                  </w:r>
                </w:p>
              </w:tc>
              <w:tc>
                <w:tcPr>
                  <w:tcW w:w="533" w:type="pct"/>
                  <w:vMerge w:val="restart"/>
                  <w:tcBorders>
                    <w:tl2br w:val="nil"/>
                    <w:tr2bl w:val="nil"/>
                  </w:tcBorders>
                  <w:vAlign w:val="center"/>
                </w:tcPr>
                <w:p w14:paraId="09A128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自建焚烧炉焚毁</w:t>
                  </w:r>
                </w:p>
              </w:tc>
            </w:tr>
            <w:tr w14:paraId="7B3B492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7E51A4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沉淀渣</w:t>
                  </w:r>
                </w:p>
              </w:tc>
              <w:tc>
                <w:tcPr>
                  <w:tcW w:w="423" w:type="pct"/>
                  <w:tcBorders>
                    <w:tl2br w:val="nil"/>
                    <w:tr2bl w:val="nil"/>
                  </w:tcBorders>
                  <w:vAlign w:val="center"/>
                </w:tcPr>
                <w:p w14:paraId="4900CA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废水处理</w:t>
                  </w:r>
                </w:p>
              </w:tc>
              <w:tc>
                <w:tcPr>
                  <w:tcW w:w="461" w:type="pct"/>
                  <w:tcBorders>
                    <w:tl2br w:val="nil"/>
                    <w:tr2bl w:val="nil"/>
                  </w:tcBorders>
                  <w:vAlign w:val="center"/>
                </w:tcPr>
                <w:p w14:paraId="757580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半固</w:t>
                  </w:r>
                </w:p>
              </w:tc>
              <w:tc>
                <w:tcPr>
                  <w:tcW w:w="853" w:type="pct"/>
                  <w:tcBorders>
                    <w:tl2br w:val="nil"/>
                    <w:tr2bl w:val="nil"/>
                  </w:tcBorders>
                  <w:vAlign w:val="center"/>
                </w:tcPr>
                <w:p w14:paraId="3DDCE5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硝酸盐、铜等</w:t>
                  </w:r>
                </w:p>
              </w:tc>
              <w:tc>
                <w:tcPr>
                  <w:tcW w:w="412" w:type="pct"/>
                  <w:vMerge w:val="continue"/>
                  <w:tcBorders>
                    <w:tl2br w:val="nil"/>
                    <w:tr2bl w:val="nil"/>
                  </w:tcBorders>
                  <w:vAlign w:val="center"/>
                </w:tcPr>
                <w:p w14:paraId="6E57D1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286343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HW15</w:t>
                  </w:r>
                </w:p>
                <w:p w14:paraId="25795D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267-001-15</w:t>
                  </w:r>
                </w:p>
              </w:tc>
              <w:tc>
                <w:tcPr>
                  <w:tcW w:w="615" w:type="pct"/>
                  <w:tcBorders>
                    <w:tl2br w:val="nil"/>
                    <w:tr2bl w:val="nil"/>
                  </w:tcBorders>
                  <w:vAlign w:val="center"/>
                </w:tcPr>
                <w:p w14:paraId="275A90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2.5</w:t>
                  </w:r>
                </w:p>
              </w:tc>
              <w:tc>
                <w:tcPr>
                  <w:tcW w:w="533" w:type="pct"/>
                  <w:vMerge w:val="continue"/>
                  <w:tcBorders>
                    <w:tl2br w:val="nil"/>
                    <w:tr2bl w:val="nil"/>
                  </w:tcBorders>
                  <w:vAlign w:val="center"/>
                </w:tcPr>
                <w:p w14:paraId="5A1C5D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6A9AC87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0F66DC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废药浆管</w:t>
                  </w:r>
                </w:p>
              </w:tc>
              <w:tc>
                <w:tcPr>
                  <w:tcW w:w="423" w:type="pct"/>
                  <w:tcBorders>
                    <w:tl2br w:val="nil"/>
                    <w:tr2bl w:val="nil"/>
                  </w:tcBorders>
                  <w:vAlign w:val="center"/>
                </w:tcPr>
                <w:p w14:paraId="66A54A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生产过程</w:t>
                  </w:r>
                </w:p>
              </w:tc>
              <w:tc>
                <w:tcPr>
                  <w:tcW w:w="461" w:type="pct"/>
                  <w:tcBorders>
                    <w:tl2br w:val="nil"/>
                    <w:tr2bl w:val="nil"/>
                  </w:tcBorders>
                  <w:vAlign w:val="center"/>
                </w:tcPr>
                <w:p w14:paraId="3600AA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半固</w:t>
                  </w:r>
                </w:p>
              </w:tc>
              <w:tc>
                <w:tcPr>
                  <w:tcW w:w="853" w:type="pct"/>
                  <w:tcBorders>
                    <w:tl2br w:val="nil"/>
                    <w:tr2bl w:val="nil"/>
                  </w:tcBorders>
                  <w:vAlign w:val="center"/>
                </w:tcPr>
                <w:p w14:paraId="08805E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硝酸盐、铜等</w:t>
                  </w:r>
                </w:p>
              </w:tc>
              <w:tc>
                <w:tcPr>
                  <w:tcW w:w="412" w:type="pct"/>
                  <w:vMerge w:val="continue"/>
                  <w:tcBorders>
                    <w:tl2br w:val="nil"/>
                    <w:tr2bl w:val="nil"/>
                  </w:tcBorders>
                  <w:vAlign w:val="center"/>
                </w:tcPr>
                <w:p w14:paraId="4A4CC5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0AE5CB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HW49</w:t>
                  </w:r>
                </w:p>
                <w:p w14:paraId="315931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900-999-49</w:t>
                  </w:r>
                </w:p>
              </w:tc>
              <w:tc>
                <w:tcPr>
                  <w:tcW w:w="615" w:type="pct"/>
                  <w:tcBorders>
                    <w:tl2br w:val="nil"/>
                    <w:tr2bl w:val="nil"/>
                  </w:tcBorders>
                  <w:vAlign w:val="center"/>
                </w:tcPr>
                <w:p w14:paraId="100417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18</w:t>
                  </w:r>
                </w:p>
              </w:tc>
              <w:tc>
                <w:tcPr>
                  <w:tcW w:w="533" w:type="pct"/>
                  <w:vMerge w:val="continue"/>
                  <w:tcBorders>
                    <w:tl2br w:val="nil"/>
                    <w:tr2bl w:val="nil"/>
                  </w:tcBorders>
                  <w:vAlign w:val="center"/>
                </w:tcPr>
                <w:p w14:paraId="3EE075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6BD314D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5BCDC7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不合格品（废点火具）</w:t>
                  </w:r>
                </w:p>
              </w:tc>
              <w:tc>
                <w:tcPr>
                  <w:tcW w:w="423" w:type="pct"/>
                  <w:tcBorders>
                    <w:tl2br w:val="nil"/>
                    <w:tr2bl w:val="nil"/>
                  </w:tcBorders>
                  <w:vAlign w:val="center"/>
                </w:tcPr>
                <w:p w14:paraId="5DFE1E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注塑检验</w:t>
                  </w:r>
                </w:p>
              </w:tc>
              <w:tc>
                <w:tcPr>
                  <w:tcW w:w="461" w:type="pct"/>
                  <w:tcBorders>
                    <w:tl2br w:val="nil"/>
                    <w:tr2bl w:val="nil"/>
                  </w:tcBorders>
                  <w:vAlign w:val="center"/>
                </w:tcPr>
                <w:p w14:paraId="2466E1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05DEAC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塑料</w:t>
                  </w:r>
                </w:p>
              </w:tc>
              <w:tc>
                <w:tcPr>
                  <w:tcW w:w="412" w:type="pct"/>
                  <w:vMerge w:val="continue"/>
                  <w:tcBorders>
                    <w:tl2br w:val="nil"/>
                    <w:tr2bl w:val="nil"/>
                  </w:tcBorders>
                  <w:vAlign w:val="center"/>
                </w:tcPr>
                <w:p w14:paraId="206418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41706E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HW49</w:t>
                  </w:r>
                </w:p>
                <w:p w14:paraId="4313F0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900-999-49</w:t>
                  </w:r>
                </w:p>
              </w:tc>
              <w:tc>
                <w:tcPr>
                  <w:tcW w:w="615" w:type="pct"/>
                  <w:tcBorders>
                    <w:tl2br w:val="nil"/>
                    <w:tr2bl w:val="nil"/>
                  </w:tcBorders>
                  <w:vAlign w:val="center"/>
                </w:tcPr>
                <w:p w14:paraId="6BC04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32</w:t>
                  </w:r>
                </w:p>
              </w:tc>
              <w:tc>
                <w:tcPr>
                  <w:tcW w:w="533" w:type="pct"/>
                  <w:vMerge w:val="continue"/>
                  <w:tcBorders>
                    <w:tl2br w:val="nil"/>
                    <w:tr2bl w:val="nil"/>
                  </w:tcBorders>
                  <w:vAlign w:val="center"/>
                </w:tcPr>
                <w:p w14:paraId="3FFDF9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3BFE8F4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73A7F9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废药片（废产气药）</w:t>
                  </w:r>
                </w:p>
              </w:tc>
              <w:tc>
                <w:tcPr>
                  <w:tcW w:w="423" w:type="pct"/>
                  <w:tcBorders>
                    <w:tl2br w:val="nil"/>
                    <w:tr2bl w:val="nil"/>
                  </w:tcBorders>
                  <w:vAlign w:val="center"/>
                </w:tcPr>
                <w:p w14:paraId="0094BC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压片</w:t>
                  </w:r>
                </w:p>
              </w:tc>
              <w:tc>
                <w:tcPr>
                  <w:tcW w:w="461" w:type="pct"/>
                  <w:tcBorders>
                    <w:tl2br w:val="nil"/>
                    <w:tr2bl w:val="nil"/>
                  </w:tcBorders>
                  <w:vAlign w:val="center"/>
                </w:tcPr>
                <w:p w14:paraId="591196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356357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硝酸盐、铜等</w:t>
                  </w:r>
                </w:p>
              </w:tc>
              <w:tc>
                <w:tcPr>
                  <w:tcW w:w="412" w:type="pct"/>
                  <w:vMerge w:val="continue"/>
                  <w:tcBorders>
                    <w:tl2br w:val="nil"/>
                    <w:tr2bl w:val="nil"/>
                  </w:tcBorders>
                  <w:vAlign w:val="center"/>
                </w:tcPr>
                <w:p w14:paraId="674759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6B13B6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HW49</w:t>
                  </w:r>
                </w:p>
                <w:p w14:paraId="2A6471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900-999-49</w:t>
                  </w:r>
                </w:p>
              </w:tc>
              <w:tc>
                <w:tcPr>
                  <w:tcW w:w="615" w:type="pct"/>
                  <w:tcBorders>
                    <w:tl2br w:val="nil"/>
                    <w:tr2bl w:val="nil"/>
                  </w:tcBorders>
                  <w:vAlign w:val="center"/>
                </w:tcPr>
                <w:p w14:paraId="075B53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108</w:t>
                  </w:r>
                </w:p>
              </w:tc>
              <w:tc>
                <w:tcPr>
                  <w:tcW w:w="533" w:type="pct"/>
                  <w:vMerge w:val="continue"/>
                  <w:tcBorders>
                    <w:tl2br w:val="nil"/>
                    <w:tr2bl w:val="nil"/>
                  </w:tcBorders>
                  <w:vAlign w:val="center"/>
                </w:tcPr>
                <w:p w14:paraId="1DC41D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0594C88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71E184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不合格品（废气体发生器）</w:t>
                  </w:r>
                </w:p>
              </w:tc>
              <w:tc>
                <w:tcPr>
                  <w:tcW w:w="423" w:type="pct"/>
                  <w:tcBorders>
                    <w:tl2br w:val="nil"/>
                    <w:tr2bl w:val="nil"/>
                  </w:tcBorders>
                  <w:vAlign w:val="center"/>
                </w:tcPr>
                <w:p w14:paraId="7E27C8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检测</w:t>
                  </w:r>
                </w:p>
              </w:tc>
              <w:tc>
                <w:tcPr>
                  <w:tcW w:w="461" w:type="pct"/>
                  <w:tcBorders>
                    <w:tl2br w:val="nil"/>
                    <w:tr2bl w:val="nil"/>
                  </w:tcBorders>
                  <w:vAlign w:val="center"/>
                </w:tcPr>
                <w:p w14:paraId="6A42A5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529300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硝酸盐、铜、塑料等</w:t>
                  </w:r>
                </w:p>
              </w:tc>
              <w:tc>
                <w:tcPr>
                  <w:tcW w:w="412" w:type="pct"/>
                  <w:vMerge w:val="continue"/>
                  <w:tcBorders>
                    <w:tl2br w:val="nil"/>
                    <w:tr2bl w:val="nil"/>
                  </w:tcBorders>
                  <w:vAlign w:val="center"/>
                </w:tcPr>
                <w:p w14:paraId="37AFB9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3ABD98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HW49</w:t>
                  </w:r>
                </w:p>
                <w:p w14:paraId="5909A6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900-999-49</w:t>
                  </w:r>
                </w:p>
              </w:tc>
              <w:tc>
                <w:tcPr>
                  <w:tcW w:w="615" w:type="pct"/>
                  <w:tcBorders>
                    <w:tl2br w:val="nil"/>
                    <w:tr2bl w:val="nil"/>
                  </w:tcBorders>
                  <w:vAlign w:val="center"/>
                </w:tcPr>
                <w:p w14:paraId="738002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238</w:t>
                  </w:r>
                </w:p>
              </w:tc>
              <w:tc>
                <w:tcPr>
                  <w:tcW w:w="533" w:type="pct"/>
                  <w:vMerge w:val="continue"/>
                  <w:tcBorders>
                    <w:tl2br w:val="nil"/>
                    <w:tr2bl w:val="nil"/>
                  </w:tcBorders>
                  <w:vAlign w:val="center"/>
                </w:tcPr>
                <w:p w14:paraId="623F65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6C4348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739C54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废矿物油</w:t>
                  </w:r>
                </w:p>
              </w:tc>
              <w:tc>
                <w:tcPr>
                  <w:tcW w:w="423" w:type="pct"/>
                  <w:tcBorders>
                    <w:tl2br w:val="nil"/>
                    <w:tr2bl w:val="nil"/>
                  </w:tcBorders>
                  <w:vAlign w:val="center"/>
                </w:tcPr>
                <w:p w14:paraId="34D909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设备维护</w:t>
                  </w:r>
                </w:p>
              </w:tc>
              <w:tc>
                <w:tcPr>
                  <w:tcW w:w="461" w:type="pct"/>
                  <w:tcBorders>
                    <w:tl2br w:val="nil"/>
                    <w:tr2bl w:val="nil"/>
                  </w:tcBorders>
                  <w:vAlign w:val="center"/>
                </w:tcPr>
                <w:p w14:paraId="485A4B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液</w:t>
                  </w:r>
                </w:p>
              </w:tc>
              <w:tc>
                <w:tcPr>
                  <w:tcW w:w="853" w:type="pct"/>
                  <w:tcBorders>
                    <w:tl2br w:val="nil"/>
                    <w:tr2bl w:val="nil"/>
                  </w:tcBorders>
                  <w:vAlign w:val="center"/>
                </w:tcPr>
                <w:p w14:paraId="60614A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矿物油、有机物、金属</w:t>
                  </w:r>
                </w:p>
              </w:tc>
              <w:tc>
                <w:tcPr>
                  <w:tcW w:w="412" w:type="pct"/>
                  <w:vMerge w:val="continue"/>
                  <w:tcBorders>
                    <w:tl2br w:val="nil"/>
                    <w:tr2bl w:val="nil"/>
                  </w:tcBorders>
                  <w:vAlign w:val="center"/>
                </w:tcPr>
                <w:p w14:paraId="2C03A8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2E72E3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HW08</w:t>
                  </w:r>
                </w:p>
                <w:p w14:paraId="254A52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900-214-08</w:t>
                  </w:r>
                </w:p>
              </w:tc>
              <w:tc>
                <w:tcPr>
                  <w:tcW w:w="615" w:type="pct"/>
                  <w:tcBorders>
                    <w:tl2br w:val="nil"/>
                    <w:tr2bl w:val="nil"/>
                  </w:tcBorders>
                  <w:vAlign w:val="center"/>
                </w:tcPr>
                <w:p w14:paraId="197C75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10</w:t>
                  </w:r>
                </w:p>
              </w:tc>
              <w:tc>
                <w:tcPr>
                  <w:tcW w:w="533" w:type="pct"/>
                  <w:vMerge w:val="continue"/>
                  <w:tcBorders>
                    <w:tl2br w:val="nil"/>
                    <w:tr2bl w:val="nil"/>
                  </w:tcBorders>
                  <w:vAlign w:val="center"/>
                </w:tcPr>
                <w:p w14:paraId="5B4897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17373B3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439AEA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药浆擦拭纸</w:t>
                  </w:r>
                </w:p>
              </w:tc>
              <w:tc>
                <w:tcPr>
                  <w:tcW w:w="423" w:type="pct"/>
                  <w:tcBorders>
                    <w:tl2br w:val="nil"/>
                    <w:tr2bl w:val="nil"/>
                  </w:tcBorders>
                  <w:vAlign w:val="center"/>
                </w:tcPr>
                <w:p w14:paraId="1AE7AF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461" w:type="pct"/>
                  <w:tcBorders>
                    <w:tl2br w:val="nil"/>
                    <w:tr2bl w:val="nil"/>
                  </w:tcBorders>
                  <w:vAlign w:val="center"/>
                </w:tcPr>
                <w:p w14:paraId="273923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6FC7AC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纸、硝酸盐类</w:t>
                  </w:r>
                </w:p>
              </w:tc>
              <w:tc>
                <w:tcPr>
                  <w:tcW w:w="412" w:type="pct"/>
                  <w:vMerge w:val="continue"/>
                  <w:tcBorders>
                    <w:tl2br w:val="nil"/>
                    <w:tr2bl w:val="nil"/>
                  </w:tcBorders>
                  <w:vAlign w:val="center"/>
                </w:tcPr>
                <w:p w14:paraId="211F62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3206C2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HW49</w:t>
                  </w:r>
                </w:p>
                <w:p w14:paraId="645B86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900-041-49</w:t>
                  </w:r>
                </w:p>
              </w:tc>
              <w:tc>
                <w:tcPr>
                  <w:tcW w:w="615" w:type="pct"/>
                  <w:tcBorders>
                    <w:tl2br w:val="nil"/>
                    <w:tr2bl w:val="nil"/>
                  </w:tcBorders>
                  <w:vAlign w:val="center"/>
                </w:tcPr>
                <w:p w14:paraId="5A5CAD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11.8</w:t>
                  </w:r>
                </w:p>
              </w:tc>
              <w:tc>
                <w:tcPr>
                  <w:tcW w:w="533" w:type="pct"/>
                  <w:vMerge w:val="continue"/>
                  <w:tcBorders>
                    <w:tl2br w:val="nil"/>
                    <w:tr2bl w:val="nil"/>
                  </w:tcBorders>
                  <w:vAlign w:val="center"/>
                </w:tcPr>
                <w:p w14:paraId="79441C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706AC55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049870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化学品沾染物</w:t>
                  </w:r>
                </w:p>
              </w:tc>
              <w:tc>
                <w:tcPr>
                  <w:tcW w:w="423" w:type="pct"/>
                  <w:tcBorders>
                    <w:tl2br w:val="nil"/>
                    <w:tr2bl w:val="nil"/>
                  </w:tcBorders>
                  <w:vAlign w:val="center"/>
                </w:tcPr>
                <w:p w14:paraId="6B4418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461" w:type="pct"/>
                  <w:tcBorders>
                    <w:tl2br w:val="nil"/>
                    <w:tr2bl w:val="nil"/>
                  </w:tcBorders>
                  <w:vAlign w:val="center"/>
                </w:tcPr>
                <w:p w14:paraId="0B3989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07BBFE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产气药、油、药剂</w:t>
                  </w:r>
                </w:p>
              </w:tc>
              <w:tc>
                <w:tcPr>
                  <w:tcW w:w="412" w:type="pct"/>
                  <w:vMerge w:val="continue"/>
                  <w:tcBorders>
                    <w:tl2br w:val="nil"/>
                    <w:tr2bl w:val="nil"/>
                  </w:tcBorders>
                  <w:vAlign w:val="center"/>
                </w:tcPr>
                <w:p w14:paraId="71D5C5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48C563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HW49</w:t>
                  </w:r>
                </w:p>
                <w:p w14:paraId="34FF49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900-041-49</w:t>
                  </w:r>
                </w:p>
              </w:tc>
              <w:tc>
                <w:tcPr>
                  <w:tcW w:w="615" w:type="pct"/>
                  <w:tcBorders>
                    <w:tl2br w:val="nil"/>
                    <w:tr2bl w:val="nil"/>
                  </w:tcBorders>
                  <w:vAlign w:val="center"/>
                </w:tcPr>
                <w:p w14:paraId="1FC88F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12</w:t>
                  </w:r>
                </w:p>
              </w:tc>
              <w:tc>
                <w:tcPr>
                  <w:tcW w:w="533" w:type="pct"/>
                  <w:vMerge w:val="continue"/>
                  <w:tcBorders>
                    <w:tl2br w:val="nil"/>
                    <w:tr2bl w:val="nil"/>
                  </w:tcBorders>
                  <w:vAlign w:val="center"/>
                </w:tcPr>
                <w:p w14:paraId="2DCAC2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15B0DBB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3B3FCB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废离子交换树脂</w:t>
                  </w:r>
                </w:p>
              </w:tc>
              <w:tc>
                <w:tcPr>
                  <w:tcW w:w="423" w:type="pct"/>
                  <w:tcBorders>
                    <w:tl2br w:val="nil"/>
                    <w:tr2bl w:val="nil"/>
                  </w:tcBorders>
                  <w:vAlign w:val="center"/>
                </w:tcPr>
                <w:p w14:paraId="06925E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去离子水生产</w:t>
                  </w:r>
                </w:p>
              </w:tc>
              <w:tc>
                <w:tcPr>
                  <w:tcW w:w="461" w:type="pct"/>
                  <w:tcBorders>
                    <w:tl2br w:val="nil"/>
                    <w:tr2bl w:val="nil"/>
                  </w:tcBorders>
                  <w:vAlign w:val="center"/>
                </w:tcPr>
                <w:p w14:paraId="2CB394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26E99D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树脂、膜</w:t>
                  </w:r>
                </w:p>
              </w:tc>
              <w:tc>
                <w:tcPr>
                  <w:tcW w:w="412" w:type="pct"/>
                  <w:vMerge w:val="continue"/>
                  <w:tcBorders>
                    <w:tl2br w:val="nil"/>
                    <w:tr2bl w:val="nil"/>
                  </w:tcBorders>
                  <w:vAlign w:val="center"/>
                </w:tcPr>
                <w:p w14:paraId="55FAE0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69BFC4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HW13</w:t>
                  </w:r>
                </w:p>
                <w:p w14:paraId="67F0D4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900-015-13</w:t>
                  </w:r>
                </w:p>
              </w:tc>
              <w:tc>
                <w:tcPr>
                  <w:tcW w:w="615" w:type="pct"/>
                  <w:tcBorders>
                    <w:tl2br w:val="nil"/>
                    <w:tr2bl w:val="nil"/>
                  </w:tcBorders>
                  <w:vAlign w:val="center"/>
                </w:tcPr>
                <w:p w14:paraId="442B21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3</w:t>
                  </w:r>
                </w:p>
              </w:tc>
              <w:tc>
                <w:tcPr>
                  <w:tcW w:w="533" w:type="pct"/>
                  <w:vMerge w:val="continue"/>
                  <w:tcBorders>
                    <w:tl2br w:val="nil"/>
                    <w:tr2bl w:val="nil"/>
                  </w:tcBorders>
                  <w:vAlign w:val="center"/>
                </w:tcPr>
                <w:p w14:paraId="1A630B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671BD23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740A11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灰渣</w:t>
                  </w:r>
                </w:p>
              </w:tc>
              <w:tc>
                <w:tcPr>
                  <w:tcW w:w="423" w:type="pct"/>
                  <w:tcBorders>
                    <w:tl2br w:val="nil"/>
                    <w:tr2bl w:val="nil"/>
                  </w:tcBorders>
                  <w:vAlign w:val="center"/>
                </w:tcPr>
                <w:p w14:paraId="208655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焚烧</w:t>
                  </w:r>
                </w:p>
              </w:tc>
              <w:tc>
                <w:tcPr>
                  <w:tcW w:w="461" w:type="pct"/>
                  <w:tcBorders>
                    <w:tl2br w:val="nil"/>
                    <w:tr2bl w:val="nil"/>
                  </w:tcBorders>
                  <w:vAlign w:val="center"/>
                </w:tcPr>
                <w:p w14:paraId="74969B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7B4850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酸性氧化物、碱性氧化物、金属氧化物、盐类</w:t>
                  </w:r>
                </w:p>
              </w:tc>
              <w:tc>
                <w:tcPr>
                  <w:tcW w:w="412" w:type="pct"/>
                  <w:vMerge w:val="continue"/>
                  <w:tcBorders>
                    <w:tl2br w:val="nil"/>
                    <w:tr2bl w:val="nil"/>
                  </w:tcBorders>
                  <w:vAlign w:val="center"/>
                </w:tcPr>
                <w:p w14:paraId="690E07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3C3422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HW18</w:t>
                  </w:r>
                </w:p>
                <w:p w14:paraId="1FC2B5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772-003-18</w:t>
                  </w:r>
                </w:p>
              </w:tc>
              <w:tc>
                <w:tcPr>
                  <w:tcW w:w="615" w:type="pct"/>
                  <w:tcBorders>
                    <w:tl2br w:val="nil"/>
                    <w:tr2bl w:val="nil"/>
                  </w:tcBorders>
                  <w:vAlign w:val="center"/>
                </w:tcPr>
                <w:p w14:paraId="7C5FAB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9.62</w:t>
                  </w:r>
                </w:p>
              </w:tc>
              <w:tc>
                <w:tcPr>
                  <w:tcW w:w="533" w:type="pct"/>
                  <w:vMerge w:val="restart"/>
                  <w:tcBorders>
                    <w:tl2br w:val="nil"/>
                    <w:tr2bl w:val="nil"/>
                  </w:tcBorders>
                  <w:vAlign w:val="center"/>
                </w:tcPr>
                <w:p w14:paraId="607C47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有资质单位处置</w:t>
                  </w:r>
                </w:p>
              </w:tc>
            </w:tr>
            <w:tr w14:paraId="0C77EB4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1E65D6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飞灰</w:t>
                  </w:r>
                </w:p>
              </w:tc>
              <w:tc>
                <w:tcPr>
                  <w:tcW w:w="423" w:type="pct"/>
                  <w:tcBorders>
                    <w:tl2br w:val="nil"/>
                    <w:tr2bl w:val="nil"/>
                  </w:tcBorders>
                  <w:vAlign w:val="center"/>
                </w:tcPr>
                <w:p w14:paraId="02D224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废气处理</w:t>
                  </w:r>
                </w:p>
              </w:tc>
              <w:tc>
                <w:tcPr>
                  <w:tcW w:w="461" w:type="pct"/>
                  <w:tcBorders>
                    <w:tl2br w:val="nil"/>
                    <w:tr2bl w:val="nil"/>
                  </w:tcBorders>
                  <w:vAlign w:val="center"/>
                </w:tcPr>
                <w:p w14:paraId="28738A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223CF0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盐类、消石灰等</w:t>
                  </w:r>
                </w:p>
              </w:tc>
              <w:tc>
                <w:tcPr>
                  <w:tcW w:w="412" w:type="pct"/>
                  <w:vMerge w:val="continue"/>
                  <w:tcBorders>
                    <w:tl2br w:val="nil"/>
                    <w:tr2bl w:val="nil"/>
                  </w:tcBorders>
                  <w:vAlign w:val="center"/>
                </w:tcPr>
                <w:p w14:paraId="51C120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30FBDF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HW18</w:t>
                  </w:r>
                </w:p>
                <w:p w14:paraId="234B1B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772-003-18</w:t>
                  </w:r>
                </w:p>
              </w:tc>
              <w:tc>
                <w:tcPr>
                  <w:tcW w:w="615" w:type="pct"/>
                  <w:tcBorders>
                    <w:tl2br w:val="nil"/>
                    <w:tr2bl w:val="nil"/>
                  </w:tcBorders>
                  <w:vAlign w:val="center"/>
                </w:tcPr>
                <w:p w14:paraId="145F55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12.5</w:t>
                  </w:r>
                </w:p>
              </w:tc>
              <w:tc>
                <w:tcPr>
                  <w:tcW w:w="533" w:type="pct"/>
                  <w:vMerge w:val="continue"/>
                  <w:tcBorders>
                    <w:tl2br w:val="nil"/>
                    <w:tr2bl w:val="nil"/>
                  </w:tcBorders>
                  <w:vAlign w:val="center"/>
                </w:tcPr>
                <w:p w14:paraId="44F680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694298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651C1A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废布袋</w:t>
                  </w:r>
                </w:p>
              </w:tc>
              <w:tc>
                <w:tcPr>
                  <w:tcW w:w="423" w:type="pct"/>
                  <w:tcBorders>
                    <w:tl2br w:val="nil"/>
                    <w:tr2bl w:val="nil"/>
                  </w:tcBorders>
                  <w:vAlign w:val="center"/>
                </w:tcPr>
                <w:p w14:paraId="23EB70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废气处理</w:t>
                  </w:r>
                </w:p>
              </w:tc>
              <w:tc>
                <w:tcPr>
                  <w:tcW w:w="461" w:type="pct"/>
                  <w:tcBorders>
                    <w:tl2br w:val="nil"/>
                    <w:tr2bl w:val="nil"/>
                  </w:tcBorders>
                  <w:vAlign w:val="center"/>
                </w:tcPr>
                <w:p w14:paraId="0CAD14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70001A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纤维、二噁英、重金属</w:t>
                  </w:r>
                </w:p>
              </w:tc>
              <w:tc>
                <w:tcPr>
                  <w:tcW w:w="412" w:type="pct"/>
                  <w:vMerge w:val="continue"/>
                  <w:tcBorders>
                    <w:tl2br w:val="nil"/>
                    <w:tr2bl w:val="nil"/>
                  </w:tcBorders>
                  <w:vAlign w:val="center"/>
                </w:tcPr>
                <w:p w14:paraId="6695A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4CE4C7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HW49</w:t>
                  </w:r>
                </w:p>
                <w:p w14:paraId="3FFA46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900-041-49</w:t>
                  </w:r>
                </w:p>
              </w:tc>
              <w:tc>
                <w:tcPr>
                  <w:tcW w:w="615" w:type="pct"/>
                  <w:tcBorders>
                    <w:tl2br w:val="nil"/>
                    <w:tr2bl w:val="nil"/>
                  </w:tcBorders>
                  <w:vAlign w:val="center"/>
                </w:tcPr>
                <w:p w14:paraId="6897F9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0.38</w:t>
                  </w:r>
                </w:p>
              </w:tc>
              <w:tc>
                <w:tcPr>
                  <w:tcW w:w="533" w:type="pct"/>
                  <w:vMerge w:val="continue"/>
                  <w:tcBorders>
                    <w:tl2br w:val="nil"/>
                    <w:tr2bl w:val="nil"/>
                  </w:tcBorders>
                  <w:vAlign w:val="center"/>
                </w:tcPr>
                <w:p w14:paraId="7C4AA2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4C23D31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166C9B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废活性炭（中水回用处理）</w:t>
                  </w:r>
                </w:p>
              </w:tc>
              <w:tc>
                <w:tcPr>
                  <w:tcW w:w="423" w:type="pct"/>
                  <w:tcBorders>
                    <w:tl2br w:val="nil"/>
                    <w:tr2bl w:val="nil"/>
                  </w:tcBorders>
                  <w:vAlign w:val="center"/>
                </w:tcPr>
                <w:p w14:paraId="6A49CF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废水处理</w:t>
                  </w:r>
                </w:p>
              </w:tc>
              <w:tc>
                <w:tcPr>
                  <w:tcW w:w="461" w:type="pct"/>
                  <w:tcBorders>
                    <w:tl2br w:val="nil"/>
                    <w:tr2bl w:val="nil"/>
                  </w:tcBorders>
                  <w:vAlign w:val="center"/>
                </w:tcPr>
                <w:p w14:paraId="55EBCF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296689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活性炭、重金属等</w:t>
                  </w:r>
                </w:p>
              </w:tc>
              <w:tc>
                <w:tcPr>
                  <w:tcW w:w="412" w:type="pct"/>
                  <w:vMerge w:val="continue"/>
                  <w:tcBorders>
                    <w:tl2br w:val="nil"/>
                    <w:tr2bl w:val="nil"/>
                  </w:tcBorders>
                  <w:vAlign w:val="center"/>
                </w:tcPr>
                <w:p w14:paraId="7310FE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3B496B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HW49</w:t>
                  </w:r>
                </w:p>
                <w:p w14:paraId="64443F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900-041-49</w:t>
                  </w:r>
                </w:p>
              </w:tc>
              <w:tc>
                <w:tcPr>
                  <w:tcW w:w="615" w:type="pct"/>
                  <w:tcBorders>
                    <w:tl2br w:val="nil"/>
                    <w:tr2bl w:val="nil"/>
                  </w:tcBorders>
                  <w:vAlign w:val="center"/>
                </w:tcPr>
                <w:p w14:paraId="523A3B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5.8</w:t>
                  </w:r>
                </w:p>
              </w:tc>
              <w:tc>
                <w:tcPr>
                  <w:tcW w:w="533" w:type="pct"/>
                  <w:vMerge w:val="continue"/>
                  <w:tcBorders>
                    <w:tl2br w:val="nil"/>
                    <w:tr2bl w:val="nil"/>
                  </w:tcBorders>
                  <w:vAlign w:val="center"/>
                </w:tcPr>
                <w:p w14:paraId="2D06D6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07F1E61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699CE9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有毒有害物质塑料内封</w:t>
                  </w:r>
                </w:p>
              </w:tc>
              <w:tc>
                <w:tcPr>
                  <w:tcW w:w="423" w:type="pct"/>
                  <w:tcBorders>
                    <w:tl2br w:val="nil"/>
                    <w:tr2bl w:val="nil"/>
                  </w:tcBorders>
                  <w:vAlign w:val="center"/>
                </w:tcPr>
                <w:p w14:paraId="79F43F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原料拆包</w:t>
                  </w:r>
                </w:p>
              </w:tc>
              <w:tc>
                <w:tcPr>
                  <w:tcW w:w="461" w:type="pct"/>
                  <w:tcBorders>
                    <w:tl2br w:val="nil"/>
                    <w:tr2bl w:val="nil"/>
                  </w:tcBorders>
                  <w:vAlign w:val="center"/>
                </w:tcPr>
                <w:p w14:paraId="164715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0F8A19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塑料、药剂等</w:t>
                  </w:r>
                </w:p>
              </w:tc>
              <w:tc>
                <w:tcPr>
                  <w:tcW w:w="412" w:type="pct"/>
                  <w:vMerge w:val="continue"/>
                  <w:tcBorders>
                    <w:tl2br w:val="nil"/>
                    <w:tr2bl w:val="nil"/>
                  </w:tcBorders>
                  <w:vAlign w:val="center"/>
                </w:tcPr>
                <w:p w14:paraId="0DC01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455C43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HW49</w:t>
                  </w:r>
                </w:p>
                <w:p w14:paraId="4BBE55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900-041-49</w:t>
                  </w:r>
                </w:p>
              </w:tc>
              <w:tc>
                <w:tcPr>
                  <w:tcW w:w="615" w:type="pct"/>
                  <w:tcBorders>
                    <w:tl2br w:val="nil"/>
                    <w:tr2bl w:val="nil"/>
                  </w:tcBorders>
                  <w:vAlign w:val="center"/>
                </w:tcPr>
                <w:p w14:paraId="1EB50E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0.15</w:t>
                  </w:r>
                </w:p>
              </w:tc>
              <w:tc>
                <w:tcPr>
                  <w:tcW w:w="533" w:type="pct"/>
                  <w:vMerge w:val="continue"/>
                  <w:tcBorders>
                    <w:tl2br w:val="nil"/>
                    <w:tr2bl w:val="nil"/>
                  </w:tcBorders>
                  <w:vAlign w:val="center"/>
                </w:tcPr>
                <w:p w14:paraId="1F5BFB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0FDBC79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29F534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废电瓶、废灯管</w:t>
                  </w:r>
                </w:p>
              </w:tc>
              <w:tc>
                <w:tcPr>
                  <w:tcW w:w="423" w:type="pct"/>
                  <w:tcBorders>
                    <w:tl2br w:val="nil"/>
                    <w:tr2bl w:val="nil"/>
                  </w:tcBorders>
                  <w:vAlign w:val="center"/>
                </w:tcPr>
                <w:p w14:paraId="0E9F6F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日常生活</w:t>
                  </w:r>
                </w:p>
              </w:tc>
              <w:tc>
                <w:tcPr>
                  <w:tcW w:w="461" w:type="pct"/>
                  <w:tcBorders>
                    <w:tl2br w:val="nil"/>
                    <w:tr2bl w:val="nil"/>
                  </w:tcBorders>
                  <w:vAlign w:val="center"/>
                </w:tcPr>
                <w:p w14:paraId="2E7A03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6EACA1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电瓶、灯管</w:t>
                  </w:r>
                </w:p>
              </w:tc>
              <w:tc>
                <w:tcPr>
                  <w:tcW w:w="412" w:type="pct"/>
                  <w:vMerge w:val="continue"/>
                  <w:tcBorders>
                    <w:tl2br w:val="nil"/>
                    <w:tr2bl w:val="nil"/>
                  </w:tcBorders>
                  <w:vAlign w:val="center"/>
                </w:tcPr>
                <w:p w14:paraId="72D925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550A04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HW49</w:t>
                  </w:r>
                </w:p>
                <w:p w14:paraId="7487A0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900-044-49</w:t>
                  </w:r>
                </w:p>
              </w:tc>
              <w:tc>
                <w:tcPr>
                  <w:tcW w:w="615" w:type="pct"/>
                  <w:tcBorders>
                    <w:tl2br w:val="nil"/>
                    <w:tr2bl w:val="nil"/>
                  </w:tcBorders>
                  <w:vAlign w:val="center"/>
                </w:tcPr>
                <w:p w14:paraId="133426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0.15</w:t>
                  </w:r>
                </w:p>
              </w:tc>
              <w:tc>
                <w:tcPr>
                  <w:tcW w:w="533" w:type="pct"/>
                  <w:vMerge w:val="continue"/>
                  <w:tcBorders>
                    <w:tl2br w:val="nil"/>
                    <w:tr2bl w:val="nil"/>
                  </w:tcBorders>
                  <w:vAlign w:val="center"/>
                </w:tcPr>
                <w:p w14:paraId="65742B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1CC58AC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78490F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废氨水</w:t>
                  </w:r>
                </w:p>
              </w:tc>
              <w:tc>
                <w:tcPr>
                  <w:tcW w:w="423" w:type="pct"/>
                  <w:tcBorders>
                    <w:tl2br w:val="nil"/>
                    <w:tr2bl w:val="nil"/>
                  </w:tcBorders>
                  <w:vAlign w:val="center"/>
                </w:tcPr>
                <w:p w14:paraId="7A45CF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废气处理</w:t>
                  </w:r>
                </w:p>
              </w:tc>
              <w:tc>
                <w:tcPr>
                  <w:tcW w:w="461" w:type="pct"/>
                  <w:tcBorders>
                    <w:tl2br w:val="nil"/>
                    <w:tr2bl w:val="nil"/>
                  </w:tcBorders>
                  <w:vAlign w:val="center"/>
                </w:tcPr>
                <w:p w14:paraId="2B8FD7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液</w:t>
                  </w:r>
                </w:p>
              </w:tc>
              <w:tc>
                <w:tcPr>
                  <w:tcW w:w="853" w:type="pct"/>
                  <w:tcBorders>
                    <w:tl2br w:val="nil"/>
                    <w:tr2bl w:val="nil"/>
                  </w:tcBorders>
                  <w:vAlign w:val="center"/>
                </w:tcPr>
                <w:p w14:paraId="14ACDB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氨</w:t>
                  </w:r>
                </w:p>
              </w:tc>
              <w:tc>
                <w:tcPr>
                  <w:tcW w:w="412" w:type="pct"/>
                  <w:vMerge w:val="continue"/>
                  <w:tcBorders>
                    <w:tl2br w:val="nil"/>
                    <w:tr2bl w:val="nil"/>
                  </w:tcBorders>
                  <w:vAlign w:val="center"/>
                </w:tcPr>
                <w:p w14:paraId="50FEE3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6FD24B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HW49</w:t>
                  </w:r>
                </w:p>
                <w:p w14:paraId="3931A2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900-399-35</w:t>
                  </w:r>
                </w:p>
              </w:tc>
              <w:tc>
                <w:tcPr>
                  <w:tcW w:w="615" w:type="pct"/>
                  <w:tcBorders>
                    <w:tl2br w:val="nil"/>
                    <w:tr2bl w:val="nil"/>
                  </w:tcBorders>
                  <w:vAlign w:val="center"/>
                </w:tcPr>
                <w:p w14:paraId="541D5D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0.9</w:t>
                  </w:r>
                </w:p>
              </w:tc>
              <w:tc>
                <w:tcPr>
                  <w:tcW w:w="533" w:type="pct"/>
                  <w:vMerge w:val="continue"/>
                  <w:tcBorders>
                    <w:tl2br w:val="nil"/>
                    <w:tr2bl w:val="nil"/>
                  </w:tcBorders>
                  <w:vAlign w:val="center"/>
                </w:tcPr>
                <w:p w14:paraId="477170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0DC505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60DEDB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过滤布袋</w:t>
                  </w:r>
                </w:p>
              </w:tc>
              <w:tc>
                <w:tcPr>
                  <w:tcW w:w="423" w:type="pct"/>
                  <w:tcBorders>
                    <w:tl2br w:val="nil"/>
                    <w:tr2bl w:val="nil"/>
                  </w:tcBorders>
                  <w:vAlign w:val="center"/>
                </w:tcPr>
                <w:p w14:paraId="7CC727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废气处理</w:t>
                  </w:r>
                </w:p>
              </w:tc>
              <w:tc>
                <w:tcPr>
                  <w:tcW w:w="461" w:type="pct"/>
                  <w:tcBorders>
                    <w:tl2br w:val="nil"/>
                    <w:tr2bl w:val="nil"/>
                  </w:tcBorders>
                  <w:vAlign w:val="center"/>
                </w:tcPr>
                <w:p w14:paraId="313E73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4767DD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布、杂质</w:t>
                  </w:r>
                </w:p>
              </w:tc>
              <w:tc>
                <w:tcPr>
                  <w:tcW w:w="412" w:type="pct"/>
                  <w:vMerge w:val="continue"/>
                  <w:tcBorders>
                    <w:tl2br w:val="nil"/>
                    <w:tr2bl w:val="nil"/>
                  </w:tcBorders>
                  <w:vAlign w:val="center"/>
                </w:tcPr>
                <w:p w14:paraId="4330FC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53AF5D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HW49</w:t>
                  </w:r>
                </w:p>
                <w:p w14:paraId="40B147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900-041-49</w:t>
                  </w:r>
                </w:p>
              </w:tc>
              <w:tc>
                <w:tcPr>
                  <w:tcW w:w="615" w:type="pct"/>
                  <w:tcBorders>
                    <w:tl2br w:val="nil"/>
                    <w:tr2bl w:val="nil"/>
                  </w:tcBorders>
                  <w:vAlign w:val="center"/>
                </w:tcPr>
                <w:p w14:paraId="068748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0.76</w:t>
                  </w:r>
                </w:p>
              </w:tc>
              <w:tc>
                <w:tcPr>
                  <w:tcW w:w="533" w:type="pct"/>
                  <w:vMerge w:val="continue"/>
                  <w:tcBorders>
                    <w:tl2br w:val="nil"/>
                    <w:tr2bl w:val="nil"/>
                  </w:tcBorders>
                  <w:vAlign w:val="center"/>
                </w:tcPr>
                <w:p w14:paraId="1092F6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4BF7CA8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769183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废耐火材料</w:t>
                  </w:r>
                </w:p>
              </w:tc>
              <w:tc>
                <w:tcPr>
                  <w:tcW w:w="423" w:type="pct"/>
                  <w:tcBorders>
                    <w:tl2br w:val="nil"/>
                    <w:tr2bl w:val="nil"/>
                  </w:tcBorders>
                  <w:vAlign w:val="center"/>
                </w:tcPr>
                <w:p w14:paraId="6239F3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461" w:type="pct"/>
                  <w:tcBorders>
                    <w:tl2br w:val="nil"/>
                    <w:tr2bl w:val="nil"/>
                  </w:tcBorders>
                  <w:vAlign w:val="center"/>
                </w:tcPr>
                <w:p w14:paraId="5D92BD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7FA8C2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耐火材料</w:t>
                  </w:r>
                </w:p>
              </w:tc>
              <w:tc>
                <w:tcPr>
                  <w:tcW w:w="412" w:type="pct"/>
                  <w:vMerge w:val="continue"/>
                  <w:tcBorders>
                    <w:tl2br w:val="nil"/>
                    <w:tr2bl w:val="nil"/>
                  </w:tcBorders>
                  <w:vAlign w:val="center"/>
                </w:tcPr>
                <w:p w14:paraId="336196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69558F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HW18</w:t>
                  </w:r>
                </w:p>
                <w:p w14:paraId="6F406E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772-003-18</w:t>
                  </w:r>
                </w:p>
              </w:tc>
              <w:tc>
                <w:tcPr>
                  <w:tcW w:w="615" w:type="pct"/>
                  <w:tcBorders>
                    <w:tl2br w:val="nil"/>
                    <w:tr2bl w:val="nil"/>
                  </w:tcBorders>
                  <w:vAlign w:val="center"/>
                </w:tcPr>
                <w:p w14:paraId="2A67CC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2.4t/3a</w:t>
                  </w:r>
                </w:p>
              </w:tc>
              <w:tc>
                <w:tcPr>
                  <w:tcW w:w="533" w:type="pct"/>
                  <w:vMerge w:val="continue"/>
                  <w:tcBorders>
                    <w:tl2br w:val="nil"/>
                    <w:tr2bl w:val="nil"/>
                  </w:tcBorders>
                  <w:vAlign w:val="center"/>
                </w:tcPr>
                <w:p w14:paraId="322F8F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56898A7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57B720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废活性炭</w:t>
                  </w:r>
                </w:p>
              </w:tc>
              <w:tc>
                <w:tcPr>
                  <w:tcW w:w="423" w:type="pct"/>
                  <w:tcBorders>
                    <w:tl2br w:val="nil"/>
                    <w:tr2bl w:val="nil"/>
                  </w:tcBorders>
                  <w:vAlign w:val="center"/>
                </w:tcPr>
                <w:p w14:paraId="5CFA82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废气处理</w:t>
                  </w:r>
                </w:p>
              </w:tc>
              <w:tc>
                <w:tcPr>
                  <w:tcW w:w="461" w:type="pct"/>
                  <w:tcBorders>
                    <w:tl2br w:val="nil"/>
                    <w:tr2bl w:val="nil"/>
                  </w:tcBorders>
                  <w:vAlign w:val="center"/>
                </w:tcPr>
                <w:p w14:paraId="3C2B0C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37D226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活性炭、VOCs</w:t>
                  </w:r>
                </w:p>
              </w:tc>
              <w:tc>
                <w:tcPr>
                  <w:tcW w:w="412" w:type="pct"/>
                  <w:vMerge w:val="continue"/>
                  <w:tcBorders>
                    <w:tl2br w:val="nil"/>
                    <w:tr2bl w:val="nil"/>
                  </w:tcBorders>
                  <w:vAlign w:val="center"/>
                </w:tcPr>
                <w:p w14:paraId="25E1F4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c>
                <w:tcPr>
                  <w:tcW w:w="771" w:type="pct"/>
                  <w:tcBorders>
                    <w:tl2br w:val="nil"/>
                    <w:tr2bl w:val="nil"/>
                  </w:tcBorders>
                  <w:vAlign w:val="center"/>
                </w:tcPr>
                <w:p w14:paraId="4C9E4E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HW49</w:t>
                  </w:r>
                </w:p>
                <w:p w14:paraId="6C1BF7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900-039-49</w:t>
                  </w:r>
                </w:p>
              </w:tc>
              <w:tc>
                <w:tcPr>
                  <w:tcW w:w="615" w:type="pct"/>
                  <w:tcBorders>
                    <w:tl2br w:val="nil"/>
                    <w:tr2bl w:val="nil"/>
                  </w:tcBorders>
                  <w:vAlign w:val="center"/>
                </w:tcPr>
                <w:p w14:paraId="14D4CF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4.26</w:t>
                  </w:r>
                </w:p>
              </w:tc>
              <w:tc>
                <w:tcPr>
                  <w:tcW w:w="533" w:type="pct"/>
                  <w:vMerge w:val="continue"/>
                  <w:tcBorders>
                    <w:tl2br w:val="nil"/>
                    <w:tr2bl w:val="nil"/>
                  </w:tcBorders>
                  <w:vAlign w:val="center"/>
                </w:tcPr>
                <w:p w14:paraId="652EDE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p>
              </w:tc>
            </w:tr>
            <w:tr w14:paraId="1AF5433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28" w:type="pct"/>
                  <w:tcBorders>
                    <w:tl2br w:val="nil"/>
                    <w:tr2bl w:val="nil"/>
                  </w:tcBorders>
                  <w:vAlign w:val="center"/>
                </w:tcPr>
                <w:p w14:paraId="52D611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生活垃圾</w:t>
                  </w:r>
                </w:p>
              </w:tc>
              <w:tc>
                <w:tcPr>
                  <w:tcW w:w="423" w:type="pct"/>
                  <w:tcBorders>
                    <w:tl2br w:val="nil"/>
                    <w:tr2bl w:val="nil"/>
                  </w:tcBorders>
                  <w:vAlign w:val="center"/>
                </w:tcPr>
                <w:p w14:paraId="2D7E75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员工生活</w:t>
                  </w:r>
                </w:p>
              </w:tc>
              <w:tc>
                <w:tcPr>
                  <w:tcW w:w="461" w:type="pct"/>
                  <w:tcBorders>
                    <w:tl2br w:val="nil"/>
                    <w:tr2bl w:val="nil"/>
                  </w:tcBorders>
                  <w:vAlign w:val="center"/>
                </w:tcPr>
                <w:p w14:paraId="2C6DB5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固</w:t>
                  </w:r>
                </w:p>
              </w:tc>
              <w:tc>
                <w:tcPr>
                  <w:tcW w:w="853" w:type="pct"/>
                  <w:tcBorders>
                    <w:tl2br w:val="nil"/>
                    <w:tr2bl w:val="nil"/>
                  </w:tcBorders>
                  <w:vAlign w:val="center"/>
                </w:tcPr>
                <w:p w14:paraId="015D2C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纸皮、瓜果等</w:t>
                  </w:r>
                </w:p>
              </w:tc>
              <w:tc>
                <w:tcPr>
                  <w:tcW w:w="412" w:type="pct"/>
                  <w:tcBorders>
                    <w:tl2br w:val="nil"/>
                    <w:tr2bl w:val="nil"/>
                  </w:tcBorders>
                  <w:vAlign w:val="center"/>
                </w:tcPr>
                <w:p w14:paraId="05A92E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生活垃圾</w:t>
                  </w:r>
                </w:p>
              </w:tc>
              <w:tc>
                <w:tcPr>
                  <w:tcW w:w="771" w:type="pct"/>
                  <w:tcBorders>
                    <w:tl2br w:val="nil"/>
                    <w:tr2bl w:val="nil"/>
                  </w:tcBorders>
                  <w:vAlign w:val="center"/>
                </w:tcPr>
                <w:p w14:paraId="052F46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SW64</w:t>
                  </w:r>
                </w:p>
                <w:p w14:paraId="1551DD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900-099-S64</w:t>
                  </w:r>
                </w:p>
              </w:tc>
              <w:tc>
                <w:tcPr>
                  <w:tcW w:w="615" w:type="pct"/>
                  <w:tcBorders>
                    <w:tl2br w:val="nil"/>
                    <w:tr2bl w:val="nil"/>
                  </w:tcBorders>
                  <w:vAlign w:val="center"/>
                </w:tcPr>
                <w:p w14:paraId="4A5DE6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175</w:t>
                  </w:r>
                </w:p>
              </w:tc>
              <w:tc>
                <w:tcPr>
                  <w:tcW w:w="533" w:type="pct"/>
                  <w:tcBorders>
                    <w:tl2br w:val="nil"/>
                    <w:tr2bl w:val="nil"/>
                  </w:tcBorders>
                  <w:vAlign w:val="center"/>
                </w:tcPr>
                <w:p w14:paraId="14208F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环卫</w:t>
                  </w:r>
                </w:p>
                <w:p w14:paraId="002C53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清运</w:t>
                  </w:r>
                </w:p>
              </w:tc>
            </w:tr>
          </w:tbl>
          <w:p w14:paraId="48520D3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2" w:firstLineChars="200"/>
              <w:textAlignment w:val="auto"/>
              <w:rPr>
                <w:rFonts w:hint="default"/>
                <w:b/>
                <w:bCs/>
                <w:color w:val="auto"/>
                <w:lang w:val="en-US" w:eastAsia="zh-CN"/>
              </w:rPr>
            </w:pPr>
            <w:r>
              <w:rPr>
                <w:rFonts w:hint="eastAsia"/>
                <w:b/>
                <w:bCs/>
                <w:color w:val="auto"/>
                <w:lang w:val="en-US" w:eastAsia="zh-CN"/>
              </w:rPr>
              <w:t>废气：</w:t>
            </w:r>
          </w:p>
          <w:p w14:paraId="35FCCD1C">
            <w:pPr>
              <w:pStyle w:val="5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20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①点火具注塑废气</w:t>
            </w:r>
          </w:p>
          <w:p w14:paraId="728A0870">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塑料尼龙内有机组分挥发产生有机废气，以非甲烷总烃计，根据《排放源统计调查产排污核算方法和系数手册》中2929塑料零件及其他塑料制品制造行业系数表，非甲烷总烃的排放系数为2.7kg/t产品。本项目原料使用量为600t/a，则产生量为1.62t/a，经集风罩捕集后通过两级活性炭吸附装置净化后由1根15米高排气筒（1#）排放，废气捕集率为90%，两级活性炭吸附装置处理率为90%，则有组织废气产生量为1.458t/a。</w:t>
            </w:r>
          </w:p>
          <w:p w14:paraId="5A191C9C">
            <w:pPr>
              <w:pStyle w:val="5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200"/>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②PSS4注塑废气</w:t>
            </w:r>
          </w:p>
          <w:p w14:paraId="13C94B99">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塑料尼龙内有机组分挥发产生有机废气，以非甲烷总烃计，根据《排放源统计调查产排污核算方法和系数手册》中2929塑料零件及其他塑料制品制造行业系数表，非甲烷总烃的排放系数为2.7kg/t产品。本项目原料使用量为60t/a，则产生量为0.162t/a，经集风罩捕集后通过两级活性炭吸附装置净化后由1根15米高排气筒（4#）排放，废气捕集率为90%，两级活性炭吸附装置处理率为90%，则有组织废气产生量为0.146t/a。</w:t>
            </w:r>
          </w:p>
          <w:p w14:paraId="0ED9477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③焊接烟尘</w:t>
            </w:r>
          </w:p>
          <w:p w14:paraId="6217A3C5">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焊接时产生焊接烟尘，焊接时产生的烟尘比约为8kg/t，现有项目需焊接原料使用量约为10t，产生量为0.08t/a，</w:t>
            </w:r>
            <w:r>
              <w:rPr>
                <w:rFonts w:hint="default" w:ascii="Times New Roman" w:hAnsi="Times New Roman" w:cs="Times New Roman"/>
                <w:color w:val="auto"/>
                <w:sz w:val="21"/>
                <w:szCs w:val="21"/>
                <w:lang w:val="en-US" w:eastAsia="zh-CN"/>
              </w:rPr>
              <w:t>经集风罩捕集后通过</w:t>
            </w:r>
            <w:r>
              <w:rPr>
                <w:rFonts w:hint="eastAsia" w:ascii="Times New Roman" w:hAnsi="Times New Roman" w:cs="Times New Roman"/>
                <w:color w:val="auto"/>
                <w:sz w:val="21"/>
                <w:szCs w:val="21"/>
                <w:lang w:val="en-US" w:eastAsia="zh-CN"/>
              </w:rPr>
              <w:t>袋式除尘器除尘后</w:t>
            </w:r>
            <w:r>
              <w:rPr>
                <w:rFonts w:hint="eastAsia" w:ascii="Times New Roman" w:cs="Times New Roman"/>
                <w:color w:val="auto"/>
                <w:sz w:val="21"/>
                <w:szCs w:val="21"/>
                <w:lang w:val="en-US" w:eastAsia="zh-CN"/>
              </w:rPr>
              <w:t>由1根15米高排气筒（2#）排放</w:t>
            </w:r>
            <w:r>
              <w:rPr>
                <w:rFonts w:hint="eastAsia" w:ascii="Times New Roman" w:hAnsi="Times New Roman" w:cs="Times New Roman"/>
                <w:color w:val="auto"/>
                <w:sz w:val="21"/>
                <w:szCs w:val="21"/>
                <w:lang w:val="en-US" w:eastAsia="zh-CN"/>
              </w:rPr>
              <w:t>，捕集率为90%，处理率为90%，则有组织废气产生量为0.072t/a。</w:t>
            </w:r>
          </w:p>
          <w:p w14:paraId="7F18795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④焚烧废气</w:t>
            </w:r>
          </w:p>
          <w:p w14:paraId="7811703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rPr>
            </w:pPr>
            <w:r>
              <w:rPr>
                <w:rFonts w:hint="eastAsia"/>
                <w:color w:val="auto"/>
                <w:kern w:val="0"/>
              </w:rPr>
              <w:t>焚烧废气主要是废物焚烧后产生的烟气，焚烧烟气污染物排放具有不稳定性、不均衡性，废气主要污染物有酸性组分（以SO</w:t>
            </w:r>
            <w:r>
              <w:rPr>
                <w:rFonts w:hint="eastAsia"/>
                <w:color w:val="auto"/>
                <w:kern w:val="0"/>
                <w:vertAlign w:val="subscript"/>
              </w:rPr>
              <w:t>2</w:t>
            </w:r>
            <w:r>
              <w:rPr>
                <w:rFonts w:hint="eastAsia"/>
                <w:color w:val="auto"/>
                <w:kern w:val="0"/>
              </w:rPr>
              <w:t>、NOx为主，以及少量HCl）、CO、烟尘（颗粒物）、挥发性重金属、二噁英类物质、SNCR脱硝产生的氨、非甲烷总烃等。尾气</w:t>
            </w:r>
            <w:r>
              <w:rPr>
                <w:rFonts w:hint="eastAsia"/>
                <w:color w:val="auto"/>
                <w:kern w:val="0"/>
                <w:lang w:val="en-US" w:eastAsia="zh-CN"/>
              </w:rPr>
              <w:t>依托现有</w:t>
            </w:r>
            <w:r>
              <w:rPr>
                <w:rFonts w:hint="eastAsia"/>
                <w:color w:val="auto"/>
                <w:kern w:val="0"/>
              </w:rPr>
              <w:t>SNCR脱硝+急冷除盐+干粉吸收+布袋除尘+臭氧氧化+碱喷淋吸收处理后通过1根25m高排气筒（3#）排放。</w:t>
            </w:r>
          </w:p>
          <w:p w14:paraId="5BE2E1D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auto"/>
                <w:kern w:val="0"/>
                <w:lang w:val="en-US" w:eastAsia="zh-CN"/>
              </w:rPr>
            </w:pPr>
            <w:r>
              <w:rPr>
                <w:rFonts w:hint="eastAsia"/>
                <w:color w:val="auto"/>
                <w:kern w:val="0"/>
                <w:lang w:val="en-US" w:eastAsia="zh-CN"/>
              </w:rPr>
              <w:t>各污染物组分来源如下：</w:t>
            </w:r>
          </w:p>
          <w:p w14:paraId="0482340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auto"/>
                <w:kern w:val="0"/>
                <w:lang w:val="en-US" w:eastAsia="zh-CN"/>
              </w:rPr>
            </w:pPr>
            <w:r>
              <w:rPr>
                <w:rFonts w:hint="eastAsia"/>
                <w:color w:val="auto"/>
                <w:kern w:val="0"/>
                <w:lang w:eastAsia="zh-CN"/>
              </w:rPr>
              <w:t>（</w:t>
            </w:r>
            <w:r>
              <w:rPr>
                <w:rFonts w:hint="eastAsia"/>
                <w:color w:val="auto"/>
                <w:kern w:val="0"/>
                <w:lang w:val="en-US" w:eastAsia="zh-CN"/>
              </w:rPr>
              <w:t>1</w:t>
            </w:r>
            <w:r>
              <w:rPr>
                <w:rFonts w:hint="eastAsia"/>
                <w:color w:val="auto"/>
                <w:kern w:val="0"/>
                <w:lang w:eastAsia="zh-CN"/>
              </w:rPr>
              <w:t>）</w:t>
            </w:r>
            <w:r>
              <w:rPr>
                <w:rFonts w:hint="eastAsia"/>
                <w:color w:val="auto"/>
                <w:kern w:val="0"/>
                <w:lang w:val="en-US" w:eastAsia="zh-CN"/>
              </w:rPr>
              <w:t>酸性气体</w:t>
            </w:r>
          </w:p>
          <w:p w14:paraId="130D6BC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auto"/>
                <w:kern w:val="0"/>
                <w:lang w:val="en-US" w:eastAsia="zh-CN"/>
              </w:rPr>
            </w:pPr>
            <w:r>
              <w:rPr>
                <w:rFonts w:hint="eastAsia"/>
                <w:color w:val="auto"/>
                <w:kern w:val="0"/>
                <w:lang w:val="en-US" w:eastAsia="zh-CN"/>
              </w:rPr>
              <w:t>a.SO</w:t>
            </w:r>
            <w:r>
              <w:rPr>
                <w:rFonts w:hint="eastAsia"/>
                <w:color w:val="auto"/>
                <w:kern w:val="0"/>
                <w:vertAlign w:val="subscript"/>
                <w:lang w:val="en-US" w:eastAsia="zh-CN"/>
              </w:rPr>
              <w:t>2</w:t>
            </w:r>
            <w:r>
              <w:rPr>
                <w:rFonts w:hint="eastAsia"/>
                <w:color w:val="auto"/>
                <w:kern w:val="0"/>
                <w:lang w:val="en-US" w:eastAsia="zh-CN"/>
              </w:rPr>
              <w:t>：主要是来自柴油燃烧生成。</w:t>
            </w:r>
          </w:p>
          <w:p w14:paraId="5DC33D2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lang w:val="en-US" w:eastAsia="zh-CN"/>
              </w:rPr>
            </w:pPr>
            <w:r>
              <w:rPr>
                <w:rFonts w:hint="eastAsia"/>
                <w:color w:val="auto"/>
                <w:kern w:val="0"/>
                <w:lang w:val="en-US" w:eastAsia="zh-CN"/>
              </w:rPr>
              <w:t>现有项目柴油使用量最大为30L/h，全年按4000h计，则使用柴油120000L，柴油燃烧会产生颗粒物、SO</w:t>
            </w:r>
            <w:r>
              <w:rPr>
                <w:rFonts w:hint="eastAsia"/>
                <w:color w:val="auto"/>
                <w:kern w:val="0"/>
                <w:vertAlign w:val="subscript"/>
                <w:lang w:val="en-US" w:eastAsia="zh-CN"/>
              </w:rPr>
              <w:t>2</w:t>
            </w:r>
            <w:r>
              <w:rPr>
                <w:rFonts w:hint="eastAsia"/>
                <w:color w:val="auto"/>
                <w:kern w:val="0"/>
                <w:lang w:val="en-US" w:eastAsia="zh-CN"/>
              </w:rPr>
              <w:t>、NOx，根据《社会区域类环境影响评价培训教材》《社会区域类环境影响评价》（环境科学出版社）中有关柴油发电机产污系数，颗粒物、SO</w:t>
            </w:r>
            <w:r>
              <w:rPr>
                <w:rFonts w:hint="eastAsia"/>
                <w:color w:val="auto"/>
                <w:kern w:val="0"/>
                <w:vertAlign w:val="subscript"/>
                <w:lang w:val="en-US" w:eastAsia="zh-CN"/>
              </w:rPr>
              <w:t>2</w:t>
            </w:r>
            <w:r>
              <w:rPr>
                <w:rFonts w:hint="eastAsia"/>
                <w:color w:val="auto"/>
                <w:kern w:val="0"/>
                <w:lang w:val="en-US" w:eastAsia="zh-CN"/>
              </w:rPr>
              <w:t>、NOx的产污系数分别为0.714g/L、4g/L、2.56g/L，则颗粒物、SO</w:t>
            </w:r>
            <w:r>
              <w:rPr>
                <w:rFonts w:hint="eastAsia"/>
                <w:color w:val="auto"/>
                <w:kern w:val="0"/>
                <w:vertAlign w:val="subscript"/>
                <w:lang w:val="en-US" w:eastAsia="zh-CN"/>
              </w:rPr>
              <w:t>2</w:t>
            </w:r>
            <w:r>
              <w:rPr>
                <w:rFonts w:hint="eastAsia"/>
                <w:color w:val="auto"/>
                <w:kern w:val="0"/>
                <w:lang w:val="en-US" w:eastAsia="zh-CN"/>
              </w:rPr>
              <w:t>、NOx产生量分别为0.086t/a、0.48t/a、0.31t/a。</w:t>
            </w:r>
          </w:p>
          <w:p w14:paraId="2D88618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kern w:val="0"/>
                <w:lang w:val="en-US" w:eastAsia="zh-CN"/>
              </w:rPr>
            </w:pPr>
            <w:r>
              <w:rPr>
                <w:rFonts w:hint="eastAsia"/>
                <w:color w:val="auto"/>
                <w:kern w:val="0"/>
                <w:lang w:val="en-US" w:eastAsia="zh-CN"/>
              </w:rPr>
              <w:t>则SO</w:t>
            </w:r>
            <w:r>
              <w:rPr>
                <w:rFonts w:hint="eastAsia"/>
                <w:color w:val="auto"/>
                <w:kern w:val="0"/>
                <w:vertAlign w:val="subscript"/>
                <w:lang w:val="en-US" w:eastAsia="zh-CN"/>
              </w:rPr>
              <w:t>2</w:t>
            </w:r>
            <w:r>
              <w:rPr>
                <w:rFonts w:hint="eastAsia"/>
                <w:color w:val="auto"/>
                <w:kern w:val="0"/>
                <w:lang w:val="en-US" w:eastAsia="zh-CN"/>
              </w:rPr>
              <w:t>产生量为0.48t/a。</w:t>
            </w:r>
          </w:p>
          <w:p w14:paraId="148DE35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auto"/>
                <w:kern w:val="0"/>
                <w:lang w:val="en-US" w:eastAsia="zh-CN"/>
              </w:rPr>
            </w:pPr>
            <w:r>
              <w:rPr>
                <w:rFonts w:hint="eastAsia"/>
                <w:color w:val="auto"/>
                <w:kern w:val="0"/>
                <w:lang w:val="en-US" w:eastAsia="zh-CN"/>
              </w:rPr>
              <w:t>b.CO：一部分是来自固废碳化物的热分解，另一部分来自不完全燃烧。</w:t>
            </w:r>
          </w:p>
          <w:p w14:paraId="3D983FB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rPr>
            </w:pPr>
            <w:r>
              <w:rPr>
                <w:rFonts w:hint="eastAsia"/>
                <w:color w:val="auto"/>
                <w:kern w:val="0"/>
                <w:lang w:val="en-US" w:eastAsia="zh-CN"/>
              </w:rPr>
              <w:t>现有</w:t>
            </w:r>
            <w:r>
              <w:rPr>
                <w:rFonts w:hint="eastAsia"/>
                <w:color w:val="auto"/>
                <w:kern w:val="0"/>
              </w:rPr>
              <w:t>项目</w:t>
            </w:r>
            <w:r>
              <w:rPr>
                <w:rFonts w:hint="eastAsia"/>
                <w:color w:val="auto"/>
                <w:kern w:val="0"/>
                <w:lang w:val="en-US" w:eastAsia="zh-CN"/>
              </w:rPr>
              <w:t>危废焚烧量为480t/a，焚烧物料中CO含量约为0.1%，则</w:t>
            </w:r>
            <w:r>
              <w:rPr>
                <w:rFonts w:hint="eastAsia"/>
                <w:color w:val="auto"/>
                <w:kern w:val="0"/>
              </w:rPr>
              <w:t>CO产生量</w:t>
            </w:r>
            <w:r>
              <w:rPr>
                <w:rFonts w:hint="eastAsia"/>
                <w:color w:val="auto"/>
                <w:kern w:val="0"/>
                <w:lang w:val="en-US" w:eastAsia="zh-CN"/>
              </w:rPr>
              <w:t>约</w:t>
            </w:r>
            <w:r>
              <w:rPr>
                <w:rFonts w:hint="eastAsia"/>
                <w:color w:val="auto"/>
                <w:kern w:val="0"/>
              </w:rPr>
              <w:t>为</w:t>
            </w:r>
            <w:r>
              <w:rPr>
                <w:rFonts w:hint="eastAsia"/>
                <w:color w:val="auto"/>
                <w:kern w:val="0"/>
                <w:lang w:val="en-US" w:eastAsia="zh-CN"/>
              </w:rPr>
              <w:t>0.48</w:t>
            </w:r>
            <w:r>
              <w:rPr>
                <w:rFonts w:hint="eastAsia"/>
                <w:color w:val="auto"/>
                <w:kern w:val="0"/>
              </w:rPr>
              <w:t>t/a。</w:t>
            </w:r>
          </w:p>
          <w:p w14:paraId="3E156C1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auto"/>
                <w:kern w:val="0"/>
                <w:lang w:val="en-US" w:eastAsia="zh-CN"/>
              </w:rPr>
            </w:pPr>
            <w:r>
              <w:rPr>
                <w:rFonts w:hint="eastAsia"/>
                <w:color w:val="auto"/>
                <w:kern w:val="0"/>
                <w:lang w:val="en-US" w:eastAsia="zh-CN"/>
              </w:rPr>
              <w:t>c.NOx：来自物料中含氮化合物的热分解和氧化燃烧，少量来自柴油燃烧，柴油燃烧产生NOx为0.31t/a。</w:t>
            </w:r>
          </w:p>
          <w:p w14:paraId="6BE38B7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rPr>
            </w:pPr>
            <w:r>
              <w:rPr>
                <w:rFonts w:hint="eastAsia"/>
                <w:color w:val="auto"/>
                <w:kern w:val="0"/>
                <w:lang w:val="en-US" w:eastAsia="zh-CN"/>
              </w:rPr>
              <w:t>现有</w:t>
            </w:r>
            <w:r>
              <w:rPr>
                <w:rFonts w:hint="eastAsia"/>
                <w:color w:val="auto"/>
                <w:kern w:val="0"/>
              </w:rPr>
              <w:t>项目</w:t>
            </w:r>
            <w:r>
              <w:rPr>
                <w:rFonts w:hint="eastAsia"/>
                <w:color w:val="auto"/>
                <w:kern w:val="0"/>
                <w:lang w:val="en-US" w:eastAsia="zh-CN"/>
              </w:rPr>
              <w:t>危废焚烧量为480t/a，</w:t>
            </w:r>
            <w:r>
              <w:rPr>
                <w:rFonts w:hint="eastAsia"/>
                <w:color w:val="auto"/>
                <w:kern w:val="0"/>
              </w:rPr>
              <w:t>焚烧物料中NOx</w:t>
            </w:r>
            <w:r>
              <w:rPr>
                <w:rFonts w:hint="eastAsia"/>
                <w:color w:val="auto"/>
                <w:kern w:val="0"/>
                <w:lang w:val="en-US" w:eastAsia="zh-CN"/>
              </w:rPr>
              <w:t>含量约为1%，则NOx产生量约</w:t>
            </w:r>
            <w:r>
              <w:rPr>
                <w:rFonts w:hint="eastAsia"/>
                <w:color w:val="auto"/>
                <w:kern w:val="0"/>
              </w:rPr>
              <w:t>为</w:t>
            </w:r>
            <w:r>
              <w:rPr>
                <w:rFonts w:hint="eastAsia"/>
                <w:color w:val="auto"/>
                <w:kern w:val="0"/>
                <w:lang w:val="en-US" w:eastAsia="zh-CN"/>
              </w:rPr>
              <w:t>4.8</w:t>
            </w:r>
            <w:r>
              <w:rPr>
                <w:rFonts w:hint="eastAsia"/>
                <w:color w:val="auto"/>
                <w:kern w:val="0"/>
              </w:rPr>
              <w:t>t/a。</w:t>
            </w:r>
          </w:p>
          <w:p w14:paraId="7BFAA9E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kern w:val="0"/>
                <w:lang w:val="en-US" w:eastAsia="zh-CN"/>
              </w:rPr>
            </w:pPr>
            <w:r>
              <w:rPr>
                <w:rFonts w:hint="eastAsia"/>
                <w:color w:val="auto"/>
                <w:kern w:val="0"/>
                <w:lang w:val="en-US" w:eastAsia="zh-CN"/>
              </w:rPr>
              <w:t>综上，现有项目NOx产生量为5.11t/a。</w:t>
            </w:r>
          </w:p>
          <w:p w14:paraId="136BA50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auto"/>
                <w:kern w:val="0"/>
                <w:lang w:val="en-US" w:eastAsia="zh-CN"/>
              </w:rPr>
            </w:pPr>
            <w:r>
              <w:rPr>
                <w:rFonts w:hint="eastAsia"/>
                <w:color w:val="auto"/>
                <w:kern w:val="0"/>
                <w:lang w:val="en-US" w:eastAsia="zh-CN"/>
              </w:rPr>
              <w:t>d.HCl：来源于焙烧物料中氯元素，项目严格控制入炉的氯含量，因而产生的HCl较少。现有</w:t>
            </w:r>
            <w:r>
              <w:rPr>
                <w:rFonts w:hint="eastAsia"/>
                <w:color w:val="auto"/>
                <w:kern w:val="0"/>
              </w:rPr>
              <w:t>项目</w:t>
            </w:r>
            <w:r>
              <w:rPr>
                <w:rFonts w:hint="eastAsia"/>
                <w:color w:val="auto"/>
                <w:kern w:val="0"/>
                <w:lang w:val="en-US" w:eastAsia="zh-CN"/>
              </w:rPr>
              <w:t>危废焚烧量为480t/a，</w:t>
            </w:r>
            <w:r>
              <w:rPr>
                <w:rFonts w:hint="eastAsia"/>
                <w:color w:val="auto"/>
                <w:kern w:val="0"/>
              </w:rPr>
              <w:t>焚烧物料中</w:t>
            </w:r>
            <w:r>
              <w:rPr>
                <w:rFonts w:hint="eastAsia"/>
                <w:color w:val="auto"/>
                <w:kern w:val="0"/>
                <w:lang w:val="en-US" w:eastAsia="zh-CN"/>
              </w:rPr>
              <w:t>HCl含量约为0.2%，则焙烧废气中HCl产生量约为0.96t/a。</w:t>
            </w:r>
          </w:p>
          <w:p w14:paraId="5815C21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auto"/>
                <w:kern w:val="0"/>
                <w:lang w:val="en-US" w:eastAsia="zh-CN"/>
              </w:rPr>
            </w:pPr>
            <w:r>
              <w:rPr>
                <w:rFonts w:hint="eastAsia"/>
                <w:color w:val="auto"/>
                <w:kern w:val="0"/>
                <w:lang w:eastAsia="zh-CN"/>
              </w:rPr>
              <w:t>（</w:t>
            </w:r>
            <w:r>
              <w:rPr>
                <w:rFonts w:hint="eastAsia"/>
                <w:color w:val="auto"/>
                <w:kern w:val="0"/>
                <w:lang w:val="en-US" w:eastAsia="zh-CN"/>
              </w:rPr>
              <w:t>2</w:t>
            </w:r>
            <w:r>
              <w:rPr>
                <w:rFonts w:hint="eastAsia"/>
                <w:color w:val="auto"/>
                <w:kern w:val="0"/>
                <w:lang w:eastAsia="zh-CN"/>
              </w:rPr>
              <w:t>）</w:t>
            </w:r>
            <w:r>
              <w:rPr>
                <w:rFonts w:hint="eastAsia"/>
                <w:color w:val="auto"/>
                <w:kern w:val="0"/>
                <w:lang w:val="en-US" w:eastAsia="zh-CN"/>
              </w:rPr>
              <w:t>颗粒物</w:t>
            </w:r>
          </w:p>
          <w:p w14:paraId="21E175F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rPr>
            </w:pPr>
            <w:r>
              <w:rPr>
                <w:rFonts w:hint="eastAsia"/>
                <w:color w:val="auto"/>
                <w:kern w:val="0"/>
              </w:rPr>
              <w:t>焚烧废气中的烟尘是焚烧过程中产生的微小颗粒物质，主要是窑尾预热段被烟气吹起的小颗粒培砂、未充分燃烧的碳等、因高温而挥发的盐类、重金属等在烟气处理过程中冷凝或发生化学反应而产的物质。</w:t>
            </w:r>
            <w:r>
              <w:rPr>
                <w:rFonts w:hint="eastAsia"/>
                <w:color w:val="auto"/>
                <w:kern w:val="0"/>
                <w:lang w:val="en-US" w:eastAsia="zh-CN"/>
              </w:rPr>
              <w:t>现有</w:t>
            </w:r>
            <w:r>
              <w:rPr>
                <w:rFonts w:hint="eastAsia"/>
                <w:color w:val="auto"/>
                <w:kern w:val="0"/>
              </w:rPr>
              <w:t>项目</w:t>
            </w:r>
            <w:r>
              <w:rPr>
                <w:rFonts w:hint="eastAsia"/>
                <w:color w:val="auto"/>
                <w:kern w:val="0"/>
                <w:lang w:val="en-US" w:eastAsia="zh-CN"/>
              </w:rPr>
              <w:t>危废焚烧量为480t/a，</w:t>
            </w:r>
            <w:r>
              <w:rPr>
                <w:rFonts w:hint="eastAsia"/>
                <w:color w:val="auto"/>
                <w:kern w:val="0"/>
              </w:rPr>
              <w:t>焚烧物</w:t>
            </w:r>
            <w:r>
              <w:rPr>
                <w:rFonts w:hint="eastAsia"/>
                <w:color w:val="auto"/>
                <w:kern w:val="0"/>
                <w:lang w:val="en-US" w:eastAsia="zh-CN"/>
              </w:rPr>
              <w:t>烟尘产生量约为焚烧物料的8.3%，则</w:t>
            </w:r>
            <w:r>
              <w:rPr>
                <w:rFonts w:hint="eastAsia"/>
                <w:color w:val="auto"/>
                <w:kern w:val="0"/>
              </w:rPr>
              <w:t>焚烧废气烟尘产生量</w:t>
            </w:r>
            <w:r>
              <w:rPr>
                <w:rFonts w:hint="eastAsia"/>
                <w:color w:val="auto"/>
                <w:kern w:val="0"/>
                <w:lang w:val="en-US" w:eastAsia="zh-CN"/>
              </w:rPr>
              <w:t>约</w:t>
            </w:r>
            <w:r>
              <w:rPr>
                <w:rFonts w:hint="eastAsia"/>
                <w:color w:val="auto"/>
                <w:kern w:val="0"/>
              </w:rPr>
              <w:t>为</w:t>
            </w:r>
            <w:r>
              <w:rPr>
                <w:rFonts w:hint="eastAsia"/>
                <w:color w:val="auto"/>
                <w:kern w:val="0"/>
                <w:lang w:val="en-US" w:eastAsia="zh-CN"/>
              </w:rPr>
              <w:t>39.84</w:t>
            </w:r>
            <w:r>
              <w:rPr>
                <w:rFonts w:hint="eastAsia"/>
                <w:color w:val="auto"/>
                <w:kern w:val="0"/>
              </w:rPr>
              <w:t>t/a</w:t>
            </w:r>
            <w:r>
              <w:rPr>
                <w:rFonts w:hint="eastAsia"/>
                <w:color w:val="auto"/>
                <w:kern w:val="0"/>
                <w:lang w:eastAsia="zh-CN"/>
              </w:rPr>
              <w:t>；</w:t>
            </w:r>
            <w:r>
              <w:rPr>
                <w:rFonts w:hint="eastAsia"/>
                <w:color w:val="auto"/>
                <w:kern w:val="0"/>
                <w:lang w:val="en-US" w:eastAsia="zh-CN"/>
              </w:rPr>
              <w:t>现有项目</w:t>
            </w:r>
            <w:r>
              <w:rPr>
                <w:rFonts w:hint="eastAsia"/>
                <w:color w:val="auto"/>
                <w:kern w:val="0"/>
              </w:rPr>
              <w:t>项目柴油燃烧烟尘的产生量为</w:t>
            </w:r>
            <w:r>
              <w:rPr>
                <w:rFonts w:hint="eastAsia"/>
                <w:color w:val="auto"/>
                <w:kern w:val="0"/>
                <w:lang w:val="en-US" w:eastAsia="zh-CN"/>
              </w:rPr>
              <w:t>0.357</w:t>
            </w:r>
            <w:r>
              <w:rPr>
                <w:rFonts w:hint="eastAsia"/>
                <w:color w:val="auto"/>
                <w:kern w:val="0"/>
              </w:rPr>
              <w:t>t/a。</w:t>
            </w:r>
          </w:p>
          <w:p w14:paraId="5F46C2F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auto"/>
                <w:kern w:val="0"/>
                <w:lang w:val="en-US" w:eastAsia="zh-CN"/>
              </w:rPr>
            </w:pPr>
            <w:r>
              <w:rPr>
                <w:rFonts w:hint="eastAsia"/>
                <w:color w:val="auto"/>
                <w:kern w:val="0"/>
                <w:lang w:val="en-US" w:eastAsia="zh-CN"/>
              </w:rPr>
              <w:t>综上，本项目颗粒物产生量为40.197t/a。</w:t>
            </w:r>
          </w:p>
          <w:p w14:paraId="0B5B19F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auto"/>
                <w:kern w:val="0"/>
                <w:lang w:val="en-US" w:eastAsia="zh-CN"/>
              </w:rPr>
            </w:pPr>
            <w:r>
              <w:rPr>
                <w:rFonts w:hint="eastAsia"/>
                <w:color w:val="auto"/>
                <w:kern w:val="0"/>
                <w:lang w:eastAsia="zh-CN"/>
              </w:rPr>
              <w:t>（</w:t>
            </w:r>
            <w:r>
              <w:rPr>
                <w:rFonts w:hint="eastAsia"/>
                <w:color w:val="auto"/>
                <w:kern w:val="0"/>
                <w:lang w:val="en-US" w:eastAsia="zh-CN"/>
              </w:rPr>
              <w:t>3</w:t>
            </w:r>
            <w:r>
              <w:rPr>
                <w:rFonts w:hint="eastAsia"/>
                <w:color w:val="auto"/>
                <w:kern w:val="0"/>
                <w:lang w:eastAsia="zh-CN"/>
              </w:rPr>
              <w:t>）</w:t>
            </w:r>
            <w:r>
              <w:rPr>
                <w:rFonts w:hint="eastAsia"/>
                <w:color w:val="auto"/>
                <w:kern w:val="0"/>
                <w:lang w:val="en-US" w:eastAsia="zh-CN"/>
              </w:rPr>
              <w:t>重金属</w:t>
            </w:r>
          </w:p>
          <w:p w14:paraId="2FFC5F3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rPr>
            </w:pPr>
            <w:r>
              <w:rPr>
                <w:rFonts w:hint="eastAsia"/>
                <w:color w:val="auto"/>
                <w:kern w:val="0"/>
              </w:rPr>
              <w:t>烟气中重金属一般由固废含金属化合物的还原或其盐类热分解产生。在焙烧过程中，一些低沸点低蒸气压的重金属以气态形式附着于飞灰而随废气排出，废气中所含重金属量，与废物组成性质、重金属存在形式、焙烧炉的操作条件有密切关系。其中常见挥发性金属有汞、铅、镉、砷、锑、锌等，非挥发性金属有铝、铁、钡、钙、镁、钾、硅、钛等，挥发性金属部分吸附于烟尘排出，非挥发性金属则主要存在于焙砂中。本项目主要重金属包括铜及其化合物。</w:t>
            </w:r>
            <w:r>
              <w:rPr>
                <w:rFonts w:hint="eastAsia"/>
                <w:color w:val="auto"/>
                <w:kern w:val="0"/>
                <w:lang w:val="en-US" w:eastAsia="zh-CN"/>
              </w:rPr>
              <w:t>根据企业提供的经验数据，</w:t>
            </w:r>
            <w:r>
              <w:rPr>
                <w:rFonts w:hint="eastAsia"/>
                <w:color w:val="auto"/>
                <w:kern w:val="0"/>
              </w:rPr>
              <w:t>铜及其化合物（以Cu计）产生量为</w:t>
            </w:r>
            <w:r>
              <w:rPr>
                <w:rFonts w:hint="eastAsia"/>
                <w:color w:val="auto"/>
                <w:kern w:val="0"/>
                <w:lang w:val="en-US" w:eastAsia="zh-CN"/>
              </w:rPr>
              <w:t>0.1t/a</w:t>
            </w:r>
            <w:r>
              <w:rPr>
                <w:rFonts w:hint="eastAsia"/>
                <w:color w:val="auto"/>
                <w:kern w:val="0"/>
              </w:rPr>
              <w:t>。</w:t>
            </w:r>
          </w:p>
          <w:p w14:paraId="71544C2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auto"/>
                <w:kern w:val="0"/>
                <w:lang w:val="en-US" w:eastAsia="zh-CN"/>
              </w:rPr>
            </w:pPr>
            <w:r>
              <w:rPr>
                <w:rFonts w:hint="eastAsia"/>
                <w:color w:val="auto"/>
                <w:kern w:val="0"/>
                <w:lang w:eastAsia="zh-CN"/>
              </w:rPr>
              <w:t>（</w:t>
            </w:r>
            <w:r>
              <w:rPr>
                <w:rFonts w:hint="eastAsia"/>
                <w:color w:val="auto"/>
                <w:kern w:val="0"/>
                <w:lang w:val="en-US" w:eastAsia="zh-CN"/>
              </w:rPr>
              <w:t>4</w:t>
            </w:r>
            <w:r>
              <w:rPr>
                <w:rFonts w:hint="eastAsia"/>
                <w:color w:val="auto"/>
                <w:kern w:val="0"/>
                <w:lang w:eastAsia="zh-CN"/>
              </w:rPr>
              <w:t>）</w:t>
            </w:r>
            <w:r>
              <w:rPr>
                <w:rFonts w:hint="eastAsia"/>
                <w:color w:val="auto"/>
                <w:kern w:val="0"/>
                <w:lang w:val="en-US" w:eastAsia="zh-CN"/>
              </w:rPr>
              <w:t>二噁英类物质</w:t>
            </w:r>
          </w:p>
          <w:p w14:paraId="76F9C5C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rPr>
            </w:pPr>
            <w:r>
              <w:rPr>
                <w:rFonts w:hint="eastAsia"/>
                <w:color w:val="auto"/>
                <w:kern w:val="0"/>
              </w:rPr>
              <w:t>二噁英类化合物是指那些能与芳香烃受体Ah-R结合并能导致一系列生物化学效应的一大类化合物的总称。主要包括75种多氯代二苯并-对-二噁英类</w:t>
            </w:r>
            <w:r>
              <w:rPr>
                <w:rFonts w:hint="eastAsia"/>
                <w:color w:val="auto"/>
                <w:kern w:val="0"/>
                <w:lang w:eastAsia="zh-CN"/>
              </w:rPr>
              <w:t>（</w:t>
            </w:r>
            <w:r>
              <w:rPr>
                <w:rFonts w:hint="eastAsia"/>
                <w:color w:val="auto"/>
                <w:kern w:val="0"/>
              </w:rPr>
              <w:t>PCDDs</w:t>
            </w:r>
            <w:r>
              <w:rPr>
                <w:rFonts w:hint="eastAsia"/>
                <w:color w:val="auto"/>
                <w:kern w:val="0"/>
                <w:lang w:eastAsia="zh-CN"/>
              </w:rPr>
              <w:t>）</w:t>
            </w:r>
            <w:r>
              <w:rPr>
                <w:rFonts w:hint="eastAsia"/>
                <w:color w:val="auto"/>
                <w:kern w:val="0"/>
              </w:rPr>
              <w:t>和135种多氯代二苯并呋喃</w:t>
            </w:r>
            <w:r>
              <w:rPr>
                <w:rFonts w:hint="eastAsia"/>
                <w:color w:val="auto"/>
                <w:kern w:val="0"/>
                <w:lang w:eastAsia="zh-CN"/>
              </w:rPr>
              <w:t>（</w:t>
            </w:r>
            <w:r>
              <w:rPr>
                <w:rFonts w:hint="eastAsia"/>
                <w:color w:val="auto"/>
                <w:kern w:val="0"/>
              </w:rPr>
              <w:t>PCDFs</w:t>
            </w:r>
            <w:r>
              <w:rPr>
                <w:rFonts w:hint="eastAsia"/>
                <w:color w:val="auto"/>
                <w:kern w:val="0"/>
                <w:lang w:eastAsia="zh-CN"/>
              </w:rPr>
              <w:t>）</w:t>
            </w:r>
            <w:r>
              <w:rPr>
                <w:rFonts w:hint="eastAsia"/>
                <w:color w:val="auto"/>
                <w:kern w:val="0"/>
              </w:rPr>
              <w:t>。其中，PCDDs和PCDFs统称为二噁英类。此外还包括多氯联苯</w:t>
            </w:r>
            <w:r>
              <w:rPr>
                <w:rFonts w:hint="eastAsia"/>
                <w:color w:val="auto"/>
                <w:kern w:val="0"/>
                <w:lang w:eastAsia="zh-CN"/>
              </w:rPr>
              <w:t>（</w:t>
            </w:r>
            <w:r>
              <w:rPr>
                <w:rFonts w:hint="eastAsia"/>
                <w:color w:val="auto"/>
                <w:kern w:val="0"/>
              </w:rPr>
              <w:t>PCBs</w:t>
            </w:r>
            <w:r>
              <w:rPr>
                <w:rFonts w:hint="eastAsia"/>
                <w:color w:val="auto"/>
                <w:kern w:val="0"/>
                <w:lang w:eastAsia="zh-CN"/>
              </w:rPr>
              <w:t>）</w:t>
            </w:r>
            <w:r>
              <w:rPr>
                <w:rFonts w:hint="eastAsia"/>
                <w:color w:val="auto"/>
                <w:kern w:val="0"/>
              </w:rPr>
              <w:t>和氯代二苯醚等。目前已知所有二噁英类化合物中，毒性最为明显的是7种PCDDs、10种PCDFs和12种PCBs，其中以2，3，7，8-TCDD的毒性最大。</w:t>
            </w:r>
          </w:p>
          <w:p w14:paraId="4243D75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rPr>
            </w:pPr>
            <w:r>
              <w:rPr>
                <w:rFonts w:hint="eastAsia"/>
                <w:color w:val="auto"/>
                <w:kern w:val="0"/>
              </w:rPr>
              <w:t>在焚烧过程中二噁英类及呋喃类物质产生主要来自三方面：废物本身成份、炉内形成、炉外低温再合成。废物本身成份含有氯离子，在焚烧的过程中产生二噁英类物质。</w:t>
            </w:r>
          </w:p>
          <w:p w14:paraId="6DB238E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0"/>
              </w:rPr>
            </w:pPr>
            <w:r>
              <w:rPr>
                <w:rFonts w:hint="eastAsia"/>
                <w:color w:val="auto"/>
                <w:kern w:val="0"/>
              </w:rPr>
              <w:t>炉内形成：废物化学成分中C、H、O、N、S、Cl等元素，在焚烧过程中可能先形成部分不完全燃烧的碳氢化</w:t>
            </w:r>
            <w:r>
              <w:rPr>
                <w:rFonts w:hint="default" w:ascii="Times New Roman" w:hAnsi="Times New Roman" w:cs="Times New Roman"/>
                <w:color w:val="auto"/>
                <w:kern w:val="0"/>
              </w:rPr>
              <w:t>合物</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CxHy</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，当CxHy因炉内燃烧状况不良（如氧气不足，缺乏充分混合及炉温太低等因素）而未及时分解为CO</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和H</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O时，可能与废物中的氯化物结合形成二噁英类，氯苯及氯酚等物质。其中氯苯及氯酚的破坏分解温度高出约100</w:t>
            </w:r>
            <w:r>
              <w:rPr>
                <w:rFonts w:hint="default" w:ascii="Times New Roman" w:hAnsi="Times New Roman" w:cs="Times New Roman"/>
                <w:color w:val="auto"/>
                <w:kern w:val="0"/>
                <w:lang w:val="en-US" w:eastAsia="zh-CN"/>
              </w:rPr>
              <w:t>℃</w:t>
            </w:r>
            <w:r>
              <w:rPr>
                <w:rFonts w:hint="default" w:ascii="Times New Roman" w:hAnsi="Times New Roman" w:cs="Times New Roman"/>
                <w:color w:val="auto"/>
                <w:kern w:val="0"/>
              </w:rPr>
              <w:t>左右，如炉内燃烧状况不良，尤其在二次燃烧段内混合程度不够或停留时间太短，更不易将其除去，因此可能成为炉外低温合成二噁英类的前驱物质。</w:t>
            </w:r>
          </w:p>
          <w:p w14:paraId="0849B3C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0"/>
              </w:rPr>
            </w:pPr>
            <w:r>
              <w:rPr>
                <w:rFonts w:hint="default" w:ascii="Times New Roman" w:hAnsi="Times New Roman" w:cs="Times New Roman"/>
                <w:color w:val="auto"/>
                <w:kern w:val="0"/>
              </w:rPr>
              <w:t>炉外低温再合成：由于完全燃烧并不容易达成，氯苯及氯酚等前驱物质随废气自燃烧室排出后，可能被废气中的碳元素所吸附，并在特定的温度范围</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250-400℃，300℃时最显著</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，在灰份颗粒所构成的</w:t>
            </w:r>
            <w:r>
              <w:rPr>
                <w:rFonts w:hint="default" w:ascii="Times New Roman" w:hAnsi="Times New Roman" w:cs="Times New Roman"/>
                <w:color w:val="auto"/>
                <w:kern w:val="0"/>
                <w:lang w:val="en-US" w:eastAsia="zh-CN"/>
              </w:rPr>
              <w:t>活</w:t>
            </w:r>
            <w:r>
              <w:rPr>
                <w:rFonts w:hint="default" w:ascii="Times New Roman" w:hAnsi="Times New Roman" w:cs="Times New Roman"/>
                <w:color w:val="auto"/>
                <w:kern w:val="0"/>
              </w:rPr>
              <w:t>性接触面上，被金属氯化物催化反应生成二噁英类。此种再合成反应的发生，除了需具备前述的特定温度范围内由飞灰所提供的碳元素（飞灰中碳的气化率越高，二噁英类的生成量越大）、催化物质、活性接触面及前驱物质外，废气中充分的氧含量、重金属、水份含量也是再合成的重要角色。</w:t>
            </w:r>
          </w:p>
          <w:p w14:paraId="48DA898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rPr>
            </w:pPr>
            <w:r>
              <w:rPr>
                <w:rFonts w:hint="eastAsia" w:cs="Times New Roman"/>
                <w:color w:val="auto"/>
                <w:kern w:val="0"/>
                <w:lang w:val="en-US" w:eastAsia="zh-CN"/>
              </w:rPr>
              <w:t>根据企业经验数据</w:t>
            </w:r>
            <w:r>
              <w:rPr>
                <w:rFonts w:hint="eastAsia"/>
                <w:color w:val="auto"/>
                <w:kern w:val="0"/>
              </w:rPr>
              <w:t>，二噁英类产生浓度为</w:t>
            </w:r>
            <w:r>
              <w:rPr>
                <w:rFonts w:hint="eastAsia"/>
                <w:color w:val="auto"/>
                <w:kern w:val="0"/>
                <w:lang w:val="en-US" w:eastAsia="zh-CN"/>
              </w:rPr>
              <w:t>2</w:t>
            </w:r>
            <w:r>
              <w:rPr>
                <w:rFonts w:hint="eastAsia"/>
                <w:color w:val="auto"/>
                <w:kern w:val="0"/>
              </w:rPr>
              <w:t>ngTEQ/m</w:t>
            </w:r>
            <w:r>
              <w:rPr>
                <w:rFonts w:hint="eastAsia"/>
                <w:color w:val="auto"/>
                <w:kern w:val="0"/>
                <w:vertAlign w:val="superscript"/>
              </w:rPr>
              <w:t>3</w:t>
            </w:r>
            <w:r>
              <w:rPr>
                <w:rFonts w:hint="eastAsia"/>
                <w:b w:val="0"/>
                <w:bCs w:val="0"/>
                <w:color w:val="auto"/>
                <w:kern w:val="0"/>
              </w:rPr>
              <w:t>。</w:t>
            </w:r>
          </w:p>
          <w:p w14:paraId="2290439C">
            <w:pPr>
              <w:adjustRightInd w:val="0"/>
              <w:snapToGrid w:val="0"/>
              <w:spacing w:line="360" w:lineRule="auto"/>
              <w:ind w:firstLine="420" w:firstLineChars="200"/>
              <w:rPr>
                <w:rFonts w:hint="default" w:eastAsia="宋体"/>
                <w:color w:val="auto"/>
                <w:kern w:val="0"/>
                <w:lang w:val="en-US" w:eastAsia="zh-CN"/>
              </w:rPr>
            </w:pPr>
            <w:r>
              <w:rPr>
                <w:rFonts w:hint="eastAsia"/>
                <w:color w:val="auto"/>
                <w:kern w:val="0"/>
                <w:lang w:eastAsia="zh-CN"/>
              </w:rPr>
              <w:t>（</w:t>
            </w:r>
            <w:r>
              <w:rPr>
                <w:rFonts w:hint="eastAsia"/>
                <w:color w:val="auto"/>
                <w:kern w:val="0"/>
                <w:lang w:val="en-US" w:eastAsia="zh-CN"/>
              </w:rPr>
              <w:t>5</w:t>
            </w:r>
            <w:r>
              <w:rPr>
                <w:rFonts w:hint="eastAsia"/>
                <w:color w:val="auto"/>
                <w:kern w:val="0"/>
                <w:lang w:eastAsia="zh-CN"/>
              </w:rPr>
              <w:t>）</w:t>
            </w:r>
            <w:r>
              <w:rPr>
                <w:rFonts w:hint="eastAsia"/>
                <w:color w:val="auto"/>
                <w:kern w:val="0"/>
                <w:lang w:val="en-US" w:eastAsia="zh-CN"/>
              </w:rPr>
              <w:t>氨</w:t>
            </w:r>
          </w:p>
          <w:p w14:paraId="4D672335">
            <w:pPr>
              <w:adjustRightInd w:val="0"/>
              <w:snapToGrid w:val="0"/>
              <w:spacing w:line="360" w:lineRule="auto"/>
              <w:ind w:firstLine="420" w:firstLineChars="200"/>
              <w:rPr>
                <w:rFonts w:hint="default" w:eastAsia="宋体"/>
                <w:color w:val="auto"/>
                <w:kern w:val="0"/>
                <w:lang w:val="en-US" w:eastAsia="zh-CN"/>
              </w:rPr>
            </w:pPr>
            <w:r>
              <w:rPr>
                <w:rFonts w:hint="eastAsia"/>
                <w:color w:val="auto"/>
                <w:kern w:val="0"/>
              </w:rPr>
              <w:t>根据《火电厂烟气脱硝工程技术规范选择性非催化还原法》（HJ563-2010），脱硝系统氨逃逸质量浓度应控制在8mg/m</w:t>
            </w:r>
            <w:r>
              <w:rPr>
                <w:rFonts w:hint="eastAsia"/>
                <w:color w:val="auto"/>
                <w:kern w:val="0"/>
                <w:vertAlign w:val="superscript"/>
              </w:rPr>
              <w:t>3</w:t>
            </w:r>
            <w:r>
              <w:rPr>
                <w:rFonts w:hint="eastAsia"/>
                <w:color w:val="auto"/>
                <w:kern w:val="0"/>
              </w:rPr>
              <w:t>以下，本次评价以8mg/m</w:t>
            </w:r>
            <w:r>
              <w:rPr>
                <w:rFonts w:hint="eastAsia"/>
                <w:color w:val="auto"/>
                <w:kern w:val="0"/>
                <w:vertAlign w:val="superscript"/>
              </w:rPr>
              <w:t>3</w:t>
            </w:r>
            <w:r>
              <w:rPr>
                <w:rFonts w:hint="eastAsia"/>
                <w:color w:val="auto"/>
                <w:kern w:val="0"/>
              </w:rPr>
              <w:t>计，未反应的氨主要与烟气中的HCl、SO</w:t>
            </w:r>
            <w:r>
              <w:rPr>
                <w:rFonts w:hint="eastAsia"/>
                <w:color w:val="auto"/>
                <w:kern w:val="0"/>
                <w:vertAlign w:val="subscript"/>
              </w:rPr>
              <w:t>2</w:t>
            </w:r>
            <w:r>
              <w:rPr>
                <w:rFonts w:hint="eastAsia"/>
                <w:color w:val="auto"/>
                <w:kern w:val="0"/>
              </w:rPr>
              <w:t>及飞灰发生固化反应形成铵盐，经过袋式除尘器后可收集形成的大部分铵盐固化物，再经湿法脱酸后，保守考虑综合氨吸收在90%以上，因此最终通过烟囱排放的氨浓度在0.8mg/m</w:t>
            </w:r>
            <w:r>
              <w:rPr>
                <w:rFonts w:hint="eastAsia"/>
                <w:color w:val="auto"/>
                <w:kern w:val="0"/>
                <w:vertAlign w:val="superscript"/>
              </w:rPr>
              <w:t>3</w:t>
            </w:r>
            <w:r>
              <w:rPr>
                <w:rFonts w:hint="eastAsia"/>
                <w:color w:val="auto"/>
                <w:kern w:val="0"/>
              </w:rPr>
              <w:t>以下。</w:t>
            </w:r>
            <w:r>
              <w:rPr>
                <w:rFonts w:hint="eastAsia" w:cs="Times New Roman"/>
                <w:color w:val="auto"/>
                <w:kern w:val="0"/>
                <w:lang w:val="en-US" w:eastAsia="zh-CN"/>
              </w:rPr>
              <w:t>根据企业提供的经验数据</w:t>
            </w:r>
            <w:r>
              <w:rPr>
                <w:rFonts w:hint="eastAsia"/>
                <w:color w:val="auto"/>
                <w:kern w:val="0"/>
              </w:rPr>
              <w:t>，</w:t>
            </w:r>
            <w:r>
              <w:rPr>
                <w:rFonts w:hint="eastAsia"/>
                <w:color w:val="auto"/>
                <w:kern w:val="0"/>
                <w:lang w:val="en-US" w:eastAsia="zh-CN"/>
              </w:rPr>
              <w:t>氨产生量为0.096t/a。</w:t>
            </w:r>
          </w:p>
          <w:p w14:paraId="55A4DF64">
            <w:pPr>
              <w:adjustRightInd w:val="0"/>
              <w:snapToGrid w:val="0"/>
              <w:spacing w:line="360" w:lineRule="auto"/>
              <w:ind w:firstLine="420" w:firstLineChars="200"/>
              <w:rPr>
                <w:rFonts w:hint="default" w:eastAsia="宋体"/>
                <w:color w:val="auto"/>
                <w:kern w:val="0"/>
                <w:lang w:val="en-US" w:eastAsia="zh-CN"/>
              </w:rPr>
            </w:pPr>
            <w:r>
              <w:rPr>
                <w:rFonts w:hint="eastAsia"/>
                <w:color w:val="auto"/>
                <w:kern w:val="0"/>
                <w:lang w:eastAsia="zh-CN"/>
              </w:rPr>
              <w:t>（</w:t>
            </w:r>
            <w:r>
              <w:rPr>
                <w:rFonts w:hint="eastAsia"/>
                <w:color w:val="auto"/>
                <w:kern w:val="0"/>
                <w:lang w:val="en-US" w:eastAsia="zh-CN"/>
              </w:rPr>
              <w:t>6</w:t>
            </w:r>
            <w:r>
              <w:rPr>
                <w:rFonts w:hint="eastAsia"/>
                <w:color w:val="auto"/>
                <w:kern w:val="0"/>
                <w:lang w:eastAsia="zh-CN"/>
              </w:rPr>
              <w:t>）</w:t>
            </w:r>
            <w:r>
              <w:rPr>
                <w:rFonts w:hint="eastAsia"/>
                <w:color w:val="auto"/>
                <w:kern w:val="0"/>
                <w:lang w:val="en-US" w:eastAsia="zh-CN"/>
              </w:rPr>
              <w:t>非甲烷总烃</w:t>
            </w:r>
          </w:p>
          <w:p w14:paraId="7AC54E55">
            <w:pPr>
              <w:adjustRightInd w:val="0"/>
              <w:snapToGrid w:val="0"/>
              <w:spacing w:line="360" w:lineRule="auto"/>
              <w:ind w:firstLine="420" w:firstLineChars="200"/>
              <w:rPr>
                <w:rFonts w:hint="default" w:ascii="Times New Roman" w:hAnsi="Times New Roman" w:cs="Times New Roman"/>
                <w:color w:val="auto"/>
                <w:kern w:val="0"/>
              </w:rPr>
            </w:pPr>
            <w:r>
              <w:rPr>
                <w:rFonts w:hint="eastAsia" w:cs="Times New Roman"/>
                <w:color w:val="auto"/>
                <w:kern w:val="0"/>
                <w:lang w:val="en-US" w:eastAsia="zh-CN"/>
              </w:rPr>
              <w:t>现有</w:t>
            </w:r>
            <w:r>
              <w:rPr>
                <w:rFonts w:hint="default" w:ascii="Times New Roman" w:hAnsi="Times New Roman" w:cs="Times New Roman"/>
                <w:color w:val="auto"/>
                <w:kern w:val="0"/>
              </w:rPr>
              <w:t>项目焚烧的危废中塑料尼龙约为</w:t>
            </w:r>
            <w:r>
              <w:rPr>
                <w:rFonts w:hint="eastAsia" w:cs="Times New Roman"/>
                <w:color w:val="auto"/>
                <w:kern w:val="0"/>
                <w:lang w:val="en-US" w:eastAsia="zh-CN"/>
              </w:rPr>
              <w:t>32</w:t>
            </w:r>
            <w:r>
              <w:rPr>
                <w:rFonts w:hint="default" w:ascii="Times New Roman" w:hAnsi="Times New Roman" w:cs="Times New Roman"/>
                <w:color w:val="auto"/>
                <w:kern w:val="0"/>
              </w:rPr>
              <w:t>t/a，大部分有机物在二燃室燃烧（温度＜1400℃）过程中，分解为CO</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、H</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O、HCl、NO</w:t>
            </w:r>
            <w:r>
              <w:rPr>
                <w:rFonts w:hint="default" w:ascii="Times New Roman" w:hAnsi="Times New Roman" w:cs="Times New Roman"/>
                <w:color w:val="auto"/>
                <w:kern w:val="0"/>
                <w:lang w:val="en-US" w:eastAsia="zh-CN"/>
              </w:rPr>
              <w:t>x</w:t>
            </w:r>
            <w:r>
              <w:rPr>
                <w:rFonts w:hint="default" w:ascii="Times New Roman" w:hAnsi="Times New Roman" w:cs="Times New Roman"/>
                <w:color w:val="auto"/>
                <w:kern w:val="0"/>
              </w:rPr>
              <w:t>等气体，</w:t>
            </w:r>
            <w:r>
              <w:rPr>
                <w:rFonts w:hint="eastAsia" w:ascii="Times New Roman" w:hAnsi="Times New Roman" w:cs="Times New Roman"/>
                <w:color w:val="auto"/>
                <w:kern w:val="0"/>
                <w:lang w:val="en-US" w:eastAsia="zh-CN"/>
              </w:rPr>
              <w:t>产生少部分</w:t>
            </w:r>
            <w:r>
              <w:rPr>
                <w:rFonts w:hint="default" w:ascii="Times New Roman" w:hAnsi="Times New Roman" w:cs="Times New Roman"/>
                <w:color w:val="auto"/>
                <w:kern w:val="0"/>
              </w:rPr>
              <w:t>非甲烷总烃</w:t>
            </w:r>
            <w:r>
              <w:rPr>
                <w:rFonts w:hint="eastAsia" w:ascii="Times New Roman" w:hAnsi="Times New Roman" w:cs="Times New Roman"/>
                <w:color w:val="auto"/>
                <w:kern w:val="0"/>
                <w:lang w:eastAsia="zh-CN"/>
              </w:rPr>
              <w:t>，</w:t>
            </w:r>
            <w:r>
              <w:rPr>
                <w:rFonts w:hint="default" w:ascii="Times New Roman" w:hAnsi="Times New Roman" w:cs="Times New Roman"/>
                <w:color w:val="auto"/>
                <w:kern w:val="0"/>
              </w:rPr>
              <w:t>产生量</w:t>
            </w:r>
            <w:r>
              <w:rPr>
                <w:rFonts w:hint="eastAsia" w:ascii="Times New Roman" w:hAnsi="Times New Roman" w:cs="Times New Roman"/>
                <w:color w:val="auto"/>
                <w:kern w:val="0"/>
                <w:lang w:val="en-US" w:eastAsia="zh-CN"/>
              </w:rPr>
              <w:t>约</w:t>
            </w:r>
            <w:r>
              <w:rPr>
                <w:rFonts w:hint="default" w:ascii="Times New Roman" w:hAnsi="Times New Roman" w:cs="Times New Roman"/>
                <w:color w:val="auto"/>
                <w:kern w:val="0"/>
              </w:rPr>
              <w:t>为0.00</w:t>
            </w:r>
            <w:r>
              <w:rPr>
                <w:rFonts w:hint="eastAsia" w:cs="Times New Roman"/>
                <w:color w:val="auto"/>
                <w:kern w:val="0"/>
                <w:lang w:val="en-US" w:eastAsia="zh-CN"/>
              </w:rPr>
              <w:t>32</w:t>
            </w:r>
            <w:r>
              <w:rPr>
                <w:rFonts w:hint="default" w:ascii="Times New Roman" w:hAnsi="Times New Roman" w:cs="Times New Roman"/>
                <w:color w:val="auto"/>
                <w:kern w:val="0"/>
              </w:rPr>
              <w:t>t/a。</w:t>
            </w:r>
          </w:p>
          <w:p w14:paraId="52602B47">
            <w:pPr>
              <w:pStyle w:val="5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200"/>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现有项目有组织废气实际产排量见下表。</w:t>
            </w:r>
          </w:p>
          <w:p w14:paraId="6F28E82A">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rPr>
                <w:rFonts w:hint="default" w:ascii="Times New Roman" w:hAnsi="Times New Roman" w:cs="Times New Roman"/>
                <w:color w:val="auto"/>
                <w:sz w:val="21"/>
                <w:szCs w:val="21"/>
                <w:lang w:val="en-US" w:eastAsia="zh-CN"/>
              </w:rPr>
            </w:pPr>
          </w:p>
          <w:p w14:paraId="53BD509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rPr>
                <w:rFonts w:hint="default" w:ascii="Times New Roman" w:hAnsi="Times New Roman" w:cs="Times New Roman"/>
                <w:color w:val="auto"/>
                <w:sz w:val="21"/>
                <w:szCs w:val="21"/>
                <w:lang w:val="en-US" w:eastAsia="zh-CN"/>
              </w:rPr>
            </w:pPr>
          </w:p>
          <w:p w14:paraId="6E5F81A1">
            <w:pPr>
              <w:pStyle w:val="5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rPr>
                <w:rFonts w:hint="default" w:ascii="Times New Roman" w:hAnsi="Times New Roman" w:cs="Times New Roman"/>
                <w:color w:val="auto"/>
                <w:sz w:val="21"/>
                <w:szCs w:val="21"/>
                <w:lang w:val="en-US" w:eastAsia="zh-CN"/>
              </w:rPr>
            </w:pPr>
          </w:p>
          <w:p w14:paraId="588F45D9">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rPr>
                <w:rFonts w:hint="default" w:ascii="Times New Roman" w:hAnsi="Times New Roman" w:cs="Times New Roman"/>
                <w:color w:val="auto"/>
                <w:sz w:val="21"/>
                <w:szCs w:val="21"/>
                <w:lang w:val="en-US" w:eastAsia="zh-CN"/>
              </w:rPr>
            </w:pPr>
          </w:p>
          <w:p w14:paraId="1AEA76C1">
            <w:pPr>
              <w:pStyle w:val="33"/>
              <w:widowControl w:val="0"/>
              <w:numPr>
                <w:ilvl w:val="0"/>
                <w:numId w:val="0"/>
              </w:numPr>
              <w:jc w:val="both"/>
              <w:rPr>
                <w:rFonts w:hint="eastAsia"/>
                <w:color w:val="auto"/>
                <w:kern w:val="0"/>
                <w:lang w:val="en-US" w:eastAsia="zh-CN"/>
              </w:rPr>
            </w:pPr>
          </w:p>
        </w:tc>
      </w:tr>
    </w:tbl>
    <w:p w14:paraId="182A1E2D">
      <w:pPr>
        <w:rPr>
          <w:color w:val="auto"/>
        </w:rPr>
      </w:pPr>
      <w:bookmarkStart w:id="12" w:name="_Toc137559021"/>
      <w:bookmarkStart w:id="13" w:name="_Toc9917"/>
    </w:p>
    <w:p w14:paraId="2B65F324">
      <w:pPr>
        <w:rPr>
          <w:color w:val="auto"/>
        </w:rPr>
        <w:sectPr>
          <w:pgSz w:w="11907" w:h="16840"/>
          <w:pgMar w:top="1418" w:right="1361" w:bottom="1418" w:left="1361" w:header="851" w:footer="851" w:gutter="0"/>
          <w:pgBorders>
            <w:top w:val="none" w:sz="0" w:space="0"/>
            <w:left w:val="none" w:sz="0" w:space="0"/>
            <w:bottom w:val="none" w:sz="0" w:space="0"/>
            <w:right w:val="none" w:sz="0" w:space="0"/>
          </w:pgBorders>
          <w:cols w:space="720" w:num="1"/>
          <w:docGrid w:linePitch="312" w:charSpace="0"/>
        </w:sectPr>
      </w:pP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3561"/>
      </w:tblGrid>
      <w:tr w14:paraId="1E49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6" w:hRule="atLeast"/>
        </w:trPr>
        <w:tc>
          <w:tcPr>
            <w:tcW w:w="659" w:type="dxa"/>
            <w:vAlign w:val="center"/>
          </w:tcPr>
          <w:p w14:paraId="08BAEE25">
            <w:pPr>
              <w:jc w:val="center"/>
              <w:rPr>
                <w:color w:val="auto"/>
                <w:vertAlign w:val="baseline"/>
              </w:rPr>
            </w:pPr>
            <w:r>
              <w:rPr>
                <w:b/>
                <w:bCs/>
                <w:color w:val="auto"/>
                <w:sz w:val="21"/>
                <w:szCs w:val="21"/>
              </w:rPr>
              <w:t>与项目有关的原有环境污染问题</w:t>
            </w:r>
          </w:p>
        </w:tc>
        <w:tc>
          <w:tcPr>
            <w:tcW w:w="13561" w:type="dxa"/>
          </w:tcPr>
          <w:p w14:paraId="42D63C8A">
            <w:pPr>
              <w:pStyle w:val="23"/>
              <w:widowControl w:val="0"/>
              <w:snapToGrid/>
              <w:spacing w:line="240" w:lineRule="auto"/>
              <w:jc w:val="center"/>
              <w:rPr>
                <w:rFonts w:hint="default" w:eastAsia="宋体"/>
                <w:b/>
                <w:color w:val="auto"/>
                <w:spacing w:val="6"/>
                <w:kern w:val="18"/>
                <w:sz w:val="21"/>
                <w:szCs w:val="21"/>
                <w:lang w:val="en-US" w:eastAsia="zh-CN"/>
              </w:rPr>
            </w:pPr>
            <w:r>
              <w:rPr>
                <w:b/>
                <w:color w:val="auto"/>
                <w:spacing w:val="6"/>
                <w:kern w:val="18"/>
                <w:sz w:val="21"/>
                <w:szCs w:val="21"/>
              </w:rPr>
              <w:t>表</w:t>
            </w:r>
            <w:r>
              <w:rPr>
                <w:rFonts w:hint="eastAsia"/>
                <w:b/>
                <w:color w:val="auto"/>
                <w:spacing w:val="6"/>
                <w:kern w:val="18"/>
                <w:sz w:val="21"/>
                <w:szCs w:val="21"/>
                <w:lang w:val="en-US" w:eastAsia="zh-CN"/>
              </w:rPr>
              <w:t>2-12.3</w:t>
            </w:r>
            <w:r>
              <w:rPr>
                <w:b/>
                <w:color w:val="auto"/>
                <w:spacing w:val="6"/>
                <w:kern w:val="18"/>
                <w:sz w:val="21"/>
                <w:szCs w:val="21"/>
              </w:rPr>
              <w:t xml:space="preserve">  </w:t>
            </w:r>
            <w:r>
              <w:rPr>
                <w:rFonts w:hint="eastAsia"/>
                <w:b/>
                <w:color w:val="auto"/>
                <w:spacing w:val="6"/>
                <w:kern w:val="18"/>
                <w:sz w:val="21"/>
                <w:szCs w:val="21"/>
              </w:rPr>
              <w:t xml:space="preserve"> </w:t>
            </w:r>
            <w:r>
              <w:rPr>
                <w:rFonts w:hint="eastAsia"/>
                <w:b/>
                <w:color w:val="auto"/>
                <w:spacing w:val="6"/>
                <w:kern w:val="18"/>
                <w:sz w:val="21"/>
                <w:szCs w:val="21"/>
                <w:lang w:val="en-US" w:eastAsia="zh-CN"/>
              </w:rPr>
              <w:t>现有项目</w:t>
            </w:r>
            <w:r>
              <w:rPr>
                <w:rFonts w:hint="eastAsia"/>
                <w:b/>
                <w:color w:val="auto"/>
                <w:sz w:val="21"/>
                <w:szCs w:val="21"/>
              </w:rPr>
              <w:t>有组织废气</w:t>
            </w:r>
            <w:r>
              <w:rPr>
                <w:rFonts w:hint="eastAsia"/>
                <w:b/>
                <w:color w:val="auto"/>
                <w:sz w:val="21"/>
                <w:szCs w:val="21"/>
                <w:lang w:val="en-US" w:eastAsia="zh-CN"/>
              </w:rPr>
              <w:t>实际产排情况表</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24"/>
              <w:gridCol w:w="801"/>
              <w:gridCol w:w="645"/>
              <w:gridCol w:w="1365"/>
              <w:gridCol w:w="1023"/>
              <w:gridCol w:w="1023"/>
              <w:gridCol w:w="1023"/>
              <w:gridCol w:w="905"/>
              <w:gridCol w:w="622"/>
              <w:gridCol w:w="679"/>
              <w:gridCol w:w="1206"/>
              <w:gridCol w:w="1380"/>
              <w:gridCol w:w="1100"/>
              <w:gridCol w:w="844"/>
            </w:tblGrid>
            <w:tr w14:paraId="3EE397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271" w:type="pct"/>
                  <w:vMerge w:val="restart"/>
                  <w:vAlign w:val="center"/>
                </w:tcPr>
                <w:p w14:paraId="6E85A4E3">
                  <w:pPr>
                    <w:pStyle w:val="656"/>
                    <w:snapToGrid w:val="0"/>
                    <w:rPr>
                      <w:rFonts w:eastAsia="宋体"/>
                      <w:b/>
                      <w:bCs/>
                      <w:color w:val="auto"/>
                      <w:sz w:val="18"/>
                      <w:szCs w:val="18"/>
                    </w:rPr>
                  </w:pPr>
                  <w:r>
                    <w:rPr>
                      <w:rFonts w:hint="eastAsia" w:eastAsia="宋体"/>
                      <w:b/>
                      <w:bCs/>
                      <w:color w:val="auto"/>
                      <w:sz w:val="18"/>
                      <w:szCs w:val="18"/>
                    </w:rPr>
                    <w:t>排放口</w:t>
                  </w:r>
                </w:p>
              </w:tc>
              <w:tc>
                <w:tcPr>
                  <w:tcW w:w="300" w:type="pct"/>
                  <w:vMerge w:val="restart"/>
                  <w:vAlign w:val="center"/>
                </w:tcPr>
                <w:p w14:paraId="19424650">
                  <w:pPr>
                    <w:pStyle w:val="656"/>
                    <w:snapToGrid w:val="0"/>
                    <w:rPr>
                      <w:rFonts w:eastAsia="宋体"/>
                      <w:b/>
                      <w:bCs/>
                      <w:color w:val="auto"/>
                      <w:sz w:val="18"/>
                      <w:szCs w:val="18"/>
                    </w:rPr>
                  </w:pPr>
                  <w:r>
                    <w:rPr>
                      <w:rFonts w:hint="eastAsia" w:eastAsia="宋体"/>
                      <w:b/>
                      <w:bCs/>
                      <w:color w:val="auto"/>
                      <w:sz w:val="18"/>
                      <w:szCs w:val="18"/>
                    </w:rPr>
                    <w:t>排气量m</w:t>
                  </w:r>
                  <w:r>
                    <w:rPr>
                      <w:rFonts w:eastAsia="宋体"/>
                      <w:b/>
                      <w:bCs/>
                      <w:color w:val="auto"/>
                      <w:sz w:val="18"/>
                      <w:szCs w:val="18"/>
                    </w:rPr>
                    <w:t>³</w:t>
                  </w:r>
                  <w:r>
                    <w:rPr>
                      <w:rFonts w:hint="eastAsia" w:eastAsia="宋体"/>
                      <w:b/>
                      <w:bCs/>
                      <w:color w:val="auto"/>
                      <w:sz w:val="18"/>
                      <w:szCs w:val="18"/>
                    </w:rPr>
                    <w:t>/h</w:t>
                  </w:r>
                </w:p>
              </w:tc>
              <w:tc>
                <w:tcPr>
                  <w:tcW w:w="241" w:type="pct"/>
                  <w:vMerge w:val="restart"/>
                  <w:vAlign w:val="center"/>
                </w:tcPr>
                <w:p w14:paraId="2C0A58A8">
                  <w:pPr>
                    <w:pStyle w:val="656"/>
                    <w:snapToGrid w:val="0"/>
                    <w:rPr>
                      <w:rFonts w:eastAsia="宋体"/>
                      <w:b/>
                      <w:bCs/>
                      <w:color w:val="auto"/>
                      <w:sz w:val="18"/>
                      <w:szCs w:val="18"/>
                    </w:rPr>
                  </w:pPr>
                  <w:r>
                    <w:rPr>
                      <w:rFonts w:hint="eastAsia" w:eastAsia="宋体"/>
                      <w:b/>
                      <w:bCs/>
                      <w:color w:val="auto"/>
                      <w:sz w:val="18"/>
                      <w:szCs w:val="18"/>
                    </w:rPr>
                    <w:t>产污</w:t>
                  </w:r>
                </w:p>
                <w:p w14:paraId="70A34E92">
                  <w:pPr>
                    <w:pStyle w:val="656"/>
                    <w:snapToGrid w:val="0"/>
                    <w:rPr>
                      <w:rFonts w:eastAsia="宋体"/>
                      <w:b/>
                      <w:bCs/>
                      <w:color w:val="auto"/>
                      <w:sz w:val="18"/>
                      <w:szCs w:val="18"/>
                    </w:rPr>
                  </w:pPr>
                  <w:r>
                    <w:rPr>
                      <w:rFonts w:hint="eastAsia" w:eastAsia="宋体"/>
                      <w:b/>
                      <w:bCs/>
                      <w:color w:val="auto"/>
                      <w:sz w:val="18"/>
                      <w:szCs w:val="18"/>
                    </w:rPr>
                    <w:t>环节</w:t>
                  </w:r>
                </w:p>
              </w:tc>
              <w:tc>
                <w:tcPr>
                  <w:tcW w:w="511" w:type="pct"/>
                  <w:vMerge w:val="restart"/>
                  <w:vAlign w:val="center"/>
                </w:tcPr>
                <w:p w14:paraId="2FFFF188">
                  <w:pPr>
                    <w:pStyle w:val="656"/>
                    <w:snapToGrid w:val="0"/>
                    <w:rPr>
                      <w:rFonts w:eastAsia="宋体"/>
                      <w:b/>
                      <w:bCs/>
                      <w:color w:val="auto"/>
                      <w:sz w:val="18"/>
                      <w:szCs w:val="18"/>
                    </w:rPr>
                  </w:pPr>
                  <w:r>
                    <w:rPr>
                      <w:rFonts w:hint="eastAsia" w:eastAsia="宋体"/>
                      <w:b/>
                      <w:bCs/>
                      <w:color w:val="auto"/>
                      <w:sz w:val="18"/>
                      <w:szCs w:val="18"/>
                    </w:rPr>
                    <w:t>污染物</w:t>
                  </w:r>
                </w:p>
              </w:tc>
              <w:tc>
                <w:tcPr>
                  <w:tcW w:w="1150" w:type="pct"/>
                  <w:gridSpan w:val="3"/>
                  <w:vAlign w:val="center"/>
                </w:tcPr>
                <w:p w14:paraId="13FFE551">
                  <w:pPr>
                    <w:pStyle w:val="656"/>
                    <w:snapToGrid w:val="0"/>
                    <w:rPr>
                      <w:rFonts w:eastAsia="宋体"/>
                      <w:b/>
                      <w:bCs/>
                      <w:color w:val="auto"/>
                      <w:sz w:val="18"/>
                      <w:szCs w:val="18"/>
                    </w:rPr>
                  </w:pPr>
                  <w:r>
                    <w:rPr>
                      <w:rFonts w:eastAsia="宋体"/>
                      <w:b/>
                      <w:bCs/>
                      <w:color w:val="auto"/>
                      <w:sz w:val="18"/>
                      <w:szCs w:val="18"/>
                    </w:rPr>
                    <w:t>污染物产生</w:t>
                  </w:r>
                  <w:r>
                    <w:rPr>
                      <w:rFonts w:hint="eastAsia" w:eastAsia="宋体"/>
                      <w:b/>
                      <w:bCs/>
                      <w:color w:val="auto"/>
                      <w:sz w:val="18"/>
                      <w:szCs w:val="18"/>
                    </w:rPr>
                    <w:t>情况</w:t>
                  </w:r>
                </w:p>
              </w:tc>
              <w:tc>
                <w:tcPr>
                  <w:tcW w:w="339" w:type="pct"/>
                  <w:vMerge w:val="restart"/>
                  <w:vAlign w:val="center"/>
                </w:tcPr>
                <w:p w14:paraId="76004DAF">
                  <w:pPr>
                    <w:pStyle w:val="656"/>
                    <w:snapToGrid w:val="0"/>
                    <w:rPr>
                      <w:rFonts w:eastAsia="宋体"/>
                      <w:b/>
                      <w:bCs/>
                      <w:color w:val="auto"/>
                      <w:sz w:val="18"/>
                      <w:szCs w:val="18"/>
                    </w:rPr>
                  </w:pPr>
                  <w:r>
                    <w:rPr>
                      <w:rStyle w:val="71"/>
                      <w:rFonts w:hint="eastAsia" w:eastAsia="宋体"/>
                      <w:b/>
                      <w:bCs/>
                      <w:color w:val="auto"/>
                      <w:kern w:val="0"/>
                      <w:sz w:val="18"/>
                      <w:szCs w:val="18"/>
                    </w:rPr>
                    <w:t>治理措施</w:t>
                  </w:r>
                </w:p>
              </w:tc>
              <w:tc>
                <w:tcPr>
                  <w:tcW w:w="233" w:type="pct"/>
                  <w:vMerge w:val="restart"/>
                  <w:vAlign w:val="center"/>
                </w:tcPr>
                <w:p w14:paraId="19642EA9">
                  <w:pPr>
                    <w:pStyle w:val="656"/>
                    <w:snapToGrid w:val="0"/>
                    <w:rPr>
                      <w:rStyle w:val="71"/>
                      <w:rFonts w:eastAsia="宋体"/>
                      <w:color w:val="auto"/>
                      <w:kern w:val="0"/>
                      <w:sz w:val="18"/>
                      <w:szCs w:val="18"/>
                    </w:rPr>
                  </w:pPr>
                  <w:r>
                    <w:rPr>
                      <w:rStyle w:val="71"/>
                      <w:rFonts w:hint="eastAsia" w:eastAsia="宋体"/>
                      <w:b/>
                      <w:bCs/>
                      <w:color w:val="auto"/>
                      <w:kern w:val="0"/>
                      <w:sz w:val="18"/>
                      <w:szCs w:val="18"/>
                    </w:rPr>
                    <w:t>收集率%</w:t>
                  </w:r>
                </w:p>
              </w:tc>
              <w:tc>
                <w:tcPr>
                  <w:tcW w:w="254" w:type="pct"/>
                  <w:vMerge w:val="restart"/>
                  <w:vAlign w:val="center"/>
                </w:tcPr>
                <w:p w14:paraId="34491741">
                  <w:pPr>
                    <w:pStyle w:val="656"/>
                    <w:snapToGrid w:val="0"/>
                    <w:rPr>
                      <w:rFonts w:eastAsia="宋体"/>
                      <w:b/>
                      <w:bCs/>
                      <w:color w:val="auto"/>
                      <w:sz w:val="18"/>
                      <w:szCs w:val="18"/>
                    </w:rPr>
                  </w:pPr>
                  <w:r>
                    <w:rPr>
                      <w:rFonts w:eastAsia="宋体"/>
                      <w:b/>
                      <w:bCs/>
                      <w:color w:val="auto"/>
                      <w:sz w:val="18"/>
                      <w:szCs w:val="18"/>
                    </w:rPr>
                    <w:t>去除率%</w:t>
                  </w:r>
                </w:p>
              </w:tc>
              <w:tc>
                <w:tcPr>
                  <w:tcW w:w="1697" w:type="pct"/>
                  <w:gridSpan w:val="4"/>
                  <w:vAlign w:val="center"/>
                </w:tcPr>
                <w:p w14:paraId="2B447621">
                  <w:pPr>
                    <w:pStyle w:val="656"/>
                    <w:snapToGrid w:val="0"/>
                    <w:rPr>
                      <w:rFonts w:eastAsia="宋体"/>
                      <w:b/>
                      <w:bCs/>
                      <w:color w:val="auto"/>
                      <w:sz w:val="18"/>
                      <w:szCs w:val="18"/>
                    </w:rPr>
                  </w:pPr>
                  <w:r>
                    <w:rPr>
                      <w:rFonts w:eastAsia="宋体"/>
                      <w:b/>
                      <w:bCs/>
                      <w:color w:val="auto"/>
                      <w:sz w:val="18"/>
                      <w:szCs w:val="18"/>
                    </w:rPr>
                    <w:t>污染物排放</w:t>
                  </w:r>
                  <w:r>
                    <w:rPr>
                      <w:rFonts w:hint="eastAsia" w:eastAsia="宋体"/>
                      <w:b/>
                      <w:bCs/>
                      <w:color w:val="auto"/>
                      <w:sz w:val="18"/>
                      <w:szCs w:val="18"/>
                    </w:rPr>
                    <w:t>情况</w:t>
                  </w:r>
                </w:p>
              </w:tc>
            </w:tr>
            <w:tr w14:paraId="2056DFF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271" w:type="pct"/>
                  <w:vMerge w:val="continue"/>
                  <w:vAlign w:val="center"/>
                </w:tcPr>
                <w:p w14:paraId="03FED63F">
                  <w:pPr>
                    <w:pStyle w:val="656"/>
                    <w:snapToGrid w:val="0"/>
                    <w:rPr>
                      <w:rFonts w:eastAsia="宋体"/>
                      <w:b/>
                      <w:bCs/>
                      <w:color w:val="auto"/>
                      <w:sz w:val="18"/>
                      <w:szCs w:val="18"/>
                    </w:rPr>
                  </w:pPr>
                </w:p>
              </w:tc>
              <w:tc>
                <w:tcPr>
                  <w:tcW w:w="300" w:type="pct"/>
                  <w:vMerge w:val="continue"/>
                  <w:vAlign w:val="center"/>
                </w:tcPr>
                <w:p w14:paraId="4A2D32FC">
                  <w:pPr>
                    <w:pStyle w:val="656"/>
                    <w:snapToGrid w:val="0"/>
                    <w:rPr>
                      <w:rFonts w:eastAsia="宋体"/>
                      <w:b/>
                      <w:bCs/>
                      <w:color w:val="auto"/>
                      <w:sz w:val="18"/>
                      <w:szCs w:val="18"/>
                    </w:rPr>
                  </w:pPr>
                </w:p>
              </w:tc>
              <w:tc>
                <w:tcPr>
                  <w:tcW w:w="241" w:type="pct"/>
                  <w:vMerge w:val="continue"/>
                  <w:vAlign w:val="center"/>
                </w:tcPr>
                <w:p w14:paraId="23103975">
                  <w:pPr>
                    <w:pStyle w:val="656"/>
                    <w:snapToGrid w:val="0"/>
                    <w:rPr>
                      <w:rFonts w:eastAsia="宋体"/>
                      <w:b/>
                      <w:bCs/>
                      <w:color w:val="auto"/>
                      <w:sz w:val="18"/>
                      <w:szCs w:val="18"/>
                    </w:rPr>
                  </w:pPr>
                </w:p>
              </w:tc>
              <w:tc>
                <w:tcPr>
                  <w:tcW w:w="511" w:type="pct"/>
                  <w:vMerge w:val="continue"/>
                  <w:vAlign w:val="center"/>
                </w:tcPr>
                <w:p w14:paraId="3291D905">
                  <w:pPr>
                    <w:pStyle w:val="656"/>
                    <w:snapToGrid w:val="0"/>
                    <w:rPr>
                      <w:rFonts w:eastAsia="宋体"/>
                      <w:b/>
                      <w:bCs/>
                      <w:color w:val="auto"/>
                      <w:sz w:val="18"/>
                      <w:szCs w:val="18"/>
                    </w:rPr>
                  </w:pPr>
                </w:p>
              </w:tc>
              <w:tc>
                <w:tcPr>
                  <w:tcW w:w="383" w:type="pct"/>
                  <w:vAlign w:val="center"/>
                </w:tcPr>
                <w:p w14:paraId="50882295">
                  <w:pPr>
                    <w:pStyle w:val="656"/>
                    <w:snapToGrid w:val="0"/>
                    <w:rPr>
                      <w:rFonts w:eastAsia="宋体"/>
                      <w:b/>
                      <w:bCs/>
                      <w:color w:val="auto"/>
                      <w:sz w:val="18"/>
                      <w:szCs w:val="18"/>
                    </w:rPr>
                  </w:pPr>
                  <w:r>
                    <w:rPr>
                      <w:rFonts w:hint="eastAsia" w:eastAsia="宋体"/>
                      <w:b/>
                      <w:bCs/>
                      <w:color w:val="auto"/>
                      <w:sz w:val="18"/>
                      <w:szCs w:val="18"/>
                    </w:rPr>
                    <w:t>浓度mg/m</w:t>
                  </w:r>
                  <w:r>
                    <w:rPr>
                      <w:rFonts w:eastAsia="宋体"/>
                      <w:b/>
                      <w:bCs/>
                      <w:color w:val="auto"/>
                      <w:sz w:val="18"/>
                      <w:szCs w:val="18"/>
                    </w:rPr>
                    <w:t>³</w:t>
                  </w:r>
                </w:p>
              </w:tc>
              <w:tc>
                <w:tcPr>
                  <w:tcW w:w="383" w:type="pct"/>
                  <w:vAlign w:val="center"/>
                </w:tcPr>
                <w:p w14:paraId="0C0C7243">
                  <w:pPr>
                    <w:pStyle w:val="656"/>
                    <w:snapToGrid w:val="0"/>
                    <w:rPr>
                      <w:rFonts w:eastAsia="宋体"/>
                      <w:b/>
                      <w:bCs/>
                      <w:color w:val="auto"/>
                      <w:sz w:val="18"/>
                      <w:szCs w:val="18"/>
                    </w:rPr>
                  </w:pPr>
                  <w:r>
                    <w:rPr>
                      <w:rFonts w:hint="eastAsia" w:eastAsia="宋体"/>
                      <w:b/>
                      <w:bCs/>
                      <w:color w:val="auto"/>
                      <w:sz w:val="18"/>
                      <w:szCs w:val="18"/>
                    </w:rPr>
                    <w:t>速率kg</w:t>
                  </w:r>
                  <w:r>
                    <w:rPr>
                      <w:rFonts w:eastAsia="宋体"/>
                      <w:b/>
                      <w:bCs/>
                      <w:color w:val="auto"/>
                      <w:sz w:val="18"/>
                      <w:szCs w:val="18"/>
                    </w:rPr>
                    <w:t>/h</w:t>
                  </w:r>
                </w:p>
              </w:tc>
              <w:tc>
                <w:tcPr>
                  <w:tcW w:w="383" w:type="pct"/>
                  <w:vAlign w:val="center"/>
                </w:tcPr>
                <w:p w14:paraId="38B2C040">
                  <w:pPr>
                    <w:pStyle w:val="656"/>
                    <w:snapToGrid w:val="0"/>
                    <w:rPr>
                      <w:rFonts w:eastAsia="宋体"/>
                      <w:b/>
                      <w:bCs/>
                      <w:color w:val="auto"/>
                      <w:sz w:val="18"/>
                      <w:szCs w:val="18"/>
                    </w:rPr>
                  </w:pPr>
                  <w:r>
                    <w:rPr>
                      <w:rFonts w:eastAsia="宋体"/>
                      <w:b/>
                      <w:bCs/>
                      <w:color w:val="auto"/>
                      <w:sz w:val="18"/>
                      <w:szCs w:val="18"/>
                    </w:rPr>
                    <w:t>产生量</w:t>
                  </w:r>
                  <w:r>
                    <w:rPr>
                      <w:rFonts w:hint="eastAsia" w:eastAsia="宋体"/>
                      <w:b/>
                      <w:bCs/>
                      <w:color w:val="auto"/>
                      <w:sz w:val="18"/>
                      <w:szCs w:val="18"/>
                    </w:rPr>
                    <w:t>t</w:t>
                  </w:r>
                  <w:r>
                    <w:rPr>
                      <w:rFonts w:eastAsia="宋体"/>
                      <w:b/>
                      <w:bCs/>
                      <w:color w:val="auto"/>
                      <w:sz w:val="18"/>
                      <w:szCs w:val="18"/>
                    </w:rPr>
                    <w:t>/a</w:t>
                  </w:r>
                </w:p>
              </w:tc>
              <w:tc>
                <w:tcPr>
                  <w:tcW w:w="339" w:type="pct"/>
                  <w:vMerge w:val="continue"/>
                  <w:vAlign w:val="center"/>
                </w:tcPr>
                <w:p w14:paraId="45238C7A">
                  <w:pPr>
                    <w:pStyle w:val="656"/>
                    <w:snapToGrid w:val="0"/>
                    <w:rPr>
                      <w:rFonts w:eastAsia="宋体"/>
                      <w:b/>
                      <w:bCs/>
                      <w:color w:val="auto"/>
                      <w:sz w:val="18"/>
                      <w:szCs w:val="18"/>
                    </w:rPr>
                  </w:pPr>
                </w:p>
              </w:tc>
              <w:tc>
                <w:tcPr>
                  <w:tcW w:w="233" w:type="pct"/>
                  <w:vMerge w:val="continue"/>
                  <w:vAlign w:val="center"/>
                </w:tcPr>
                <w:p w14:paraId="794F486A">
                  <w:pPr>
                    <w:pStyle w:val="656"/>
                    <w:snapToGrid w:val="0"/>
                    <w:rPr>
                      <w:rFonts w:eastAsia="宋体"/>
                      <w:b/>
                      <w:bCs/>
                      <w:color w:val="auto"/>
                      <w:sz w:val="18"/>
                      <w:szCs w:val="18"/>
                    </w:rPr>
                  </w:pPr>
                </w:p>
              </w:tc>
              <w:tc>
                <w:tcPr>
                  <w:tcW w:w="254" w:type="pct"/>
                  <w:vMerge w:val="continue"/>
                  <w:vAlign w:val="center"/>
                </w:tcPr>
                <w:p w14:paraId="2E1502AE">
                  <w:pPr>
                    <w:pStyle w:val="656"/>
                    <w:snapToGrid w:val="0"/>
                    <w:rPr>
                      <w:rFonts w:eastAsia="宋体"/>
                      <w:b/>
                      <w:bCs/>
                      <w:color w:val="auto"/>
                      <w:sz w:val="18"/>
                      <w:szCs w:val="18"/>
                    </w:rPr>
                  </w:pPr>
                </w:p>
              </w:tc>
              <w:tc>
                <w:tcPr>
                  <w:tcW w:w="452" w:type="pct"/>
                  <w:vAlign w:val="center"/>
                </w:tcPr>
                <w:p w14:paraId="629C9057">
                  <w:pPr>
                    <w:pStyle w:val="656"/>
                    <w:snapToGrid w:val="0"/>
                    <w:rPr>
                      <w:rFonts w:eastAsia="宋体"/>
                      <w:b/>
                      <w:bCs/>
                      <w:color w:val="auto"/>
                      <w:sz w:val="18"/>
                      <w:szCs w:val="18"/>
                    </w:rPr>
                  </w:pPr>
                  <w:r>
                    <w:rPr>
                      <w:rFonts w:hint="eastAsia" w:eastAsia="宋体"/>
                      <w:b/>
                      <w:bCs/>
                      <w:color w:val="auto"/>
                      <w:sz w:val="18"/>
                      <w:szCs w:val="18"/>
                    </w:rPr>
                    <w:t>浓度mg/m</w:t>
                  </w:r>
                  <w:r>
                    <w:rPr>
                      <w:rFonts w:eastAsia="宋体"/>
                      <w:b/>
                      <w:bCs/>
                      <w:color w:val="auto"/>
                      <w:sz w:val="18"/>
                      <w:szCs w:val="18"/>
                    </w:rPr>
                    <w:t>³</w:t>
                  </w:r>
                </w:p>
              </w:tc>
              <w:tc>
                <w:tcPr>
                  <w:tcW w:w="517" w:type="pct"/>
                  <w:vAlign w:val="center"/>
                </w:tcPr>
                <w:p w14:paraId="58944977">
                  <w:pPr>
                    <w:pStyle w:val="656"/>
                    <w:snapToGrid w:val="0"/>
                    <w:rPr>
                      <w:rFonts w:eastAsia="宋体"/>
                      <w:b/>
                      <w:bCs/>
                      <w:color w:val="auto"/>
                      <w:sz w:val="18"/>
                      <w:szCs w:val="18"/>
                    </w:rPr>
                  </w:pPr>
                  <w:r>
                    <w:rPr>
                      <w:rFonts w:hint="eastAsia" w:eastAsia="宋体"/>
                      <w:b/>
                      <w:bCs/>
                      <w:color w:val="auto"/>
                      <w:sz w:val="18"/>
                      <w:szCs w:val="18"/>
                    </w:rPr>
                    <w:t>速率kg</w:t>
                  </w:r>
                  <w:r>
                    <w:rPr>
                      <w:rFonts w:eastAsia="宋体"/>
                      <w:b/>
                      <w:bCs/>
                      <w:color w:val="auto"/>
                      <w:sz w:val="18"/>
                      <w:szCs w:val="18"/>
                    </w:rPr>
                    <w:t>/h</w:t>
                  </w:r>
                </w:p>
              </w:tc>
              <w:tc>
                <w:tcPr>
                  <w:tcW w:w="412" w:type="pct"/>
                  <w:vAlign w:val="center"/>
                </w:tcPr>
                <w:p w14:paraId="2E70CC41">
                  <w:pPr>
                    <w:pStyle w:val="656"/>
                    <w:snapToGrid w:val="0"/>
                    <w:rPr>
                      <w:rFonts w:eastAsia="宋体"/>
                      <w:b/>
                      <w:bCs/>
                      <w:color w:val="auto"/>
                      <w:sz w:val="18"/>
                      <w:szCs w:val="18"/>
                    </w:rPr>
                  </w:pPr>
                  <w:r>
                    <w:rPr>
                      <w:rFonts w:hint="eastAsia" w:eastAsia="宋体"/>
                      <w:b/>
                      <w:bCs/>
                      <w:color w:val="auto"/>
                      <w:sz w:val="18"/>
                      <w:szCs w:val="18"/>
                    </w:rPr>
                    <w:t>排放</w:t>
                  </w:r>
                  <w:r>
                    <w:rPr>
                      <w:rFonts w:eastAsia="宋体"/>
                      <w:b/>
                      <w:bCs/>
                      <w:color w:val="auto"/>
                      <w:sz w:val="18"/>
                      <w:szCs w:val="18"/>
                    </w:rPr>
                    <w:t>量</w:t>
                  </w:r>
                  <w:r>
                    <w:rPr>
                      <w:rFonts w:hint="eastAsia" w:eastAsia="宋体"/>
                      <w:b/>
                      <w:bCs/>
                      <w:color w:val="auto"/>
                      <w:sz w:val="18"/>
                      <w:szCs w:val="18"/>
                    </w:rPr>
                    <w:t>t</w:t>
                  </w:r>
                  <w:r>
                    <w:rPr>
                      <w:rFonts w:eastAsia="宋体"/>
                      <w:b/>
                      <w:bCs/>
                      <w:color w:val="auto"/>
                      <w:sz w:val="18"/>
                      <w:szCs w:val="18"/>
                    </w:rPr>
                    <w:t>/a</w:t>
                  </w:r>
                </w:p>
              </w:tc>
              <w:tc>
                <w:tcPr>
                  <w:tcW w:w="316" w:type="pct"/>
                  <w:vAlign w:val="center"/>
                </w:tcPr>
                <w:p w14:paraId="2A3F1CD4">
                  <w:pPr>
                    <w:pStyle w:val="656"/>
                    <w:snapToGrid w:val="0"/>
                    <w:rPr>
                      <w:rFonts w:eastAsia="宋体"/>
                      <w:b/>
                      <w:bCs/>
                      <w:color w:val="auto"/>
                      <w:sz w:val="18"/>
                      <w:szCs w:val="18"/>
                    </w:rPr>
                  </w:pPr>
                  <w:r>
                    <w:rPr>
                      <w:rFonts w:hint="eastAsia" w:eastAsia="宋体"/>
                      <w:b/>
                      <w:bCs/>
                      <w:color w:val="auto"/>
                      <w:sz w:val="18"/>
                      <w:szCs w:val="18"/>
                    </w:rPr>
                    <w:t>排放时间</w:t>
                  </w:r>
                </w:p>
              </w:tc>
            </w:tr>
            <w:tr w14:paraId="1AAC040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271" w:type="pct"/>
                  <w:vAlign w:val="center"/>
                </w:tcPr>
                <w:p w14:paraId="7627BDD9">
                  <w:pPr>
                    <w:pStyle w:val="656"/>
                    <w:snapToGrid w:val="0"/>
                    <w:rPr>
                      <w:rFonts w:hint="default" w:eastAsia="宋体"/>
                      <w:b w:val="0"/>
                      <w:bCs w:val="0"/>
                      <w:color w:val="auto"/>
                      <w:sz w:val="18"/>
                      <w:szCs w:val="18"/>
                      <w:lang w:val="en-US" w:eastAsia="zh-CN"/>
                    </w:rPr>
                  </w:pPr>
                  <w:r>
                    <w:rPr>
                      <w:rFonts w:hint="eastAsia" w:eastAsia="宋体"/>
                      <w:b w:val="0"/>
                      <w:bCs w:val="0"/>
                      <w:color w:val="auto"/>
                      <w:sz w:val="18"/>
                      <w:szCs w:val="18"/>
                      <w:lang w:val="en-US" w:eastAsia="zh-CN"/>
                    </w:rPr>
                    <w:t>1#</w:t>
                  </w:r>
                </w:p>
              </w:tc>
              <w:tc>
                <w:tcPr>
                  <w:tcW w:w="300" w:type="pct"/>
                  <w:vAlign w:val="center"/>
                </w:tcPr>
                <w:p w14:paraId="7FC0398D">
                  <w:pPr>
                    <w:pStyle w:val="656"/>
                    <w:snapToGrid w:val="0"/>
                    <w:rPr>
                      <w:rFonts w:hint="default" w:eastAsia="宋体"/>
                      <w:b w:val="0"/>
                      <w:bCs w:val="0"/>
                      <w:color w:val="auto"/>
                      <w:sz w:val="18"/>
                      <w:szCs w:val="18"/>
                      <w:lang w:val="en-US" w:eastAsia="zh-CN"/>
                    </w:rPr>
                  </w:pPr>
                  <w:r>
                    <w:rPr>
                      <w:rFonts w:hint="eastAsia" w:eastAsia="宋体"/>
                      <w:b w:val="0"/>
                      <w:bCs w:val="0"/>
                      <w:color w:val="auto"/>
                      <w:sz w:val="18"/>
                      <w:szCs w:val="18"/>
                      <w:lang w:val="en-US" w:eastAsia="zh-CN"/>
                    </w:rPr>
                    <w:t>12000</w:t>
                  </w:r>
                </w:p>
              </w:tc>
              <w:tc>
                <w:tcPr>
                  <w:tcW w:w="241" w:type="pct"/>
                  <w:vAlign w:val="center"/>
                </w:tcPr>
                <w:p w14:paraId="37A70DFC">
                  <w:pPr>
                    <w:pStyle w:val="656"/>
                    <w:snapToGrid w:val="0"/>
                    <w:rPr>
                      <w:rFonts w:hint="eastAsia" w:eastAsia="宋体"/>
                      <w:b w:val="0"/>
                      <w:bCs w:val="0"/>
                      <w:color w:val="auto"/>
                      <w:sz w:val="18"/>
                      <w:szCs w:val="18"/>
                      <w:lang w:val="en-US" w:eastAsia="zh-CN"/>
                    </w:rPr>
                  </w:pPr>
                  <w:r>
                    <w:rPr>
                      <w:rFonts w:hint="eastAsia" w:eastAsia="宋体"/>
                      <w:b w:val="0"/>
                      <w:bCs w:val="0"/>
                      <w:color w:val="auto"/>
                      <w:sz w:val="18"/>
                      <w:szCs w:val="18"/>
                      <w:lang w:val="en-US" w:eastAsia="zh-CN"/>
                    </w:rPr>
                    <w:t>注塑</w:t>
                  </w:r>
                </w:p>
              </w:tc>
              <w:tc>
                <w:tcPr>
                  <w:tcW w:w="511" w:type="pct"/>
                  <w:vAlign w:val="center"/>
                </w:tcPr>
                <w:p w14:paraId="711D65B2">
                  <w:pPr>
                    <w:pStyle w:val="656"/>
                    <w:snapToGrid w:val="0"/>
                    <w:rPr>
                      <w:rFonts w:hint="eastAsia" w:eastAsia="宋体"/>
                      <w:b w:val="0"/>
                      <w:bCs w:val="0"/>
                      <w:color w:val="auto"/>
                      <w:sz w:val="18"/>
                      <w:szCs w:val="18"/>
                      <w:lang w:val="en-US" w:eastAsia="zh-CN"/>
                    </w:rPr>
                  </w:pPr>
                  <w:r>
                    <w:rPr>
                      <w:rFonts w:hint="eastAsia" w:eastAsia="宋体"/>
                      <w:b w:val="0"/>
                      <w:bCs w:val="0"/>
                      <w:color w:val="auto"/>
                      <w:sz w:val="18"/>
                      <w:szCs w:val="18"/>
                      <w:lang w:val="en-US" w:eastAsia="zh-CN"/>
                    </w:rPr>
                    <w:t>非甲烷总烃</w:t>
                  </w:r>
                </w:p>
              </w:tc>
              <w:tc>
                <w:tcPr>
                  <w:tcW w:w="383" w:type="pct"/>
                  <w:vAlign w:val="center"/>
                </w:tcPr>
                <w:p w14:paraId="58D46AB7">
                  <w:pPr>
                    <w:pStyle w:val="656"/>
                    <w:snapToGrid w:val="0"/>
                    <w:rPr>
                      <w:rFonts w:hint="default" w:eastAsia="宋体"/>
                      <w:b w:val="0"/>
                      <w:bCs w:val="0"/>
                      <w:color w:val="auto"/>
                      <w:sz w:val="18"/>
                      <w:szCs w:val="18"/>
                      <w:lang w:val="en-US" w:eastAsia="zh-CN"/>
                    </w:rPr>
                  </w:pPr>
                  <w:r>
                    <w:rPr>
                      <w:rFonts w:hint="eastAsia" w:eastAsia="宋体"/>
                      <w:b w:val="0"/>
                      <w:bCs w:val="0"/>
                      <w:color w:val="auto"/>
                      <w:sz w:val="18"/>
                      <w:szCs w:val="18"/>
                      <w:lang w:val="en-US" w:eastAsia="zh-CN"/>
                    </w:rPr>
                    <w:t>24</w:t>
                  </w:r>
                </w:p>
              </w:tc>
              <w:tc>
                <w:tcPr>
                  <w:tcW w:w="383" w:type="pct"/>
                  <w:vAlign w:val="center"/>
                </w:tcPr>
                <w:p w14:paraId="76AD8C2E">
                  <w:pPr>
                    <w:pStyle w:val="656"/>
                    <w:snapToGrid w:val="0"/>
                    <w:rPr>
                      <w:rFonts w:hint="default" w:eastAsia="宋体"/>
                      <w:b w:val="0"/>
                      <w:bCs w:val="0"/>
                      <w:color w:val="auto"/>
                      <w:sz w:val="18"/>
                      <w:szCs w:val="18"/>
                      <w:lang w:val="en-US" w:eastAsia="zh-CN"/>
                    </w:rPr>
                  </w:pPr>
                  <w:r>
                    <w:rPr>
                      <w:rFonts w:hint="eastAsia" w:eastAsia="宋体"/>
                      <w:b w:val="0"/>
                      <w:bCs w:val="0"/>
                      <w:color w:val="auto"/>
                      <w:sz w:val="18"/>
                      <w:szCs w:val="18"/>
                      <w:lang w:val="en-US" w:eastAsia="zh-CN"/>
                    </w:rPr>
                    <w:t>0.29</w:t>
                  </w:r>
                </w:p>
              </w:tc>
              <w:tc>
                <w:tcPr>
                  <w:tcW w:w="383" w:type="pct"/>
                  <w:vAlign w:val="center"/>
                </w:tcPr>
                <w:p w14:paraId="4B8A0957">
                  <w:pPr>
                    <w:pStyle w:val="656"/>
                    <w:snapToGrid w:val="0"/>
                    <w:rPr>
                      <w:rFonts w:hint="default" w:eastAsia="宋体"/>
                      <w:b w:val="0"/>
                      <w:bCs w:val="0"/>
                      <w:color w:val="auto"/>
                      <w:sz w:val="18"/>
                      <w:szCs w:val="18"/>
                      <w:lang w:val="en-US" w:eastAsia="zh-CN"/>
                    </w:rPr>
                  </w:pPr>
                  <w:r>
                    <w:rPr>
                      <w:rFonts w:hint="eastAsia" w:eastAsia="宋体"/>
                      <w:b w:val="0"/>
                      <w:bCs w:val="0"/>
                      <w:color w:val="auto"/>
                      <w:sz w:val="18"/>
                      <w:szCs w:val="18"/>
                      <w:lang w:val="en-US" w:eastAsia="zh-CN"/>
                    </w:rPr>
                    <w:t>1.458</w:t>
                  </w:r>
                </w:p>
              </w:tc>
              <w:tc>
                <w:tcPr>
                  <w:tcW w:w="339" w:type="pct"/>
                  <w:vAlign w:val="center"/>
                </w:tcPr>
                <w:p w14:paraId="17ED6C6A">
                  <w:pPr>
                    <w:pStyle w:val="656"/>
                    <w:snapToGrid w:val="0"/>
                    <w:rPr>
                      <w:rFonts w:hint="eastAsia" w:eastAsia="宋体"/>
                      <w:b w:val="0"/>
                      <w:bCs w:val="0"/>
                      <w:color w:val="auto"/>
                      <w:sz w:val="18"/>
                      <w:szCs w:val="18"/>
                      <w:lang w:val="en-US" w:eastAsia="zh-CN"/>
                    </w:rPr>
                  </w:pPr>
                  <w:r>
                    <w:rPr>
                      <w:rFonts w:hint="eastAsia" w:eastAsia="宋体"/>
                      <w:b w:val="0"/>
                      <w:bCs w:val="0"/>
                      <w:color w:val="auto"/>
                      <w:sz w:val="18"/>
                      <w:szCs w:val="18"/>
                      <w:lang w:val="en-US" w:eastAsia="zh-CN"/>
                    </w:rPr>
                    <w:t>二级活性炭</w:t>
                  </w:r>
                </w:p>
              </w:tc>
              <w:tc>
                <w:tcPr>
                  <w:tcW w:w="233" w:type="pct"/>
                  <w:vAlign w:val="center"/>
                </w:tcPr>
                <w:p w14:paraId="2B0E97AD">
                  <w:pPr>
                    <w:pStyle w:val="656"/>
                    <w:snapToGrid w:val="0"/>
                    <w:rPr>
                      <w:rFonts w:hint="default" w:eastAsia="宋体"/>
                      <w:b w:val="0"/>
                      <w:bCs w:val="0"/>
                      <w:color w:val="auto"/>
                      <w:sz w:val="18"/>
                      <w:szCs w:val="18"/>
                      <w:lang w:val="en-US" w:eastAsia="zh-CN"/>
                    </w:rPr>
                  </w:pPr>
                  <w:r>
                    <w:rPr>
                      <w:rFonts w:hint="eastAsia" w:eastAsia="宋体"/>
                      <w:b w:val="0"/>
                      <w:bCs w:val="0"/>
                      <w:color w:val="auto"/>
                      <w:sz w:val="18"/>
                      <w:szCs w:val="18"/>
                      <w:lang w:val="en-US" w:eastAsia="zh-CN"/>
                    </w:rPr>
                    <w:t>90</w:t>
                  </w:r>
                </w:p>
              </w:tc>
              <w:tc>
                <w:tcPr>
                  <w:tcW w:w="254" w:type="pct"/>
                  <w:vAlign w:val="center"/>
                </w:tcPr>
                <w:p w14:paraId="0784E346">
                  <w:pPr>
                    <w:pStyle w:val="656"/>
                    <w:snapToGrid w:val="0"/>
                    <w:rPr>
                      <w:rFonts w:hint="default" w:eastAsia="宋体"/>
                      <w:b w:val="0"/>
                      <w:bCs w:val="0"/>
                      <w:color w:val="auto"/>
                      <w:sz w:val="18"/>
                      <w:szCs w:val="18"/>
                      <w:lang w:val="en-US" w:eastAsia="zh-CN"/>
                    </w:rPr>
                  </w:pPr>
                  <w:r>
                    <w:rPr>
                      <w:rFonts w:hint="eastAsia" w:eastAsia="宋体"/>
                      <w:b w:val="0"/>
                      <w:bCs w:val="0"/>
                      <w:color w:val="auto"/>
                      <w:sz w:val="18"/>
                      <w:szCs w:val="18"/>
                      <w:lang w:val="en-US" w:eastAsia="zh-CN"/>
                    </w:rPr>
                    <w:t>90</w:t>
                  </w:r>
                </w:p>
              </w:tc>
              <w:tc>
                <w:tcPr>
                  <w:tcW w:w="452" w:type="pct"/>
                  <w:vAlign w:val="center"/>
                </w:tcPr>
                <w:p w14:paraId="747E0927">
                  <w:pPr>
                    <w:pStyle w:val="656"/>
                    <w:snapToGrid w:val="0"/>
                    <w:rPr>
                      <w:rFonts w:hint="default" w:eastAsia="宋体"/>
                      <w:b w:val="0"/>
                      <w:bCs w:val="0"/>
                      <w:color w:val="auto"/>
                      <w:sz w:val="18"/>
                      <w:szCs w:val="18"/>
                      <w:lang w:val="en-US" w:eastAsia="zh-CN"/>
                    </w:rPr>
                  </w:pPr>
                  <w:r>
                    <w:rPr>
                      <w:rFonts w:hint="eastAsia" w:eastAsia="宋体"/>
                      <w:b w:val="0"/>
                      <w:bCs w:val="0"/>
                      <w:color w:val="auto"/>
                      <w:sz w:val="18"/>
                      <w:szCs w:val="18"/>
                      <w:lang w:val="en-US" w:eastAsia="zh-CN"/>
                    </w:rPr>
                    <w:t>2.4</w:t>
                  </w:r>
                </w:p>
              </w:tc>
              <w:tc>
                <w:tcPr>
                  <w:tcW w:w="517" w:type="pct"/>
                  <w:vAlign w:val="center"/>
                </w:tcPr>
                <w:p w14:paraId="741D501F">
                  <w:pPr>
                    <w:pStyle w:val="656"/>
                    <w:snapToGrid w:val="0"/>
                    <w:rPr>
                      <w:rFonts w:hint="default" w:eastAsia="宋体"/>
                      <w:b w:val="0"/>
                      <w:bCs w:val="0"/>
                      <w:color w:val="auto"/>
                      <w:sz w:val="18"/>
                      <w:szCs w:val="18"/>
                      <w:lang w:val="en-US" w:eastAsia="zh-CN"/>
                    </w:rPr>
                  </w:pPr>
                  <w:r>
                    <w:rPr>
                      <w:rFonts w:hint="eastAsia" w:eastAsia="宋体"/>
                      <w:b w:val="0"/>
                      <w:bCs w:val="0"/>
                      <w:color w:val="auto"/>
                      <w:sz w:val="18"/>
                      <w:szCs w:val="18"/>
                      <w:lang w:val="en-US" w:eastAsia="zh-CN"/>
                    </w:rPr>
                    <w:t>0.029</w:t>
                  </w:r>
                </w:p>
              </w:tc>
              <w:tc>
                <w:tcPr>
                  <w:tcW w:w="412" w:type="pct"/>
                  <w:vAlign w:val="center"/>
                </w:tcPr>
                <w:p w14:paraId="4E357ECE">
                  <w:pPr>
                    <w:pStyle w:val="656"/>
                    <w:snapToGrid w:val="0"/>
                    <w:rPr>
                      <w:rFonts w:hint="default" w:eastAsia="宋体"/>
                      <w:b w:val="0"/>
                      <w:bCs w:val="0"/>
                      <w:color w:val="auto"/>
                      <w:sz w:val="18"/>
                      <w:szCs w:val="18"/>
                      <w:lang w:val="en-US" w:eastAsia="zh-CN"/>
                    </w:rPr>
                  </w:pPr>
                  <w:r>
                    <w:rPr>
                      <w:rFonts w:hint="eastAsia" w:eastAsia="宋体"/>
                      <w:b w:val="0"/>
                      <w:bCs w:val="0"/>
                      <w:color w:val="auto"/>
                      <w:sz w:val="18"/>
                      <w:szCs w:val="18"/>
                      <w:lang w:val="en-US" w:eastAsia="zh-CN"/>
                    </w:rPr>
                    <w:t>0.1458</w:t>
                  </w:r>
                </w:p>
              </w:tc>
              <w:tc>
                <w:tcPr>
                  <w:tcW w:w="316" w:type="pct"/>
                  <w:vAlign w:val="center"/>
                </w:tcPr>
                <w:p w14:paraId="786341FA">
                  <w:pPr>
                    <w:pStyle w:val="656"/>
                    <w:snapToGrid w:val="0"/>
                    <w:rPr>
                      <w:rFonts w:hint="default" w:eastAsia="宋体"/>
                      <w:b w:val="0"/>
                      <w:bCs w:val="0"/>
                      <w:color w:val="auto"/>
                      <w:sz w:val="18"/>
                      <w:szCs w:val="18"/>
                      <w:lang w:val="en-US" w:eastAsia="zh-CN"/>
                    </w:rPr>
                  </w:pPr>
                  <w:r>
                    <w:rPr>
                      <w:rFonts w:hint="eastAsia" w:eastAsia="宋体"/>
                      <w:b w:val="0"/>
                      <w:bCs w:val="0"/>
                      <w:color w:val="auto"/>
                      <w:sz w:val="18"/>
                      <w:szCs w:val="18"/>
                      <w:lang w:val="en-US" w:eastAsia="zh-CN"/>
                    </w:rPr>
                    <w:t>5000h</w:t>
                  </w:r>
                </w:p>
              </w:tc>
            </w:tr>
            <w:tr w14:paraId="7BC228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271" w:type="pct"/>
                  <w:vAlign w:val="center"/>
                </w:tcPr>
                <w:p w14:paraId="18FA98D2">
                  <w:pPr>
                    <w:pStyle w:val="656"/>
                    <w:snapToGrid w:val="0"/>
                    <w:rPr>
                      <w:rFonts w:hint="default" w:eastAsia="宋体"/>
                      <w:b w:val="0"/>
                      <w:bCs w:val="0"/>
                      <w:color w:val="auto"/>
                      <w:sz w:val="18"/>
                      <w:szCs w:val="18"/>
                      <w:lang w:val="en-US" w:eastAsia="zh-CN"/>
                    </w:rPr>
                  </w:pPr>
                  <w:r>
                    <w:rPr>
                      <w:rFonts w:hint="eastAsia" w:eastAsia="宋体"/>
                      <w:b w:val="0"/>
                      <w:bCs w:val="0"/>
                      <w:color w:val="auto"/>
                      <w:sz w:val="18"/>
                      <w:szCs w:val="18"/>
                      <w:lang w:val="en-US" w:eastAsia="zh-CN"/>
                    </w:rPr>
                    <w:t>2#</w:t>
                  </w:r>
                </w:p>
              </w:tc>
              <w:tc>
                <w:tcPr>
                  <w:tcW w:w="300" w:type="pct"/>
                  <w:vAlign w:val="center"/>
                </w:tcPr>
                <w:p w14:paraId="713C8F33">
                  <w:pPr>
                    <w:pStyle w:val="656"/>
                    <w:snapToGrid w:val="0"/>
                    <w:rPr>
                      <w:rFonts w:hint="default" w:eastAsia="宋体"/>
                      <w:b w:val="0"/>
                      <w:bCs w:val="0"/>
                      <w:color w:val="auto"/>
                      <w:sz w:val="18"/>
                      <w:szCs w:val="18"/>
                      <w:lang w:val="en-US" w:eastAsia="zh-CN"/>
                    </w:rPr>
                  </w:pPr>
                  <w:r>
                    <w:rPr>
                      <w:rFonts w:hint="eastAsia" w:eastAsia="宋体"/>
                      <w:b w:val="0"/>
                      <w:bCs w:val="0"/>
                      <w:color w:val="auto"/>
                      <w:sz w:val="18"/>
                      <w:szCs w:val="18"/>
                      <w:lang w:val="en-US" w:eastAsia="zh-CN"/>
                    </w:rPr>
                    <w:t>8000</w:t>
                  </w:r>
                </w:p>
              </w:tc>
              <w:tc>
                <w:tcPr>
                  <w:tcW w:w="241" w:type="pct"/>
                  <w:vAlign w:val="center"/>
                </w:tcPr>
                <w:p w14:paraId="4A071B70">
                  <w:pPr>
                    <w:pStyle w:val="656"/>
                    <w:snapToGrid w:val="0"/>
                    <w:rPr>
                      <w:rFonts w:hint="eastAsia" w:eastAsia="宋体"/>
                      <w:b w:val="0"/>
                      <w:bCs w:val="0"/>
                      <w:color w:val="auto"/>
                      <w:sz w:val="18"/>
                      <w:szCs w:val="18"/>
                      <w:lang w:val="en-US" w:eastAsia="zh-CN"/>
                    </w:rPr>
                  </w:pPr>
                  <w:r>
                    <w:rPr>
                      <w:rFonts w:hint="eastAsia" w:eastAsia="宋体"/>
                      <w:b w:val="0"/>
                      <w:bCs w:val="0"/>
                      <w:color w:val="auto"/>
                      <w:sz w:val="18"/>
                      <w:szCs w:val="18"/>
                      <w:lang w:val="en-US" w:eastAsia="zh-CN"/>
                    </w:rPr>
                    <w:t>焊接</w:t>
                  </w:r>
                </w:p>
              </w:tc>
              <w:tc>
                <w:tcPr>
                  <w:tcW w:w="511" w:type="pct"/>
                  <w:vAlign w:val="center"/>
                </w:tcPr>
                <w:p w14:paraId="3C443414">
                  <w:pPr>
                    <w:pStyle w:val="656"/>
                    <w:snapToGrid w:val="0"/>
                    <w:rPr>
                      <w:rFonts w:hint="eastAsia" w:eastAsia="宋体"/>
                      <w:b w:val="0"/>
                      <w:bCs w:val="0"/>
                      <w:color w:val="auto"/>
                      <w:sz w:val="18"/>
                      <w:szCs w:val="18"/>
                      <w:lang w:val="en-US" w:eastAsia="zh-CN"/>
                    </w:rPr>
                  </w:pPr>
                  <w:r>
                    <w:rPr>
                      <w:rFonts w:hint="eastAsia" w:eastAsia="宋体"/>
                      <w:b w:val="0"/>
                      <w:bCs w:val="0"/>
                      <w:color w:val="auto"/>
                      <w:sz w:val="18"/>
                      <w:szCs w:val="18"/>
                      <w:lang w:val="en-US" w:eastAsia="zh-CN"/>
                    </w:rPr>
                    <w:t>颗粒物</w:t>
                  </w:r>
                </w:p>
              </w:tc>
              <w:tc>
                <w:tcPr>
                  <w:tcW w:w="383" w:type="pct"/>
                  <w:vAlign w:val="center"/>
                </w:tcPr>
                <w:p w14:paraId="6BAD5485">
                  <w:pPr>
                    <w:pStyle w:val="656"/>
                    <w:snapToGrid w:val="0"/>
                    <w:rPr>
                      <w:rFonts w:hint="default" w:eastAsia="宋体"/>
                      <w:b w:val="0"/>
                      <w:bCs w:val="0"/>
                      <w:color w:val="auto"/>
                      <w:sz w:val="18"/>
                      <w:szCs w:val="18"/>
                      <w:lang w:val="en-US" w:eastAsia="zh-CN"/>
                    </w:rPr>
                  </w:pPr>
                  <w:r>
                    <w:rPr>
                      <w:rFonts w:hint="eastAsia" w:eastAsia="宋体"/>
                      <w:b w:val="0"/>
                      <w:bCs w:val="0"/>
                      <w:color w:val="auto"/>
                      <w:sz w:val="18"/>
                      <w:szCs w:val="18"/>
                      <w:lang w:val="en-US" w:eastAsia="zh-CN"/>
                    </w:rPr>
                    <w:t>1.75</w:t>
                  </w:r>
                </w:p>
              </w:tc>
              <w:tc>
                <w:tcPr>
                  <w:tcW w:w="383" w:type="pct"/>
                  <w:vAlign w:val="center"/>
                </w:tcPr>
                <w:p w14:paraId="3EFC3F29">
                  <w:pPr>
                    <w:pStyle w:val="656"/>
                    <w:snapToGrid w:val="0"/>
                    <w:rPr>
                      <w:rFonts w:hint="default" w:eastAsia="宋体"/>
                      <w:b w:val="0"/>
                      <w:bCs w:val="0"/>
                      <w:color w:val="auto"/>
                      <w:sz w:val="18"/>
                      <w:szCs w:val="18"/>
                      <w:lang w:val="en-US" w:eastAsia="zh-CN"/>
                    </w:rPr>
                  </w:pPr>
                  <w:r>
                    <w:rPr>
                      <w:rFonts w:hint="eastAsia" w:eastAsia="宋体"/>
                      <w:b w:val="0"/>
                      <w:bCs w:val="0"/>
                      <w:color w:val="auto"/>
                      <w:sz w:val="18"/>
                      <w:szCs w:val="18"/>
                      <w:lang w:val="en-US" w:eastAsia="zh-CN"/>
                    </w:rPr>
                    <w:t>0.014</w:t>
                  </w:r>
                </w:p>
              </w:tc>
              <w:tc>
                <w:tcPr>
                  <w:tcW w:w="383" w:type="pct"/>
                  <w:vAlign w:val="center"/>
                </w:tcPr>
                <w:p w14:paraId="38677886">
                  <w:pPr>
                    <w:pStyle w:val="656"/>
                    <w:snapToGrid w:val="0"/>
                    <w:rPr>
                      <w:rFonts w:hint="default" w:eastAsia="宋体"/>
                      <w:b w:val="0"/>
                      <w:bCs w:val="0"/>
                      <w:color w:val="auto"/>
                      <w:sz w:val="18"/>
                      <w:szCs w:val="18"/>
                      <w:lang w:val="en-US" w:eastAsia="zh-CN"/>
                    </w:rPr>
                  </w:pPr>
                  <w:r>
                    <w:rPr>
                      <w:rFonts w:hint="eastAsia" w:eastAsia="宋体"/>
                      <w:b w:val="0"/>
                      <w:bCs w:val="0"/>
                      <w:color w:val="auto"/>
                      <w:sz w:val="18"/>
                      <w:szCs w:val="18"/>
                      <w:lang w:val="en-US" w:eastAsia="zh-CN"/>
                    </w:rPr>
                    <w:t>0.072</w:t>
                  </w:r>
                </w:p>
              </w:tc>
              <w:tc>
                <w:tcPr>
                  <w:tcW w:w="339" w:type="pct"/>
                  <w:vAlign w:val="center"/>
                </w:tcPr>
                <w:p w14:paraId="18246544">
                  <w:pPr>
                    <w:pStyle w:val="656"/>
                    <w:snapToGrid w:val="0"/>
                    <w:rPr>
                      <w:rFonts w:hint="eastAsia" w:eastAsia="宋体"/>
                      <w:b w:val="0"/>
                      <w:bCs w:val="0"/>
                      <w:color w:val="auto"/>
                      <w:sz w:val="18"/>
                      <w:szCs w:val="18"/>
                      <w:lang w:val="en-US" w:eastAsia="zh-CN"/>
                    </w:rPr>
                  </w:pPr>
                  <w:r>
                    <w:rPr>
                      <w:rFonts w:hint="eastAsia" w:eastAsia="宋体"/>
                      <w:b w:val="0"/>
                      <w:bCs w:val="0"/>
                      <w:color w:val="auto"/>
                      <w:sz w:val="18"/>
                      <w:szCs w:val="18"/>
                      <w:lang w:val="en-US" w:eastAsia="zh-CN"/>
                    </w:rPr>
                    <w:t>袋式除尘器</w:t>
                  </w:r>
                </w:p>
              </w:tc>
              <w:tc>
                <w:tcPr>
                  <w:tcW w:w="233" w:type="pct"/>
                  <w:vAlign w:val="center"/>
                </w:tcPr>
                <w:p w14:paraId="7EA10AC8">
                  <w:pPr>
                    <w:pStyle w:val="656"/>
                    <w:snapToGrid w:val="0"/>
                    <w:rPr>
                      <w:rFonts w:hint="default" w:eastAsia="宋体"/>
                      <w:b w:val="0"/>
                      <w:bCs w:val="0"/>
                      <w:color w:val="auto"/>
                      <w:sz w:val="18"/>
                      <w:szCs w:val="18"/>
                      <w:lang w:val="en-US" w:eastAsia="zh-CN"/>
                    </w:rPr>
                  </w:pPr>
                  <w:r>
                    <w:rPr>
                      <w:rFonts w:hint="eastAsia" w:eastAsia="宋体"/>
                      <w:b w:val="0"/>
                      <w:bCs w:val="0"/>
                      <w:color w:val="auto"/>
                      <w:sz w:val="18"/>
                      <w:szCs w:val="18"/>
                      <w:lang w:val="en-US" w:eastAsia="zh-CN"/>
                    </w:rPr>
                    <w:t>90</w:t>
                  </w:r>
                </w:p>
              </w:tc>
              <w:tc>
                <w:tcPr>
                  <w:tcW w:w="254" w:type="pct"/>
                  <w:vAlign w:val="center"/>
                </w:tcPr>
                <w:p w14:paraId="37C277E7">
                  <w:pPr>
                    <w:pStyle w:val="656"/>
                    <w:snapToGrid w:val="0"/>
                    <w:rPr>
                      <w:rFonts w:hint="default" w:eastAsia="宋体"/>
                      <w:b w:val="0"/>
                      <w:bCs w:val="0"/>
                      <w:color w:val="auto"/>
                      <w:sz w:val="18"/>
                      <w:szCs w:val="18"/>
                      <w:lang w:val="en-US" w:eastAsia="zh-CN"/>
                    </w:rPr>
                  </w:pPr>
                  <w:r>
                    <w:rPr>
                      <w:rFonts w:hint="eastAsia" w:eastAsia="宋体"/>
                      <w:b w:val="0"/>
                      <w:bCs w:val="0"/>
                      <w:color w:val="auto"/>
                      <w:sz w:val="18"/>
                      <w:szCs w:val="18"/>
                      <w:lang w:val="en-US" w:eastAsia="zh-CN"/>
                    </w:rPr>
                    <w:t>90</w:t>
                  </w:r>
                </w:p>
              </w:tc>
              <w:tc>
                <w:tcPr>
                  <w:tcW w:w="452" w:type="pct"/>
                  <w:vAlign w:val="center"/>
                </w:tcPr>
                <w:p w14:paraId="575882EE">
                  <w:pPr>
                    <w:pStyle w:val="656"/>
                    <w:snapToGrid w:val="0"/>
                    <w:rPr>
                      <w:rFonts w:hint="default" w:eastAsia="宋体"/>
                      <w:b w:val="0"/>
                      <w:bCs w:val="0"/>
                      <w:color w:val="auto"/>
                      <w:sz w:val="18"/>
                      <w:szCs w:val="18"/>
                      <w:lang w:val="en-US" w:eastAsia="zh-CN"/>
                    </w:rPr>
                  </w:pPr>
                  <w:r>
                    <w:rPr>
                      <w:rFonts w:hint="eastAsia" w:eastAsia="宋体"/>
                      <w:b w:val="0"/>
                      <w:bCs w:val="0"/>
                      <w:color w:val="auto"/>
                      <w:sz w:val="18"/>
                      <w:szCs w:val="18"/>
                      <w:lang w:val="en-US" w:eastAsia="zh-CN"/>
                    </w:rPr>
                    <w:t>0.175</w:t>
                  </w:r>
                </w:p>
              </w:tc>
              <w:tc>
                <w:tcPr>
                  <w:tcW w:w="517" w:type="pct"/>
                  <w:vAlign w:val="center"/>
                </w:tcPr>
                <w:p w14:paraId="54BAAAA5">
                  <w:pPr>
                    <w:pStyle w:val="656"/>
                    <w:snapToGrid w:val="0"/>
                    <w:rPr>
                      <w:rFonts w:hint="default" w:eastAsia="宋体"/>
                      <w:b w:val="0"/>
                      <w:bCs w:val="0"/>
                      <w:color w:val="auto"/>
                      <w:sz w:val="18"/>
                      <w:szCs w:val="18"/>
                      <w:lang w:val="en-US" w:eastAsia="zh-CN"/>
                    </w:rPr>
                  </w:pPr>
                  <w:r>
                    <w:rPr>
                      <w:rFonts w:hint="eastAsia" w:eastAsia="宋体"/>
                      <w:b w:val="0"/>
                      <w:bCs w:val="0"/>
                      <w:color w:val="auto"/>
                      <w:sz w:val="18"/>
                      <w:szCs w:val="18"/>
                      <w:lang w:val="en-US" w:eastAsia="zh-CN"/>
                    </w:rPr>
                    <w:t>0.0014</w:t>
                  </w:r>
                </w:p>
              </w:tc>
              <w:tc>
                <w:tcPr>
                  <w:tcW w:w="412" w:type="pct"/>
                  <w:vAlign w:val="center"/>
                </w:tcPr>
                <w:p w14:paraId="503F036A">
                  <w:pPr>
                    <w:pStyle w:val="656"/>
                    <w:snapToGrid w:val="0"/>
                    <w:rPr>
                      <w:rFonts w:hint="default" w:eastAsia="宋体"/>
                      <w:b w:val="0"/>
                      <w:bCs w:val="0"/>
                      <w:color w:val="auto"/>
                      <w:sz w:val="18"/>
                      <w:szCs w:val="18"/>
                      <w:lang w:val="en-US" w:eastAsia="zh-CN"/>
                    </w:rPr>
                  </w:pPr>
                  <w:r>
                    <w:rPr>
                      <w:rFonts w:hint="eastAsia" w:eastAsia="宋体"/>
                      <w:b w:val="0"/>
                      <w:bCs w:val="0"/>
                      <w:color w:val="auto"/>
                      <w:sz w:val="18"/>
                      <w:szCs w:val="18"/>
                      <w:lang w:val="en-US" w:eastAsia="zh-CN"/>
                    </w:rPr>
                    <w:t>0.0072</w:t>
                  </w:r>
                </w:p>
              </w:tc>
              <w:tc>
                <w:tcPr>
                  <w:tcW w:w="316" w:type="pct"/>
                  <w:vAlign w:val="center"/>
                </w:tcPr>
                <w:p w14:paraId="1C751C67">
                  <w:pPr>
                    <w:pStyle w:val="656"/>
                    <w:snapToGrid w:val="0"/>
                    <w:rPr>
                      <w:rFonts w:hint="default" w:eastAsia="宋体"/>
                      <w:b w:val="0"/>
                      <w:bCs w:val="0"/>
                      <w:color w:val="auto"/>
                      <w:sz w:val="18"/>
                      <w:szCs w:val="18"/>
                      <w:lang w:val="en-US" w:eastAsia="zh-CN"/>
                    </w:rPr>
                  </w:pPr>
                  <w:r>
                    <w:rPr>
                      <w:rFonts w:hint="eastAsia" w:eastAsia="宋体"/>
                      <w:b w:val="0"/>
                      <w:bCs w:val="0"/>
                      <w:color w:val="auto"/>
                      <w:sz w:val="18"/>
                      <w:szCs w:val="18"/>
                      <w:lang w:val="en-US" w:eastAsia="zh-CN"/>
                    </w:rPr>
                    <w:t>5000h</w:t>
                  </w:r>
                </w:p>
              </w:tc>
            </w:tr>
            <w:tr w14:paraId="31CC613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71" w:type="pct"/>
                  <w:vMerge w:val="restart"/>
                  <w:vAlign w:val="center"/>
                </w:tcPr>
                <w:p w14:paraId="23D8CF03">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3#</w:t>
                  </w:r>
                </w:p>
              </w:tc>
              <w:tc>
                <w:tcPr>
                  <w:tcW w:w="300" w:type="pct"/>
                  <w:vMerge w:val="restart"/>
                  <w:vAlign w:val="center"/>
                </w:tcPr>
                <w:p w14:paraId="4D218F6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6500</w:t>
                  </w:r>
                </w:p>
              </w:tc>
              <w:tc>
                <w:tcPr>
                  <w:tcW w:w="241" w:type="pct"/>
                  <w:vMerge w:val="restart"/>
                  <w:vAlign w:val="center"/>
                </w:tcPr>
                <w:p w14:paraId="6109AA89">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焚烧</w:t>
                  </w:r>
                </w:p>
              </w:tc>
              <w:tc>
                <w:tcPr>
                  <w:tcW w:w="511" w:type="pct"/>
                  <w:vAlign w:val="center"/>
                </w:tcPr>
                <w:p w14:paraId="336EA0EF">
                  <w:pPr>
                    <w:pStyle w:val="656"/>
                    <w:snapToGrid w:val="0"/>
                    <w:rPr>
                      <w:rFonts w:hint="eastAsia" w:eastAsia="宋体"/>
                      <w:color w:val="auto"/>
                      <w:sz w:val="18"/>
                      <w:szCs w:val="18"/>
                      <w:lang w:eastAsia="zh-CN"/>
                    </w:rPr>
                  </w:pPr>
                  <w:r>
                    <w:rPr>
                      <w:rFonts w:hint="eastAsia" w:eastAsia="宋体"/>
                      <w:color w:val="auto"/>
                      <w:sz w:val="18"/>
                      <w:szCs w:val="18"/>
                      <w:lang w:val="en-US" w:eastAsia="zh-CN"/>
                    </w:rPr>
                    <w:t>颗粒物</w:t>
                  </w:r>
                </w:p>
              </w:tc>
              <w:tc>
                <w:tcPr>
                  <w:tcW w:w="383" w:type="pct"/>
                  <w:vAlign w:val="center"/>
                </w:tcPr>
                <w:p w14:paraId="4AE1107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1538</w:t>
                  </w:r>
                </w:p>
              </w:tc>
              <w:tc>
                <w:tcPr>
                  <w:tcW w:w="383" w:type="pct"/>
                  <w:vAlign w:val="center"/>
                </w:tcPr>
                <w:p w14:paraId="020298D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10</w:t>
                  </w:r>
                </w:p>
              </w:tc>
              <w:tc>
                <w:tcPr>
                  <w:tcW w:w="383" w:type="pct"/>
                  <w:vAlign w:val="center"/>
                </w:tcPr>
                <w:p w14:paraId="582DC246">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40.197</w:t>
                  </w:r>
                </w:p>
              </w:tc>
              <w:tc>
                <w:tcPr>
                  <w:tcW w:w="339" w:type="pct"/>
                  <w:vMerge w:val="restart"/>
                  <w:vAlign w:val="center"/>
                </w:tcPr>
                <w:p w14:paraId="1D672488">
                  <w:pPr>
                    <w:pStyle w:val="656"/>
                    <w:snapToGrid w:val="0"/>
                    <w:rPr>
                      <w:rFonts w:eastAsia="宋体"/>
                      <w:color w:val="auto"/>
                      <w:sz w:val="18"/>
                      <w:szCs w:val="18"/>
                    </w:rPr>
                  </w:pPr>
                  <w:r>
                    <w:rPr>
                      <w:rFonts w:hint="eastAsia" w:eastAsia="宋体"/>
                      <w:color w:val="auto"/>
                      <w:sz w:val="18"/>
                      <w:szCs w:val="18"/>
                    </w:rPr>
                    <w:t>SNCR脱硝+急冷除盐+干粉吸收+布袋除尘+臭氧氧化+碱喷淋吸收</w:t>
                  </w:r>
                </w:p>
              </w:tc>
              <w:tc>
                <w:tcPr>
                  <w:tcW w:w="233" w:type="pct"/>
                  <w:vMerge w:val="restart"/>
                  <w:vAlign w:val="center"/>
                </w:tcPr>
                <w:p w14:paraId="7FB51BE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100</w:t>
                  </w:r>
                </w:p>
              </w:tc>
              <w:tc>
                <w:tcPr>
                  <w:tcW w:w="254" w:type="pct"/>
                  <w:vAlign w:val="center"/>
                </w:tcPr>
                <w:p w14:paraId="70F2A366">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99.5</w:t>
                  </w:r>
                </w:p>
              </w:tc>
              <w:tc>
                <w:tcPr>
                  <w:tcW w:w="452" w:type="pct"/>
                  <w:vAlign w:val="center"/>
                </w:tcPr>
                <w:p w14:paraId="08EF2C0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7.7</w:t>
                  </w:r>
                </w:p>
              </w:tc>
              <w:tc>
                <w:tcPr>
                  <w:tcW w:w="517" w:type="pct"/>
                  <w:vAlign w:val="center"/>
                </w:tcPr>
                <w:p w14:paraId="68922EBA">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0.05</w:t>
                  </w:r>
                </w:p>
              </w:tc>
              <w:tc>
                <w:tcPr>
                  <w:tcW w:w="412" w:type="pct"/>
                  <w:vAlign w:val="center"/>
                </w:tcPr>
                <w:p w14:paraId="1151D653">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0.2</w:t>
                  </w:r>
                </w:p>
              </w:tc>
              <w:tc>
                <w:tcPr>
                  <w:tcW w:w="316" w:type="pct"/>
                  <w:vMerge w:val="restart"/>
                  <w:vAlign w:val="center"/>
                </w:tcPr>
                <w:p w14:paraId="727BB59A">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4000h</w:t>
                  </w:r>
                </w:p>
              </w:tc>
            </w:tr>
            <w:tr w14:paraId="52FA14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271" w:type="pct"/>
                  <w:vMerge w:val="continue"/>
                  <w:vAlign w:val="center"/>
                </w:tcPr>
                <w:p w14:paraId="1BC3676F">
                  <w:pPr>
                    <w:pStyle w:val="656"/>
                    <w:snapToGrid w:val="0"/>
                    <w:rPr>
                      <w:rFonts w:hint="eastAsia" w:eastAsia="宋体"/>
                      <w:color w:val="auto"/>
                      <w:sz w:val="18"/>
                      <w:szCs w:val="18"/>
                      <w:lang w:val="en-US" w:eastAsia="zh-CN"/>
                    </w:rPr>
                  </w:pPr>
                </w:p>
              </w:tc>
              <w:tc>
                <w:tcPr>
                  <w:tcW w:w="300" w:type="pct"/>
                  <w:vMerge w:val="continue"/>
                  <w:vAlign w:val="center"/>
                </w:tcPr>
                <w:p w14:paraId="217745B6">
                  <w:pPr>
                    <w:pStyle w:val="656"/>
                    <w:snapToGrid w:val="0"/>
                    <w:rPr>
                      <w:rFonts w:hint="eastAsia" w:eastAsia="宋体"/>
                      <w:color w:val="auto"/>
                      <w:sz w:val="18"/>
                      <w:szCs w:val="18"/>
                      <w:lang w:val="en-US" w:eastAsia="zh-CN"/>
                    </w:rPr>
                  </w:pPr>
                </w:p>
              </w:tc>
              <w:tc>
                <w:tcPr>
                  <w:tcW w:w="241" w:type="pct"/>
                  <w:vMerge w:val="continue"/>
                  <w:vAlign w:val="center"/>
                </w:tcPr>
                <w:p w14:paraId="6D79B4E9">
                  <w:pPr>
                    <w:pStyle w:val="656"/>
                    <w:snapToGrid w:val="0"/>
                    <w:rPr>
                      <w:rFonts w:hint="eastAsia" w:eastAsia="宋体"/>
                      <w:color w:val="auto"/>
                      <w:sz w:val="18"/>
                      <w:szCs w:val="18"/>
                      <w:lang w:val="en-US" w:eastAsia="zh-CN"/>
                    </w:rPr>
                  </w:pPr>
                </w:p>
              </w:tc>
              <w:tc>
                <w:tcPr>
                  <w:tcW w:w="511" w:type="pct"/>
                  <w:vAlign w:val="center"/>
                </w:tcPr>
                <w:p w14:paraId="3D864E02">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SO</w:t>
                  </w:r>
                  <w:r>
                    <w:rPr>
                      <w:rFonts w:hint="eastAsia" w:eastAsia="宋体"/>
                      <w:color w:val="auto"/>
                      <w:sz w:val="18"/>
                      <w:szCs w:val="18"/>
                      <w:vertAlign w:val="subscript"/>
                      <w:lang w:val="en-US" w:eastAsia="zh-CN"/>
                    </w:rPr>
                    <w:t>2</w:t>
                  </w:r>
                </w:p>
              </w:tc>
              <w:tc>
                <w:tcPr>
                  <w:tcW w:w="383" w:type="pct"/>
                  <w:vAlign w:val="center"/>
                </w:tcPr>
                <w:p w14:paraId="282AFD5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18.5</w:t>
                  </w:r>
                </w:p>
              </w:tc>
              <w:tc>
                <w:tcPr>
                  <w:tcW w:w="383" w:type="pct"/>
                  <w:vAlign w:val="center"/>
                </w:tcPr>
                <w:p w14:paraId="4CB34870">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0.12</w:t>
                  </w:r>
                </w:p>
              </w:tc>
              <w:tc>
                <w:tcPr>
                  <w:tcW w:w="383" w:type="pct"/>
                  <w:vAlign w:val="center"/>
                </w:tcPr>
                <w:p w14:paraId="14CF79B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0.48</w:t>
                  </w:r>
                </w:p>
              </w:tc>
              <w:tc>
                <w:tcPr>
                  <w:tcW w:w="339" w:type="pct"/>
                  <w:vMerge w:val="continue"/>
                  <w:vAlign w:val="center"/>
                </w:tcPr>
                <w:p w14:paraId="2236DD21">
                  <w:pPr>
                    <w:pStyle w:val="656"/>
                    <w:snapToGrid w:val="0"/>
                    <w:rPr>
                      <w:rFonts w:hint="eastAsia" w:eastAsia="宋体"/>
                      <w:color w:val="auto"/>
                      <w:sz w:val="18"/>
                      <w:szCs w:val="18"/>
                    </w:rPr>
                  </w:pPr>
                </w:p>
              </w:tc>
              <w:tc>
                <w:tcPr>
                  <w:tcW w:w="233" w:type="pct"/>
                  <w:vMerge w:val="continue"/>
                  <w:vAlign w:val="center"/>
                </w:tcPr>
                <w:p w14:paraId="2DC2B063">
                  <w:pPr>
                    <w:pStyle w:val="656"/>
                    <w:snapToGrid w:val="0"/>
                    <w:rPr>
                      <w:rFonts w:hint="eastAsia" w:eastAsia="宋体"/>
                      <w:color w:val="auto"/>
                      <w:sz w:val="18"/>
                      <w:szCs w:val="18"/>
                    </w:rPr>
                  </w:pPr>
                </w:p>
              </w:tc>
              <w:tc>
                <w:tcPr>
                  <w:tcW w:w="254" w:type="pct"/>
                  <w:vAlign w:val="center"/>
                </w:tcPr>
                <w:p w14:paraId="7D0C663D">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90</w:t>
                  </w:r>
                </w:p>
              </w:tc>
              <w:tc>
                <w:tcPr>
                  <w:tcW w:w="452" w:type="pct"/>
                  <w:vAlign w:val="center"/>
                </w:tcPr>
                <w:p w14:paraId="6AF840F5">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1.85</w:t>
                  </w:r>
                </w:p>
              </w:tc>
              <w:tc>
                <w:tcPr>
                  <w:tcW w:w="517" w:type="pct"/>
                  <w:vAlign w:val="center"/>
                </w:tcPr>
                <w:p w14:paraId="7EF376A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0.012</w:t>
                  </w:r>
                </w:p>
              </w:tc>
              <w:tc>
                <w:tcPr>
                  <w:tcW w:w="412" w:type="pct"/>
                  <w:vAlign w:val="center"/>
                </w:tcPr>
                <w:p w14:paraId="3F90904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0.048</w:t>
                  </w:r>
                </w:p>
              </w:tc>
              <w:tc>
                <w:tcPr>
                  <w:tcW w:w="316" w:type="pct"/>
                  <w:vMerge w:val="continue"/>
                  <w:vAlign w:val="center"/>
                </w:tcPr>
                <w:p w14:paraId="037E27A2">
                  <w:pPr>
                    <w:pStyle w:val="656"/>
                    <w:snapToGrid w:val="0"/>
                    <w:rPr>
                      <w:rFonts w:hint="eastAsia" w:eastAsia="宋体"/>
                      <w:color w:val="auto"/>
                      <w:sz w:val="18"/>
                      <w:szCs w:val="18"/>
                    </w:rPr>
                  </w:pPr>
                </w:p>
              </w:tc>
            </w:tr>
            <w:tr w14:paraId="203E4D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271" w:type="pct"/>
                  <w:vMerge w:val="continue"/>
                  <w:vAlign w:val="center"/>
                </w:tcPr>
                <w:p w14:paraId="22122A4E">
                  <w:pPr>
                    <w:pStyle w:val="656"/>
                    <w:snapToGrid w:val="0"/>
                    <w:rPr>
                      <w:rFonts w:hint="eastAsia" w:eastAsia="宋体"/>
                      <w:color w:val="auto"/>
                      <w:sz w:val="18"/>
                      <w:szCs w:val="18"/>
                      <w:lang w:val="en-US" w:eastAsia="zh-CN"/>
                    </w:rPr>
                  </w:pPr>
                </w:p>
              </w:tc>
              <w:tc>
                <w:tcPr>
                  <w:tcW w:w="300" w:type="pct"/>
                  <w:vMerge w:val="continue"/>
                  <w:vAlign w:val="center"/>
                </w:tcPr>
                <w:p w14:paraId="4553C2F8">
                  <w:pPr>
                    <w:pStyle w:val="656"/>
                    <w:snapToGrid w:val="0"/>
                    <w:rPr>
                      <w:rFonts w:hint="eastAsia" w:eastAsia="宋体"/>
                      <w:color w:val="auto"/>
                      <w:sz w:val="18"/>
                      <w:szCs w:val="18"/>
                      <w:lang w:val="en-US" w:eastAsia="zh-CN"/>
                    </w:rPr>
                  </w:pPr>
                </w:p>
              </w:tc>
              <w:tc>
                <w:tcPr>
                  <w:tcW w:w="241" w:type="pct"/>
                  <w:vMerge w:val="continue"/>
                  <w:vAlign w:val="center"/>
                </w:tcPr>
                <w:p w14:paraId="3C0DE4B9">
                  <w:pPr>
                    <w:pStyle w:val="656"/>
                    <w:snapToGrid w:val="0"/>
                    <w:rPr>
                      <w:rFonts w:hint="eastAsia" w:eastAsia="宋体"/>
                      <w:color w:val="auto"/>
                      <w:sz w:val="18"/>
                      <w:szCs w:val="18"/>
                      <w:lang w:val="en-US" w:eastAsia="zh-CN"/>
                    </w:rPr>
                  </w:pPr>
                </w:p>
              </w:tc>
              <w:tc>
                <w:tcPr>
                  <w:tcW w:w="511" w:type="pct"/>
                  <w:vAlign w:val="center"/>
                </w:tcPr>
                <w:p w14:paraId="42090380">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NOx</w:t>
                  </w:r>
                </w:p>
              </w:tc>
              <w:tc>
                <w:tcPr>
                  <w:tcW w:w="383" w:type="pct"/>
                  <w:vAlign w:val="center"/>
                </w:tcPr>
                <w:p w14:paraId="640AFD0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200</w:t>
                  </w:r>
                </w:p>
              </w:tc>
              <w:tc>
                <w:tcPr>
                  <w:tcW w:w="383" w:type="pct"/>
                  <w:vAlign w:val="center"/>
                </w:tcPr>
                <w:p w14:paraId="0546D242">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1.3</w:t>
                  </w:r>
                </w:p>
              </w:tc>
              <w:tc>
                <w:tcPr>
                  <w:tcW w:w="383" w:type="pct"/>
                  <w:vAlign w:val="center"/>
                </w:tcPr>
                <w:p w14:paraId="15381EC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5.11</w:t>
                  </w:r>
                </w:p>
              </w:tc>
              <w:tc>
                <w:tcPr>
                  <w:tcW w:w="339" w:type="pct"/>
                  <w:vMerge w:val="continue"/>
                  <w:vAlign w:val="center"/>
                </w:tcPr>
                <w:p w14:paraId="52D24A39">
                  <w:pPr>
                    <w:pStyle w:val="656"/>
                    <w:snapToGrid w:val="0"/>
                    <w:rPr>
                      <w:rFonts w:hint="eastAsia" w:eastAsia="宋体"/>
                      <w:color w:val="auto"/>
                      <w:sz w:val="18"/>
                      <w:szCs w:val="18"/>
                    </w:rPr>
                  </w:pPr>
                </w:p>
              </w:tc>
              <w:tc>
                <w:tcPr>
                  <w:tcW w:w="233" w:type="pct"/>
                  <w:vMerge w:val="continue"/>
                  <w:vAlign w:val="center"/>
                </w:tcPr>
                <w:p w14:paraId="559FE1AB">
                  <w:pPr>
                    <w:pStyle w:val="656"/>
                    <w:snapToGrid w:val="0"/>
                    <w:rPr>
                      <w:rFonts w:hint="eastAsia" w:eastAsia="宋体"/>
                      <w:color w:val="auto"/>
                      <w:sz w:val="18"/>
                      <w:szCs w:val="18"/>
                    </w:rPr>
                  </w:pPr>
                </w:p>
              </w:tc>
              <w:tc>
                <w:tcPr>
                  <w:tcW w:w="254" w:type="pct"/>
                  <w:vAlign w:val="center"/>
                </w:tcPr>
                <w:p w14:paraId="3DFD7D76">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90</w:t>
                  </w:r>
                </w:p>
              </w:tc>
              <w:tc>
                <w:tcPr>
                  <w:tcW w:w="452" w:type="pct"/>
                  <w:vAlign w:val="center"/>
                </w:tcPr>
                <w:p w14:paraId="2455B8F6">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20</w:t>
                  </w:r>
                </w:p>
              </w:tc>
              <w:tc>
                <w:tcPr>
                  <w:tcW w:w="517" w:type="pct"/>
                  <w:vAlign w:val="center"/>
                </w:tcPr>
                <w:p w14:paraId="766659E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0.13</w:t>
                  </w:r>
                </w:p>
              </w:tc>
              <w:tc>
                <w:tcPr>
                  <w:tcW w:w="412" w:type="pct"/>
                  <w:vAlign w:val="center"/>
                </w:tcPr>
                <w:p w14:paraId="1C4725D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0.511</w:t>
                  </w:r>
                </w:p>
              </w:tc>
              <w:tc>
                <w:tcPr>
                  <w:tcW w:w="316" w:type="pct"/>
                  <w:vMerge w:val="continue"/>
                  <w:vAlign w:val="center"/>
                </w:tcPr>
                <w:p w14:paraId="4034646B">
                  <w:pPr>
                    <w:pStyle w:val="656"/>
                    <w:snapToGrid w:val="0"/>
                    <w:rPr>
                      <w:rFonts w:hint="eastAsia" w:eastAsia="宋体"/>
                      <w:color w:val="auto"/>
                      <w:sz w:val="18"/>
                      <w:szCs w:val="18"/>
                    </w:rPr>
                  </w:pPr>
                </w:p>
              </w:tc>
            </w:tr>
            <w:tr w14:paraId="17D5FE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271" w:type="pct"/>
                  <w:vMerge w:val="continue"/>
                  <w:vAlign w:val="center"/>
                </w:tcPr>
                <w:p w14:paraId="34B64B30">
                  <w:pPr>
                    <w:pStyle w:val="656"/>
                    <w:snapToGrid w:val="0"/>
                    <w:rPr>
                      <w:rFonts w:hint="eastAsia" w:eastAsia="宋体"/>
                      <w:color w:val="auto"/>
                      <w:sz w:val="18"/>
                      <w:szCs w:val="18"/>
                      <w:lang w:val="en-US" w:eastAsia="zh-CN"/>
                    </w:rPr>
                  </w:pPr>
                </w:p>
              </w:tc>
              <w:tc>
                <w:tcPr>
                  <w:tcW w:w="300" w:type="pct"/>
                  <w:vMerge w:val="continue"/>
                  <w:vAlign w:val="center"/>
                </w:tcPr>
                <w:p w14:paraId="79D259B6">
                  <w:pPr>
                    <w:pStyle w:val="656"/>
                    <w:snapToGrid w:val="0"/>
                    <w:rPr>
                      <w:rFonts w:hint="eastAsia" w:eastAsia="宋体"/>
                      <w:color w:val="auto"/>
                      <w:sz w:val="18"/>
                      <w:szCs w:val="18"/>
                      <w:lang w:val="en-US" w:eastAsia="zh-CN"/>
                    </w:rPr>
                  </w:pPr>
                </w:p>
              </w:tc>
              <w:tc>
                <w:tcPr>
                  <w:tcW w:w="241" w:type="pct"/>
                  <w:vMerge w:val="continue"/>
                  <w:vAlign w:val="center"/>
                </w:tcPr>
                <w:p w14:paraId="2ABB9735">
                  <w:pPr>
                    <w:pStyle w:val="656"/>
                    <w:snapToGrid w:val="0"/>
                    <w:rPr>
                      <w:rFonts w:hint="eastAsia" w:eastAsia="宋体"/>
                      <w:color w:val="auto"/>
                      <w:sz w:val="18"/>
                      <w:szCs w:val="18"/>
                      <w:lang w:val="en-US" w:eastAsia="zh-CN"/>
                    </w:rPr>
                  </w:pPr>
                </w:p>
              </w:tc>
              <w:tc>
                <w:tcPr>
                  <w:tcW w:w="511" w:type="pct"/>
                  <w:vAlign w:val="center"/>
                </w:tcPr>
                <w:p w14:paraId="12AAF9B2">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氨</w:t>
                  </w:r>
                </w:p>
              </w:tc>
              <w:tc>
                <w:tcPr>
                  <w:tcW w:w="383" w:type="pct"/>
                  <w:vAlign w:val="center"/>
                </w:tcPr>
                <w:p w14:paraId="2387C16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3.7</w:t>
                  </w:r>
                </w:p>
              </w:tc>
              <w:tc>
                <w:tcPr>
                  <w:tcW w:w="383" w:type="pct"/>
                  <w:vAlign w:val="center"/>
                </w:tcPr>
                <w:p w14:paraId="2F87A122">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0.024</w:t>
                  </w:r>
                </w:p>
              </w:tc>
              <w:tc>
                <w:tcPr>
                  <w:tcW w:w="383" w:type="pct"/>
                  <w:vAlign w:val="center"/>
                </w:tcPr>
                <w:p w14:paraId="2977BCD0">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0.096</w:t>
                  </w:r>
                </w:p>
              </w:tc>
              <w:tc>
                <w:tcPr>
                  <w:tcW w:w="339" w:type="pct"/>
                  <w:vMerge w:val="continue"/>
                  <w:vAlign w:val="center"/>
                </w:tcPr>
                <w:p w14:paraId="4F0DCC92">
                  <w:pPr>
                    <w:pStyle w:val="656"/>
                    <w:snapToGrid w:val="0"/>
                    <w:rPr>
                      <w:rFonts w:hint="eastAsia" w:eastAsia="宋体"/>
                      <w:color w:val="auto"/>
                      <w:sz w:val="18"/>
                      <w:szCs w:val="18"/>
                    </w:rPr>
                  </w:pPr>
                </w:p>
              </w:tc>
              <w:tc>
                <w:tcPr>
                  <w:tcW w:w="233" w:type="pct"/>
                  <w:vMerge w:val="continue"/>
                  <w:vAlign w:val="center"/>
                </w:tcPr>
                <w:p w14:paraId="5812E691">
                  <w:pPr>
                    <w:pStyle w:val="656"/>
                    <w:snapToGrid w:val="0"/>
                    <w:rPr>
                      <w:rFonts w:hint="eastAsia" w:eastAsia="宋体"/>
                      <w:color w:val="auto"/>
                      <w:sz w:val="18"/>
                      <w:szCs w:val="18"/>
                    </w:rPr>
                  </w:pPr>
                </w:p>
              </w:tc>
              <w:tc>
                <w:tcPr>
                  <w:tcW w:w="254" w:type="pct"/>
                  <w:vAlign w:val="center"/>
                </w:tcPr>
                <w:p w14:paraId="00CFFB4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80</w:t>
                  </w:r>
                </w:p>
              </w:tc>
              <w:tc>
                <w:tcPr>
                  <w:tcW w:w="452" w:type="pct"/>
                  <w:vAlign w:val="center"/>
                </w:tcPr>
                <w:p w14:paraId="71FDAB7A">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0.74</w:t>
                  </w:r>
                </w:p>
              </w:tc>
              <w:tc>
                <w:tcPr>
                  <w:tcW w:w="517" w:type="pct"/>
                  <w:vAlign w:val="center"/>
                </w:tcPr>
                <w:p w14:paraId="048C38BF">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0.0048</w:t>
                  </w:r>
                </w:p>
              </w:tc>
              <w:tc>
                <w:tcPr>
                  <w:tcW w:w="412" w:type="pct"/>
                  <w:vAlign w:val="center"/>
                </w:tcPr>
                <w:p w14:paraId="529F38C5">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0.0192</w:t>
                  </w:r>
                </w:p>
              </w:tc>
              <w:tc>
                <w:tcPr>
                  <w:tcW w:w="316" w:type="pct"/>
                  <w:vMerge w:val="continue"/>
                  <w:vAlign w:val="center"/>
                </w:tcPr>
                <w:p w14:paraId="745E1B0C">
                  <w:pPr>
                    <w:pStyle w:val="656"/>
                    <w:snapToGrid w:val="0"/>
                    <w:rPr>
                      <w:rFonts w:hint="eastAsia" w:eastAsia="宋体"/>
                      <w:color w:val="auto"/>
                      <w:sz w:val="18"/>
                      <w:szCs w:val="18"/>
                    </w:rPr>
                  </w:pPr>
                </w:p>
              </w:tc>
            </w:tr>
            <w:tr w14:paraId="162C31C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271" w:type="pct"/>
                  <w:vMerge w:val="continue"/>
                  <w:vAlign w:val="center"/>
                </w:tcPr>
                <w:p w14:paraId="7D36612F">
                  <w:pPr>
                    <w:pStyle w:val="656"/>
                    <w:snapToGrid w:val="0"/>
                    <w:rPr>
                      <w:rFonts w:hint="eastAsia" w:eastAsia="宋体"/>
                      <w:color w:val="auto"/>
                      <w:sz w:val="18"/>
                      <w:szCs w:val="18"/>
                      <w:lang w:val="en-US" w:eastAsia="zh-CN"/>
                    </w:rPr>
                  </w:pPr>
                </w:p>
              </w:tc>
              <w:tc>
                <w:tcPr>
                  <w:tcW w:w="300" w:type="pct"/>
                  <w:vMerge w:val="continue"/>
                  <w:vAlign w:val="center"/>
                </w:tcPr>
                <w:p w14:paraId="11BC4807">
                  <w:pPr>
                    <w:pStyle w:val="656"/>
                    <w:snapToGrid w:val="0"/>
                    <w:rPr>
                      <w:rFonts w:hint="eastAsia" w:eastAsia="宋体"/>
                      <w:color w:val="auto"/>
                      <w:sz w:val="18"/>
                      <w:szCs w:val="18"/>
                      <w:lang w:val="en-US" w:eastAsia="zh-CN"/>
                    </w:rPr>
                  </w:pPr>
                </w:p>
              </w:tc>
              <w:tc>
                <w:tcPr>
                  <w:tcW w:w="241" w:type="pct"/>
                  <w:vMerge w:val="continue"/>
                  <w:vAlign w:val="center"/>
                </w:tcPr>
                <w:p w14:paraId="0F7002CF">
                  <w:pPr>
                    <w:pStyle w:val="656"/>
                    <w:snapToGrid w:val="0"/>
                    <w:rPr>
                      <w:rFonts w:hint="eastAsia" w:eastAsia="宋体"/>
                      <w:color w:val="auto"/>
                      <w:sz w:val="18"/>
                      <w:szCs w:val="18"/>
                      <w:lang w:val="en-US" w:eastAsia="zh-CN"/>
                    </w:rPr>
                  </w:pPr>
                </w:p>
              </w:tc>
              <w:tc>
                <w:tcPr>
                  <w:tcW w:w="511" w:type="pct"/>
                  <w:vAlign w:val="center"/>
                </w:tcPr>
                <w:p w14:paraId="0004F78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CO</w:t>
                  </w:r>
                </w:p>
              </w:tc>
              <w:tc>
                <w:tcPr>
                  <w:tcW w:w="383" w:type="pct"/>
                  <w:vAlign w:val="center"/>
                </w:tcPr>
                <w:p w14:paraId="0CD780A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18.5</w:t>
                  </w:r>
                </w:p>
              </w:tc>
              <w:tc>
                <w:tcPr>
                  <w:tcW w:w="383" w:type="pct"/>
                  <w:vAlign w:val="center"/>
                </w:tcPr>
                <w:p w14:paraId="69EC06D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0.12</w:t>
                  </w:r>
                </w:p>
              </w:tc>
              <w:tc>
                <w:tcPr>
                  <w:tcW w:w="383" w:type="pct"/>
                  <w:vAlign w:val="center"/>
                </w:tcPr>
                <w:p w14:paraId="0E49354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0.48</w:t>
                  </w:r>
                </w:p>
              </w:tc>
              <w:tc>
                <w:tcPr>
                  <w:tcW w:w="339" w:type="pct"/>
                  <w:vMerge w:val="continue"/>
                  <w:vAlign w:val="center"/>
                </w:tcPr>
                <w:p w14:paraId="399AAC3E">
                  <w:pPr>
                    <w:pStyle w:val="656"/>
                    <w:snapToGrid w:val="0"/>
                    <w:rPr>
                      <w:rFonts w:hint="eastAsia" w:eastAsia="宋体"/>
                      <w:color w:val="auto"/>
                      <w:sz w:val="18"/>
                      <w:szCs w:val="18"/>
                    </w:rPr>
                  </w:pPr>
                </w:p>
              </w:tc>
              <w:tc>
                <w:tcPr>
                  <w:tcW w:w="233" w:type="pct"/>
                  <w:vMerge w:val="continue"/>
                  <w:vAlign w:val="center"/>
                </w:tcPr>
                <w:p w14:paraId="6E995DE0">
                  <w:pPr>
                    <w:pStyle w:val="656"/>
                    <w:snapToGrid w:val="0"/>
                    <w:rPr>
                      <w:rFonts w:hint="eastAsia" w:eastAsia="宋体"/>
                      <w:color w:val="auto"/>
                      <w:sz w:val="18"/>
                      <w:szCs w:val="18"/>
                    </w:rPr>
                  </w:pPr>
                </w:p>
              </w:tc>
              <w:tc>
                <w:tcPr>
                  <w:tcW w:w="254" w:type="pct"/>
                  <w:vAlign w:val="center"/>
                </w:tcPr>
                <w:p w14:paraId="65BEE6B3">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60</w:t>
                  </w:r>
                </w:p>
              </w:tc>
              <w:tc>
                <w:tcPr>
                  <w:tcW w:w="452" w:type="pct"/>
                  <w:vAlign w:val="center"/>
                </w:tcPr>
                <w:p w14:paraId="0E5C0D8F">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7.4</w:t>
                  </w:r>
                </w:p>
              </w:tc>
              <w:tc>
                <w:tcPr>
                  <w:tcW w:w="517" w:type="pct"/>
                  <w:vAlign w:val="center"/>
                </w:tcPr>
                <w:p w14:paraId="0FEA7A0F">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0.048</w:t>
                  </w:r>
                </w:p>
              </w:tc>
              <w:tc>
                <w:tcPr>
                  <w:tcW w:w="412" w:type="pct"/>
                  <w:vAlign w:val="center"/>
                </w:tcPr>
                <w:p w14:paraId="020CE04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0.192</w:t>
                  </w:r>
                </w:p>
              </w:tc>
              <w:tc>
                <w:tcPr>
                  <w:tcW w:w="316" w:type="pct"/>
                  <w:vMerge w:val="continue"/>
                  <w:vAlign w:val="center"/>
                </w:tcPr>
                <w:p w14:paraId="04753BE9">
                  <w:pPr>
                    <w:pStyle w:val="656"/>
                    <w:snapToGrid w:val="0"/>
                    <w:rPr>
                      <w:rFonts w:hint="eastAsia" w:eastAsia="宋体"/>
                      <w:color w:val="auto"/>
                      <w:sz w:val="18"/>
                      <w:szCs w:val="18"/>
                    </w:rPr>
                  </w:pPr>
                </w:p>
              </w:tc>
            </w:tr>
            <w:tr w14:paraId="66964B0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271" w:type="pct"/>
                  <w:vMerge w:val="continue"/>
                  <w:vAlign w:val="center"/>
                </w:tcPr>
                <w:p w14:paraId="5B7C8F91">
                  <w:pPr>
                    <w:pStyle w:val="656"/>
                    <w:snapToGrid w:val="0"/>
                    <w:rPr>
                      <w:rFonts w:hint="eastAsia" w:eastAsia="宋体"/>
                      <w:color w:val="auto"/>
                      <w:sz w:val="18"/>
                      <w:szCs w:val="18"/>
                      <w:lang w:val="en-US" w:eastAsia="zh-CN"/>
                    </w:rPr>
                  </w:pPr>
                </w:p>
              </w:tc>
              <w:tc>
                <w:tcPr>
                  <w:tcW w:w="300" w:type="pct"/>
                  <w:vMerge w:val="continue"/>
                  <w:vAlign w:val="center"/>
                </w:tcPr>
                <w:p w14:paraId="66658548">
                  <w:pPr>
                    <w:pStyle w:val="656"/>
                    <w:snapToGrid w:val="0"/>
                    <w:rPr>
                      <w:rFonts w:hint="eastAsia" w:eastAsia="宋体"/>
                      <w:color w:val="auto"/>
                      <w:sz w:val="18"/>
                      <w:szCs w:val="18"/>
                      <w:lang w:val="en-US" w:eastAsia="zh-CN"/>
                    </w:rPr>
                  </w:pPr>
                </w:p>
              </w:tc>
              <w:tc>
                <w:tcPr>
                  <w:tcW w:w="241" w:type="pct"/>
                  <w:vMerge w:val="continue"/>
                  <w:vAlign w:val="center"/>
                </w:tcPr>
                <w:p w14:paraId="3DDB244C">
                  <w:pPr>
                    <w:pStyle w:val="656"/>
                    <w:snapToGrid w:val="0"/>
                    <w:rPr>
                      <w:rFonts w:hint="eastAsia" w:eastAsia="宋体"/>
                      <w:color w:val="auto"/>
                      <w:sz w:val="18"/>
                      <w:szCs w:val="18"/>
                      <w:lang w:val="en-US" w:eastAsia="zh-CN"/>
                    </w:rPr>
                  </w:pPr>
                </w:p>
              </w:tc>
              <w:tc>
                <w:tcPr>
                  <w:tcW w:w="511" w:type="pct"/>
                  <w:vAlign w:val="center"/>
                </w:tcPr>
                <w:p w14:paraId="621DB0D2">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HCl</w:t>
                  </w:r>
                </w:p>
              </w:tc>
              <w:tc>
                <w:tcPr>
                  <w:tcW w:w="383" w:type="pct"/>
                  <w:vAlign w:val="center"/>
                </w:tcPr>
                <w:p w14:paraId="5F786FDC">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36.9</w:t>
                  </w:r>
                </w:p>
              </w:tc>
              <w:tc>
                <w:tcPr>
                  <w:tcW w:w="383" w:type="pct"/>
                  <w:vAlign w:val="center"/>
                </w:tcPr>
                <w:p w14:paraId="56A21EB3">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0.24</w:t>
                  </w:r>
                </w:p>
              </w:tc>
              <w:tc>
                <w:tcPr>
                  <w:tcW w:w="383" w:type="pct"/>
                  <w:vAlign w:val="center"/>
                </w:tcPr>
                <w:p w14:paraId="41DF998C">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0.96</w:t>
                  </w:r>
                </w:p>
              </w:tc>
              <w:tc>
                <w:tcPr>
                  <w:tcW w:w="339" w:type="pct"/>
                  <w:vMerge w:val="continue"/>
                  <w:vAlign w:val="center"/>
                </w:tcPr>
                <w:p w14:paraId="404B6807">
                  <w:pPr>
                    <w:pStyle w:val="656"/>
                    <w:snapToGrid w:val="0"/>
                    <w:rPr>
                      <w:rFonts w:hint="eastAsia" w:eastAsia="宋体"/>
                      <w:color w:val="auto"/>
                      <w:sz w:val="18"/>
                      <w:szCs w:val="18"/>
                    </w:rPr>
                  </w:pPr>
                </w:p>
              </w:tc>
              <w:tc>
                <w:tcPr>
                  <w:tcW w:w="233" w:type="pct"/>
                  <w:vMerge w:val="continue"/>
                  <w:vAlign w:val="center"/>
                </w:tcPr>
                <w:p w14:paraId="11B527C2">
                  <w:pPr>
                    <w:pStyle w:val="656"/>
                    <w:snapToGrid w:val="0"/>
                    <w:rPr>
                      <w:rFonts w:hint="eastAsia" w:eastAsia="宋体"/>
                      <w:color w:val="auto"/>
                      <w:sz w:val="18"/>
                      <w:szCs w:val="18"/>
                    </w:rPr>
                  </w:pPr>
                </w:p>
              </w:tc>
              <w:tc>
                <w:tcPr>
                  <w:tcW w:w="254" w:type="pct"/>
                  <w:vAlign w:val="center"/>
                </w:tcPr>
                <w:p w14:paraId="4415825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90</w:t>
                  </w:r>
                </w:p>
              </w:tc>
              <w:tc>
                <w:tcPr>
                  <w:tcW w:w="452" w:type="pct"/>
                  <w:vAlign w:val="center"/>
                </w:tcPr>
                <w:p w14:paraId="2821DCF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3.69</w:t>
                  </w:r>
                </w:p>
              </w:tc>
              <w:tc>
                <w:tcPr>
                  <w:tcW w:w="517" w:type="pct"/>
                  <w:vAlign w:val="center"/>
                </w:tcPr>
                <w:p w14:paraId="2094E86A">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0.024</w:t>
                  </w:r>
                </w:p>
              </w:tc>
              <w:tc>
                <w:tcPr>
                  <w:tcW w:w="412" w:type="pct"/>
                  <w:vAlign w:val="center"/>
                </w:tcPr>
                <w:p w14:paraId="2327DFD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0.096</w:t>
                  </w:r>
                </w:p>
              </w:tc>
              <w:tc>
                <w:tcPr>
                  <w:tcW w:w="316" w:type="pct"/>
                  <w:vMerge w:val="continue"/>
                  <w:vAlign w:val="center"/>
                </w:tcPr>
                <w:p w14:paraId="4BD9A64A">
                  <w:pPr>
                    <w:pStyle w:val="656"/>
                    <w:snapToGrid w:val="0"/>
                    <w:rPr>
                      <w:rFonts w:hint="eastAsia" w:eastAsia="宋体"/>
                      <w:color w:val="auto"/>
                      <w:sz w:val="18"/>
                      <w:szCs w:val="18"/>
                    </w:rPr>
                  </w:pPr>
                </w:p>
              </w:tc>
            </w:tr>
            <w:tr w14:paraId="0691537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271" w:type="pct"/>
                  <w:vMerge w:val="continue"/>
                  <w:vAlign w:val="center"/>
                </w:tcPr>
                <w:p w14:paraId="5134EC45">
                  <w:pPr>
                    <w:pStyle w:val="656"/>
                    <w:snapToGrid w:val="0"/>
                    <w:rPr>
                      <w:rFonts w:hint="eastAsia" w:eastAsia="宋体"/>
                      <w:color w:val="auto"/>
                      <w:sz w:val="18"/>
                      <w:szCs w:val="18"/>
                      <w:lang w:val="en-US" w:eastAsia="zh-CN"/>
                    </w:rPr>
                  </w:pPr>
                </w:p>
              </w:tc>
              <w:tc>
                <w:tcPr>
                  <w:tcW w:w="300" w:type="pct"/>
                  <w:vMerge w:val="continue"/>
                  <w:vAlign w:val="center"/>
                </w:tcPr>
                <w:p w14:paraId="2A7B22EB">
                  <w:pPr>
                    <w:pStyle w:val="656"/>
                    <w:snapToGrid w:val="0"/>
                    <w:rPr>
                      <w:rFonts w:hint="eastAsia" w:eastAsia="宋体"/>
                      <w:color w:val="auto"/>
                      <w:sz w:val="18"/>
                      <w:szCs w:val="18"/>
                      <w:lang w:val="en-US" w:eastAsia="zh-CN"/>
                    </w:rPr>
                  </w:pPr>
                </w:p>
              </w:tc>
              <w:tc>
                <w:tcPr>
                  <w:tcW w:w="241" w:type="pct"/>
                  <w:vMerge w:val="continue"/>
                  <w:vAlign w:val="center"/>
                </w:tcPr>
                <w:p w14:paraId="4200001C">
                  <w:pPr>
                    <w:pStyle w:val="656"/>
                    <w:snapToGrid w:val="0"/>
                    <w:rPr>
                      <w:rFonts w:hint="eastAsia" w:eastAsia="宋体"/>
                      <w:color w:val="auto"/>
                      <w:sz w:val="18"/>
                      <w:szCs w:val="18"/>
                      <w:lang w:val="en-US" w:eastAsia="zh-CN"/>
                    </w:rPr>
                  </w:pPr>
                </w:p>
              </w:tc>
              <w:tc>
                <w:tcPr>
                  <w:tcW w:w="511" w:type="pct"/>
                  <w:vAlign w:val="center"/>
                </w:tcPr>
                <w:p w14:paraId="378EEBA2">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非甲烷总烃</w:t>
                  </w:r>
                </w:p>
              </w:tc>
              <w:tc>
                <w:tcPr>
                  <w:tcW w:w="383" w:type="pct"/>
                  <w:vAlign w:val="center"/>
                </w:tcPr>
                <w:p w14:paraId="2844B26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0.12</w:t>
                  </w:r>
                </w:p>
              </w:tc>
              <w:tc>
                <w:tcPr>
                  <w:tcW w:w="383" w:type="pct"/>
                  <w:vAlign w:val="center"/>
                </w:tcPr>
                <w:p w14:paraId="600EC75D">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0.0008</w:t>
                  </w:r>
                </w:p>
              </w:tc>
              <w:tc>
                <w:tcPr>
                  <w:tcW w:w="383" w:type="pct"/>
                  <w:vAlign w:val="center"/>
                </w:tcPr>
                <w:p w14:paraId="3E2AD63D">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0.0032</w:t>
                  </w:r>
                </w:p>
              </w:tc>
              <w:tc>
                <w:tcPr>
                  <w:tcW w:w="339" w:type="pct"/>
                  <w:vMerge w:val="continue"/>
                  <w:vAlign w:val="center"/>
                </w:tcPr>
                <w:p w14:paraId="3BFBDCE6">
                  <w:pPr>
                    <w:pStyle w:val="656"/>
                    <w:snapToGrid w:val="0"/>
                    <w:rPr>
                      <w:rFonts w:hint="eastAsia" w:eastAsia="宋体"/>
                      <w:color w:val="auto"/>
                      <w:sz w:val="18"/>
                      <w:szCs w:val="18"/>
                    </w:rPr>
                  </w:pPr>
                </w:p>
              </w:tc>
              <w:tc>
                <w:tcPr>
                  <w:tcW w:w="233" w:type="pct"/>
                  <w:vMerge w:val="continue"/>
                  <w:vAlign w:val="center"/>
                </w:tcPr>
                <w:p w14:paraId="62CD29A0">
                  <w:pPr>
                    <w:pStyle w:val="656"/>
                    <w:snapToGrid w:val="0"/>
                    <w:rPr>
                      <w:rFonts w:hint="eastAsia" w:eastAsia="宋体"/>
                      <w:color w:val="auto"/>
                      <w:sz w:val="18"/>
                      <w:szCs w:val="18"/>
                    </w:rPr>
                  </w:pPr>
                </w:p>
              </w:tc>
              <w:tc>
                <w:tcPr>
                  <w:tcW w:w="254" w:type="pct"/>
                  <w:vAlign w:val="center"/>
                </w:tcPr>
                <w:p w14:paraId="6EC3F925">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w:t>
                  </w:r>
                </w:p>
              </w:tc>
              <w:tc>
                <w:tcPr>
                  <w:tcW w:w="452" w:type="pct"/>
                  <w:shd w:val="clear" w:color="auto" w:fill="auto"/>
                  <w:vAlign w:val="center"/>
                </w:tcPr>
                <w:p w14:paraId="7DC1EB0A">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0.12</w:t>
                  </w:r>
                </w:p>
              </w:tc>
              <w:tc>
                <w:tcPr>
                  <w:tcW w:w="517" w:type="pct"/>
                  <w:shd w:val="clear" w:color="auto" w:fill="auto"/>
                  <w:vAlign w:val="center"/>
                </w:tcPr>
                <w:p w14:paraId="0A6F9F01">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0.0008</w:t>
                  </w:r>
                </w:p>
              </w:tc>
              <w:tc>
                <w:tcPr>
                  <w:tcW w:w="412" w:type="pct"/>
                  <w:shd w:val="clear" w:color="auto" w:fill="auto"/>
                  <w:vAlign w:val="center"/>
                </w:tcPr>
                <w:p w14:paraId="2BF78B38">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0.0032</w:t>
                  </w:r>
                </w:p>
              </w:tc>
              <w:tc>
                <w:tcPr>
                  <w:tcW w:w="316" w:type="pct"/>
                  <w:vMerge w:val="continue"/>
                  <w:vAlign w:val="center"/>
                </w:tcPr>
                <w:p w14:paraId="3BF209C6">
                  <w:pPr>
                    <w:pStyle w:val="656"/>
                    <w:snapToGrid w:val="0"/>
                    <w:rPr>
                      <w:rFonts w:hint="eastAsia" w:eastAsia="宋体"/>
                      <w:color w:val="auto"/>
                      <w:sz w:val="18"/>
                      <w:szCs w:val="18"/>
                    </w:rPr>
                  </w:pPr>
                </w:p>
              </w:tc>
            </w:tr>
            <w:tr w14:paraId="797F03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271" w:type="pct"/>
                  <w:vMerge w:val="continue"/>
                  <w:vAlign w:val="center"/>
                </w:tcPr>
                <w:p w14:paraId="7A6C3320">
                  <w:pPr>
                    <w:pStyle w:val="656"/>
                    <w:snapToGrid w:val="0"/>
                    <w:rPr>
                      <w:rFonts w:hint="eastAsia" w:eastAsia="宋体"/>
                      <w:color w:val="auto"/>
                      <w:sz w:val="18"/>
                      <w:szCs w:val="18"/>
                      <w:lang w:val="en-US" w:eastAsia="zh-CN"/>
                    </w:rPr>
                  </w:pPr>
                </w:p>
              </w:tc>
              <w:tc>
                <w:tcPr>
                  <w:tcW w:w="300" w:type="pct"/>
                  <w:vMerge w:val="continue"/>
                  <w:vAlign w:val="center"/>
                </w:tcPr>
                <w:p w14:paraId="52B781EF">
                  <w:pPr>
                    <w:pStyle w:val="656"/>
                    <w:snapToGrid w:val="0"/>
                    <w:rPr>
                      <w:rFonts w:hint="eastAsia" w:eastAsia="宋体"/>
                      <w:color w:val="auto"/>
                      <w:sz w:val="18"/>
                      <w:szCs w:val="18"/>
                      <w:lang w:val="en-US" w:eastAsia="zh-CN"/>
                    </w:rPr>
                  </w:pPr>
                </w:p>
              </w:tc>
              <w:tc>
                <w:tcPr>
                  <w:tcW w:w="241" w:type="pct"/>
                  <w:vMerge w:val="continue"/>
                  <w:vAlign w:val="center"/>
                </w:tcPr>
                <w:p w14:paraId="0D210D04">
                  <w:pPr>
                    <w:pStyle w:val="656"/>
                    <w:snapToGrid w:val="0"/>
                    <w:rPr>
                      <w:rFonts w:hint="eastAsia" w:eastAsia="宋体"/>
                      <w:color w:val="auto"/>
                      <w:sz w:val="18"/>
                      <w:szCs w:val="18"/>
                      <w:lang w:val="en-US" w:eastAsia="zh-CN"/>
                    </w:rPr>
                  </w:pPr>
                </w:p>
              </w:tc>
              <w:tc>
                <w:tcPr>
                  <w:tcW w:w="511" w:type="pct"/>
                  <w:vAlign w:val="center"/>
                </w:tcPr>
                <w:p w14:paraId="5CA698F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铜及其化合物（以Cu计）</w:t>
                  </w:r>
                </w:p>
              </w:tc>
              <w:tc>
                <w:tcPr>
                  <w:tcW w:w="383" w:type="pct"/>
                  <w:vAlign w:val="center"/>
                </w:tcPr>
                <w:p w14:paraId="5BB7DC3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w:t>
                  </w:r>
                </w:p>
              </w:tc>
              <w:tc>
                <w:tcPr>
                  <w:tcW w:w="383" w:type="pct"/>
                  <w:vAlign w:val="center"/>
                </w:tcPr>
                <w:p w14:paraId="230DEC6C">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0.00675</w:t>
                  </w:r>
                </w:p>
              </w:tc>
              <w:tc>
                <w:tcPr>
                  <w:tcW w:w="383" w:type="pct"/>
                  <w:vAlign w:val="center"/>
                </w:tcPr>
                <w:p w14:paraId="0C013AE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0.027</w:t>
                  </w:r>
                </w:p>
              </w:tc>
              <w:tc>
                <w:tcPr>
                  <w:tcW w:w="339" w:type="pct"/>
                  <w:vMerge w:val="continue"/>
                  <w:vAlign w:val="center"/>
                </w:tcPr>
                <w:p w14:paraId="4A7516A1">
                  <w:pPr>
                    <w:pStyle w:val="656"/>
                    <w:snapToGrid w:val="0"/>
                    <w:rPr>
                      <w:rFonts w:hint="eastAsia" w:eastAsia="宋体"/>
                      <w:color w:val="auto"/>
                      <w:sz w:val="18"/>
                      <w:szCs w:val="18"/>
                    </w:rPr>
                  </w:pPr>
                </w:p>
              </w:tc>
              <w:tc>
                <w:tcPr>
                  <w:tcW w:w="233" w:type="pct"/>
                  <w:vMerge w:val="continue"/>
                  <w:vAlign w:val="center"/>
                </w:tcPr>
                <w:p w14:paraId="255CCB0C">
                  <w:pPr>
                    <w:pStyle w:val="656"/>
                    <w:snapToGrid w:val="0"/>
                    <w:rPr>
                      <w:rFonts w:hint="eastAsia" w:eastAsia="宋体"/>
                      <w:color w:val="auto"/>
                      <w:sz w:val="18"/>
                      <w:szCs w:val="18"/>
                    </w:rPr>
                  </w:pPr>
                </w:p>
              </w:tc>
              <w:tc>
                <w:tcPr>
                  <w:tcW w:w="254" w:type="pct"/>
                  <w:vAlign w:val="center"/>
                </w:tcPr>
                <w:p w14:paraId="1F0F1925">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99</w:t>
                  </w:r>
                </w:p>
              </w:tc>
              <w:tc>
                <w:tcPr>
                  <w:tcW w:w="452" w:type="pct"/>
                  <w:vAlign w:val="center"/>
                </w:tcPr>
                <w:p w14:paraId="3CDC764A">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0.01</w:t>
                  </w:r>
                </w:p>
              </w:tc>
              <w:tc>
                <w:tcPr>
                  <w:tcW w:w="517" w:type="pct"/>
                  <w:vAlign w:val="center"/>
                </w:tcPr>
                <w:p w14:paraId="0C7BB6F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0.0000675</w:t>
                  </w:r>
                </w:p>
              </w:tc>
              <w:tc>
                <w:tcPr>
                  <w:tcW w:w="412" w:type="pct"/>
                  <w:vAlign w:val="center"/>
                </w:tcPr>
                <w:p w14:paraId="0B87E273">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0.00027</w:t>
                  </w:r>
                </w:p>
              </w:tc>
              <w:tc>
                <w:tcPr>
                  <w:tcW w:w="316" w:type="pct"/>
                  <w:vMerge w:val="continue"/>
                  <w:vAlign w:val="center"/>
                </w:tcPr>
                <w:p w14:paraId="3C8792A8">
                  <w:pPr>
                    <w:pStyle w:val="656"/>
                    <w:snapToGrid w:val="0"/>
                    <w:rPr>
                      <w:rFonts w:hint="eastAsia" w:eastAsia="宋体"/>
                      <w:color w:val="auto"/>
                      <w:sz w:val="18"/>
                      <w:szCs w:val="18"/>
                    </w:rPr>
                  </w:pPr>
                </w:p>
              </w:tc>
            </w:tr>
            <w:tr w14:paraId="0D4536F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271" w:type="pct"/>
                  <w:vMerge w:val="continue"/>
                  <w:vAlign w:val="center"/>
                </w:tcPr>
                <w:p w14:paraId="2699C004">
                  <w:pPr>
                    <w:pStyle w:val="656"/>
                    <w:snapToGrid w:val="0"/>
                    <w:rPr>
                      <w:rFonts w:hint="eastAsia" w:eastAsia="宋体"/>
                      <w:color w:val="auto"/>
                      <w:sz w:val="18"/>
                      <w:szCs w:val="18"/>
                      <w:lang w:val="en-US" w:eastAsia="zh-CN"/>
                    </w:rPr>
                  </w:pPr>
                </w:p>
              </w:tc>
              <w:tc>
                <w:tcPr>
                  <w:tcW w:w="300" w:type="pct"/>
                  <w:vMerge w:val="continue"/>
                  <w:vAlign w:val="center"/>
                </w:tcPr>
                <w:p w14:paraId="47B1860A">
                  <w:pPr>
                    <w:pStyle w:val="656"/>
                    <w:snapToGrid w:val="0"/>
                    <w:rPr>
                      <w:rFonts w:hint="eastAsia" w:eastAsia="宋体"/>
                      <w:color w:val="auto"/>
                      <w:sz w:val="18"/>
                      <w:szCs w:val="18"/>
                      <w:lang w:val="en-US" w:eastAsia="zh-CN"/>
                    </w:rPr>
                  </w:pPr>
                </w:p>
              </w:tc>
              <w:tc>
                <w:tcPr>
                  <w:tcW w:w="241" w:type="pct"/>
                  <w:vMerge w:val="continue"/>
                  <w:vAlign w:val="center"/>
                </w:tcPr>
                <w:p w14:paraId="7BBE34A6">
                  <w:pPr>
                    <w:pStyle w:val="656"/>
                    <w:snapToGrid w:val="0"/>
                    <w:rPr>
                      <w:rFonts w:hint="eastAsia" w:eastAsia="宋体"/>
                      <w:color w:val="auto"/>
                      <w:sz w:val="18"/>
                      <w:szCs w:val="18"/>
                      <w:lang w:val="en-US" w:eastAsia="zh-CN"/>
                    </w:rPr>
                  </w:pPr>
                </w:p>
              </w:tc>
              <w:tc>
                <w:tcPr>
                  <w:tcW w:w="511" w:type="pct"/>
                  <w:vAlign w:val="center"/>
                </w:tcPr>
                <w:p w14:paraId="597C8467">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二噁英类</w:t>
                  </w:r>
                </w:p>
              </w:tc>
              <w:tc>
                <w:tcPr>
                  <w:tcW w:w="383" w:type="pct"/>
                  <w:vAlign w:val="center"/>
                </w:tcPr>
                <w:p w14:paraId="7CD8646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2ngTEQ/m</w:t>
                  </w:r>
                  <w:r>
                    <w:rPr>
                      <w:rFonts w:hint="eastAsia" w:eastAsia="宋体"/>
                      <w:color w:val="auto"/>
                      <w:sz w:val="18"/>
                      <w:szCs w:val="18"/>
                      <w:vertAlign w:val="superscript"/>
                      <w:lang w:val="en-US" w:eastAsia="zh-CN"/>
                    </w:rPr>
                    <w:t>3</w:t>
                  </w:r>
                </w:p>
              </w:tc>
              <w:tc>
                <w:tcPr>
                  <w:tcW w:w="383" w:type="pct"/>
                  <w:vAlign w:val="center"/>
                </w:tcPr>
                <w:p w14:paraId="438F19E0">
                  <w:pPr>
                    <w:pStyle w:val="656"/>
                    <w:snapToGrid w:val="0"/>
                    <w:rPr>
                      <w:rFonts w:hint="default" w:eastAsia="仿宋_GB2312"/>
                      <w:color w:val="auto"/>
                      <w:sz w:val="18"/>
                      <w:szCs w:val="18"/>
                      <w:lang w:val="en-US" w:eastAsia="zh-CN"/>
                    </w:rPr>
                  </w:pPr>
                  <w:r>
                    <w:rPr>
                      <w:rFonts w:hint="eastAsia" w:eastAsia="宋体"/>
                      <w:color w:val="auto"/>
                      <w:sz w:val="18"/>
                      <w:szCs w:val="18"/>
                      <w:lang w:val="en-US" w:eastAsia="zh-CN"/>
                    </w:rPr>
                    <w:t>0.013ngTEQ/h</w:t>
                  </w:r>
                </w:p>
              </w:tc>
              <w:tc>
                <w:tcPr>
                  <w:tcW w:w="383" w:type="pct"/>
                  <w:vAlign w:val="center"/>
                </w:tcPr>
                <w:p w14:paraId="21A921CD">
                  <w:pPr>
                    <w:pStyle w:val="656"/>
                    <w:snapToGrid w:val="0"/>
                    <w:rPr>
                      <w:rFonts w:hint="default" w:eastAsia="仿宋_GB2312"/>
                      <w:color w:val="auto"/>
                      <w:sz w:val="18"/>
                      <w:szCs w:val="18"/>
                      <w:lang w:val="en-US" w:eastAsia="zh-CN"/>
                    </w:rPr>
                  </w:pPr>
                  <w:r>
                    <w:rPr>
                      <w:rFonts w:hint="eastAsia"/>
                      <w:color w:val="auto"/>
                      <w:sz w:val="18"/>
                      <w:szCs w:val="18"/>
                      <w:lang w:val="en-US" w:eastAsia="zh-CN"/>
                    </w:rPr>
                    <w:t>52</w:t>
                  </w:r>
                  <w:r>
                    <w:rPr>
                      <w:rFonts w:hint="eastAsia" w:eastAsia="宋体"/>
                      <w:color w:val="auto"/>
                      <w:sz w:val="18"/>
                      <w:szCs w:val="18"/>
                      <w:lang w:val="en-US" w:eastAsia="zh-CN"/>
                    </w:rPr>
                    <w:t>ngTEQ/a</w:t>
                  </w:r>
                </w:p>
              </w:tc>
              <w:tc>
                <w:tcPr>
                  <w:tcW w:w="339" w:type="pct"/>
                  <w:vMerge w:val="continue"/>
                  <w:vAlign w:val="center"/>
                </w:tcPr>
                <w:p w14:paraId="7AD8C0F8">
                  <w:pPr>
                    <w:pStyle w:val="656"/>
                    <w:snapToGrid w:val="0"/>
                    <w:rPr>
                      <w:rFonts w:hint="eastAsia" w:eastAsia="宋体"/>
                      <w:color w:val="auto"/>
                      <w:sz w:val="18"/>
                      <w:szCs w:val="18"/>
                    </w:rPr>
                  </w:pPr>
                </w:p>
              </w:tc>
              <w:tc>
                <w:tcPr>
                  <w:tcW w:w="233" w:type="pct"/>
                  <w:vMerge w:val="continue"/>
                  <w:vAlign w:val="center"/>
                </w:tcPr>
                <w:p w14:paraId="53C73A60">
                  <w:pPr>
                    <w:pStyle w:val="656"/>
                    <w:snapToGrid w:val="0"/>
                    <w:rPr>
                      <w:rFonts w:hint="eastAsia" w:eastAsia="宋体"/>
                      <w:color w:val="auto"/>
                      <w:sz w:val="18"/>
                      <w:szCs w:val="18"/>
                    </w:rPr>
                  </w:pPr>
                </w:p>
              </w:tc>
              <w:tc>
                <w:tcPr>
                  <w:tcW w:w="254" w:type="pct"/>
                  <w:vAlign w:val="center"/>
                </w:tcPr>
                <w:p w14:paraId="0677EEB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95</w:t>
                  </w:r>
                </w:p>
              </w:tc>
              <w:tc>
                <w:tcPr>
                  <w:tcW w:w="452" w:type="pct"/>
                  <w:vAlign w:val="center"/>
                </w:tcPr>
                <w:p w14:paraId="573E12D6">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0.1ngTEQ/m</w:t>
                  </w:r>
                  <w:r>
                    <w:rPr>
                      <w:rFonts w:hint="eastAsia" w:eastAsia="宋体"/>
                      <w:color w:val="auto"/>
                      <w:sz w:val="18"/>
                      <w:szCs w:val="18"/>
                      <w:vertAlign w:val="superscript"/>
                      <w:lang w:val="en-US" w:eastAsia="zh-CN"/>
                    </w:rPr>
                    <w:t>3</w:t>
                  </w:r>
                </w:p>
              </w:tc>
              <w:tc>
                <w:tcPr>
                  <w:tcW w:w="517" w:type="pct"/>
                  <w:vAlign w:val="center"/>
                </w:tcPr>
                <w:p w14:paraId="0DE79696">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0.00065ngTEQ/h</w:t>
                  </w:r>
                </w:p>
              </w:tc>
              <w:tc>
                <w:tcPr>
                  <w:tcW w:w="412" w:type="pct"/>
                  <w:vAlign w:val="center"/>
                </w:tcPr>
                <w:p w14:paraId="666DDA7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2.6ngTEQ/a</w:t>
                  </w:r>
                </w:p>
              </w:tc>
              <w:tc>
                <w:tcPr>
                  <w:tcW w:w="316" w:type="pct"/>
                  <w:vMerge w:val="continue"/>
                  <w:vAlign w:val="center"/>
                </w:tcPr>
                <w:p w14:paraId="14043ABE">
                  <w:pPr>
                    <w:pStyle w:val="656"/>
                    <w:snapToGrid w:val="0"/>
                    <w:rPr>
                      <w:rFonts w:hint="eastAsia" w:eastAsia="宋体"/>
                      <w:color w:val="auto"/>
                      <w:sz w:val="18"/>
                      <w:szCs w:val="18"/>
                    </w:rPr>
                  </w:pPr>
                </w:p>
              </w:tc>
            </w:tr>
            <w:tr w14:paraId="2C718AE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271" w:type="pct"/>
                  <w:vAlign w:val="center"/>
                </w:tcPr>
                <w:p w14:paraId="4837476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4#</w:t>
                  </w:r>
                </w:p>
              </w:tc>
              <w:tc>
                <w:tcPr>
                  <w:tcW w:w="300" w:type="pct"/>
                  <w:vAlign w:val="center"/>
                </w:tcPr>
                <w:p w14:paraId="7A56728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2000</w:t>
                  </w:r>
                </w:p>
              </w:tc>
              <w:tc>
                <w:tcPr>
                  <w:tcW w:w="241" w:type="pct"/>
                  <w:vAlign w:val="center"/>
                </w:tcPr>
                <w:p w14:paraId="5838961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注塑</w:t>
                  </w:r>
                </w:p>
              </w:tc>
              <w:tc>
                <w:tcPr>
                  <w:tcW w:w="511" w:type="pct"/>
                  <w:vAlign w:val="center"/>
                </w:tcPr>
                <w:p w14:paraId="07B91D80">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非甲烷总烃</w:t>
                  </w:r>
                </w:p>
              </w:tc>
              <w:tc>
                <w:tcPr>
                  <w:tcW w:w="383" w:type="pct"/>
                  <w:vAlign w:val="center"/>
                </w:tcPr>
                <w:p w14:paraId="353BD13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14.5</w:t>
                  </w:r>
                </w:p>
              </w:tc>
              <w:tc>
                <w:tcPr>
                  <w:tcW w:w="383" w:type="pct"/>
                  <w:vAlign w:val="center"/>
                </w:tcPr>
                <w:p w14:paraId="789C6422">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0.029</w:t>
                  </w:r>
                </w:p>
              </w:tc>
              <w:tc>
                <w:tcPr>
                  <w:tcW w:w="383" w:type="pct"/>
                  <w:vAlign w:val="center"/>
                </w:tcPr>
                <w:p w14:paraId="63E5E49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0.146</w:t>
                  </w:r>
                </w:p>
              </w:tc>
              <w:tc>
                <w:tcPr>
                  <w:tcW w:w="339" w:type="pct"/>
                  <w:vAlign w:val="center"/>
                </w:tcPr>
                <w:p w14:paraId="7F559C63">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二级活性炭</w:t>
                  </w:r>
                </w:p>
              </w:tc>
              <w:tc>
                <w:tcPr>
                  <w:tcW w:w="233" w:type="pct"/>
                  <w:vAlign w:val="center"/>
                </w:tcPr>
                <w:p w14:paraId="7CD66545">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90</w:t>
                  </w:r>
                </w:p>
              </w:tc>
              <w:tc>
                <w:tcPr>
                  <w:tcW w:w="254" w:type="pct"/>
                  <w:vAlign w:val="center"/>
                </w:tcPr>
                <w:p w14:paraId="0D562B25">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90</w:t>
                  </w:r>
                </w:p>
              </w:tc>
              <w:tc>
                <w:tcPr>
                  <w:tcW w:w="452" w:type="pct"/>
                  <w:vAlign w:val="center"/>
                </w:tcPr>
                <w:p w14:paraId="62D1ABEF">
                  <w:pPr>
                    <w:pStyle w:val="656"/>
                    <w:snapToGrid w:val="0"/>
                    <w:rPr>
                      <w:rFonts w:hint="default"/>
                      <w:color w:val="auto"/>
                      <w:kern w:val="0"/>
                      <w:sz w:val="18"/>
                      <w:szCs w:val="18"/>
                      <w:lang w:val="en-US" w:eastAsia="zh-CN"/>
                    </w:rPr>
                  </w:pPr>
                  <w:r>
                    <w:rPr>
                      <w:rFonts w:hint="eastAsia"/>
                      <w:color w:val="auto"/>
                      <w:kern w:val="0"/>
                      <w:sz w:val="18"/>
                      <w:szCs w:val="18"/>
                      <w:lang w:val="en-US" w:eastAsia="zh-CN"/>
                    </w:rPr>
                    <w:t>1.45</w:t>
                  </w:r>
                </w:p>
              </w:tc>
              <w:tc>
                <w:tcPr>
                  <w:tcW w:w="517" w:type="pct"/>
                  <w:vAlign w:val="center"/>
                </w:tcPr>
                <w:p w14:paraId="50FD9D0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0.0029</w:t>
                  </w:r>
                </w:p>
              </w:tc>
              <w:tc>
                <w:tcPr>
                  <w:tcW w:w="412" w:type="pct"/>
                  <w:vAlign w:val="center"/>
                </w:tcPr>
                <w:p w14:paraId="3EC4D889">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0.0146</w:t>
                  </w:r>
                </w:p>
              </w:tc>
              <w:tc>
                <w:tcPr>
                  <w:tcW w:w="316" w:type="pct"/>
                  <w:vAlign w:val="center"/>
                </w:tcPr>
                <w:p w14:paraId="74DCC8D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5000h</w:t>
                  </w:r>
                </w:p>
              </w:tc>
            </w:tr>
          </w:tbl>
          <w:p w14:paraId="2D9FF40B">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color w:val="auto"/>
                <w:lang w:val="en-US" w:eastAsia="zh-CN"/>
              </w:rPr>
            </w:pPr>
            <w:r>
              <w:rPr>
                <w:color w:val="auto"/>
                <w:sz w:val="21"/>
                <w:szCs w:val="21"/>
                <w:highlight w:val="none"/>
              </w:rPr>
              <w:t>根据</w:t>
            </w:r>
            <w:r>
              <w:rPr>
                <w:rFonts w:hint="eastAsia"/>
                <w:color w:val="auto"/>
                <w:sz w:val="21"/>
                <w:szCs w:val="21"/>
                <w:highlight w:val="none"/>
                <w:lang w:val="en-US" w:eastAsia="zh-CN"/>
              </w:rPr>
              <w:t>现有项目环评报告及竣工验收报告中数据，现有项目污染物环评批复排放量及实际排放量见下表。</w:t>
            </w:r>
          </w:p>
          <w:p w14:paraId="691522FC">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sz w:val="21"/>
                <w:szCs w:val="21"/>
                <w:highlight w:val="none"/>
                <w:lang w:val="en-US" w:eastAsia="zh-CN"/>
              </w:rPr>
            </w:pPr>
            <w:r>
              <w:rPr>
                <w:rFonts w:hint="eastAsia"/>
                <w:b/>
                <w:bCs/>
                <w:color w:val="auto"/>
                <w:sz w:val="21"/>
                <w:szCs w:val="21"/>
                <w:highlight w:val="none"/>
              </w:rPr>
              <w:t>表2-</w:t>
            </w:r>
            <w:r>
              <w:rPr>
                <w:rFonts w:hint="eastAsia"/>
                <w:b/>
                <w:bCs/>
                <w:color w:val="auto"/>
                <w:sz w:val="21"/>
                <w:szCs w:val="21"/>
                <w:highlight w:val="none"/>
                <w:lang w:val="en-US" w:eastAsia="zh-CN"/>
              </w:rPr>
              <w:t>12.4   现有</w:t>
            </w:r>
            <w:r>
              <w:rPr>
                <w:b/>
                <w:bCs/>
                <w:color w:val="auto"/>
                <w:sz w:val="21"/>
                <w:szCs w:val="21"/>
                <w:highlight w:val="none"/>
              </w:rPr>
              <w:t>项目污染物</w:t>
            </w:r>
            <w:r>
              <w:rPr>
                <w:rFonts w:hint="eastAsia"/>
                <w:b/>
                <w:bCs/>
                <w:color w:val="auto"/>
                <w:sz w:val="21"/>
                <w:szCs w:val="21"/>
                <w:highlight w:val="none"/>
                <w:lang w:val="en-US" w:eastAsia="zh-CN"/>
              </w:rPr>
              <w:t>环评批复排放量及实际排放量汇总表</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703"/>
              <w:gridCol w:w="1918"/>
              <w:gridCol w:w="2858"/>
              <w:gridCol w:w="2685"/>
              <w:gridCol w:w="4176"/>
            </w:tblGrid>
            <w:tr w14:paraId="6BE236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38" w:type="pct"/>
                  <w:tcBorders>
                    <w:tl2br w:val="nil"/>
                    <w:tr2bl w:val="nil"/>
                  </w:tcBorders>
                  <w:noWrap w:val="0"/>
                  <w:vAlign w:val="center"/>
                </w:tcPr>
                <w:p w14:paraId="29030B17">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分类</w:t>
                  </w:r>
                </w:p>
              </w:tc>
              <w:tc>
                <w:tcPr>
                  <w:tcW w:w="1790" w:type="pct"/>
                  <w:gridSpan w:val="2"/>
                  <w:tcBorders>
                    <w:tl2br w:val="nil"/>
                    <w:tr2bl w:val="nil"/>
                  </w:tcBorders>
                  <w:noWrap w:val="0"/>
                  <w:vAlign w:val="center"/>
                </w:tcPr>
                <w:p w14:paraId="3F29F92C">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1006" w:type="pct"/>
                  <w:tcBorders>
                    <w:tl2br w:val="nil"/>
                    <w:tr2bl w:val="nil"/>
                  </w:tcBorders>
                  <w:noWrap w:val="0"/>
                  <w:vAlign w:val="center"/>
                </w:tcPr>
                <w:p w14:paraId="2306999E">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环评批复量t/a</w:t>
                  </w:r>
                </w:p>
              </w:tc>
              <w:tc>
                <w:tcPr>
                  <w:tcW w:w="1564" w:type="pct"/>
                  <w:tcBorders>
                    <w:tl2br w:val="nil"/>
                    <w:tr2bl w:val="nil"/>
                  </w:tcBorders>
                  <w:noWrap w:val="0"/>
                  <w:vAlign w:val="center"/>
                </w:tcPr>
                <w:p w14:paraId="0DDBAD0E">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实际排放量（固废处置量）t/a</w:t>
                  </w:r>
                </w:p>
              </w:tc>
            </w:tr>
            <w:tr w14:paraId="6ADBB9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02" w:hRule="atLeast"/>
                <w:jc w:val="center"/>
              </w:trPr>
              <w:tc>
                <w:tcPr>
                  <w:tcW w:w="638" w:type="pct"/>
                  <w:vMerge w:val="restart"/>
                  <w:tcBorders>
                    <w:tl2br w:val="nil"/>
                    <w:tr2bl w:val="nil"/>
                  </w:tcBorders>
                  <w:noWrap w:val="0"/>
                  <w:vAlign w:val="center"/>
                </w:tcPr>
                <w:p w14:paraId="66839318">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790" w:type="pct"/>
                  <w:gridSpan w:val="2"/>
                  <w:tcBorders>
                    <w:tl2br w:val="nil"/>
                    <w:tr2bl w:val="nil"/>
                  </w:tcBorders>
                  <w:noWrap w:val="0"/>
                  <w:vAlign w:val="center"/>
                </w:tcPr>
                <w:p w14:paraId="2447EE4A">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废水量</w:t>
                  </w:r>
                </w:p>
              </w:tc>
              <w:tc>
                <w:tcPr>
                  <w:tcW w:w="1006" w:type="pct"/>
                  <w:tcBorders>
                    <w:tl2br w:val="nil"/>
                    <w:tr2bl w:val="nil"/>
                  </w:tcBorders>
                  <w:noWrap w:val="0"/>
                  <w:vAlign w:val="center"/>
                </w:tcPr>
                <w:p w14:paraId="3DE33170">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44670</w:t>
                  </w:r>
                </w:p>
              </w:tc>
              <w:tc>
                <w:tcPr>
                  <w:tcW w:w="1564" w:type="pct"/>
                  <w:tcBorders>
                    <w:tl2br w:val="nil"/>
                    <w:tr2bl w:val="nil"/>
                  </w:tcBorders>
                  <w:shd w:val="clear" w:color="auto" w:fill="auto"/>
                  <w:noWrap w:val="0"/>
                  <w:vAlign w:val="center"/>
                </w:tcPr>
                <w:p w14:paraId="57C16E3E">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44670</w:t>
                  </w:r>
                </w:p>
              </w:tc>
            </w:tr>
            <w:tr w14:paraId="1585EA5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38" w:type="pct"/>
                  <w:vMerge w:val="continue"/>
                  <w:tcBorders>
                    <w:tl2br w:val="nil"/>
                    <w:tr2bl w:val="nil"/>
                  </w:tcBorders>
                  <w:noWrap w:val="0"/>
                  <w:vAlign w:val="center"/>
                </w:tcPr>
                <w:p w14:paraId="5CAE1F39">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p>
              </w:tc>
              <w:tc>
                <w:tcPr>
                  <w:tcW w:w="1790" w:type="pct"/>
                  <w:gridSpan w:val="2"/>
                  <w:tcBorders>
                    <w:tl2br w:val="nil"/>
                    <w:tr2bl w:val="nil"/>
                  </w:tcBorders>
                  <w:noWrap w:val="0"/>
                  <w:vAlign w:val="center"/>
                </w:tcPr>
                <w:p w14:paraId="54EF945B">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1006" w:type="pct"/>
                  <w:tcBorders>
                    <w:tl2br w:val="nil"/>
                    <w:tr2bl w:val="nil"/>
                  </w:tcBorders>
                  <w:noWrap w:val="0"/>
                  <w:vAlign w:val="center"/>
                </w:tcPr>
                <w:p w14:paraId="2CCF8BB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14.672</w:t>
                  </w:r>
                </w:p>
              </w:tc>
              <w:tc>
                <w:tcPr>
                  <w:tcW w:w="2675" w:type="dxa"/>
                  <w:tcBorders>
                    <w:tl2br w:val="nil"/>
                    <w:tr2bl w:val="nil"/>
                  </w:tcBorders>
                  <w:shd w:val="clear" w:color="auto" w:fill="auto"/>
                  <w:noWrap w:val="0"/>
                  <w:vAlign w:val="center"/>
                </w:tcPr>
                <w:p w14:paraId="2FEB8A35">
                  <w:pPr>
                    <w:adjustRightInd w:val="0"/>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bCs/>
                      <w:color w:val="auto"/>
                      <w:sz w:val="21"/>
                      <w:szCs w:val="21"/>
                      <w:highlight w:val="none"/>
                      <w:lang w:val="en-US" w:eastAsia="zh-CN"/>
                    </w:rPr>
                    <w:t>13.4</w:t>
                  </w:r>
                </w:p>
              </w:tc>
            </w:tr>
            <w:tr w14:paraId="32D66C8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38" w:type="pct"/>
                  <w:vMerge w:val="continue"/>
                  <w:tcBorders>
                    <w:tl2br w:val="nil"/>
                    <w:tr2bl w:val="nil"/>
                  </w:tcBorders>
                  <w:noWrap w:val="0"/>
                  <w:vAlign w:val="center"/>
                </w:tcPr>
                <w:p w14:paraId="5144936E">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p>
              </w:tc>
              <w:tc>
                <w:tcPr>
                  <w:tcW w:w="1790" w:type="pct"/>
                  <w:gridSpan w:val="2"/>
                  <w:tcBorders>
                    <w:tl2br w:val="nil"/>
                    <w:tr2bl w:val="nil"/>
                  </w:tcBorders>
                  <w:noWrap w:val="0"/>
                  <w:vAlign w:val="center"/>
                </w:tcPr>
                <w:p w14:paraId="5A473A28">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tc>
              <w:tc>
                <w:tcPr>
                  <w:tcW w:w="1006" w:type="pct"/>
                  <w:tcBorders>
                    <w:tl2br w:val="nil"/>
                    <w:tr2bl w:val="nil"/>
                  </w:tcBorders>
                  <w:noWrap w:val="0"/>
                  <w:vAlign w:val="center"/>
                </w:tcPr>
                <w:p w14:paraId="58617065">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8.848</w:t>
                  </w:r>
                </w:p>
              </w:tc>
              <w:tc>
                <w:tcPr>
                  <w:tcW w:w="2675" w:type="dxa"/>
                  <w:tcBorders>
                    <w:tl2br w:val="nil"/>
                    <w:tr2bl w:val="nil"/>
                  </w:tcBorders>
                  <w:shd w:val="clear" w:color="auto" w:fill="auto"/>
                  <w:noWrap w:val="0"/>
                  <w:vAlign w:val="center"/>
                </w:tcPr>
                <w:p w14:paraId="565886F5">
                  <w:pPr>
                    <w:adjustRightInd w:val="0"/>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bCs/>
                      <w:color w:val="auto"/>
                      <w:sz w:val="21"/>
                      <w:szCs w:val="21"/>
                      <w:highlight w:val="none"/>
                      <w:lang w:val="en-US" w:eastAsia="zh-CN"/>
                    </w:rPr>
                    <w:t>8.93</w:t>
                  </w:r>
                </w:p>
              </w:tc>
            </w:tr>
            <w:tr w14:paraId="47247C8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38" w:type="pct"/>
                  <w:vMerge w:val="continue"/>
                  <w:tcBorders>
                    <w:tl2br w:val="nil"/>
                    <w:tr2bl w:val="nil"/>
                  </w:tcBorders>
                  <w:noWrap w:val="0"/>
                  <w:vAlign w:val="center"/>
                </w:tcPr>
                <w:p w14:paraId="013D7E1B">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p>
              </w:tc>
              <w:tc>
                <w:tcPr>
                  <w:tcW w:w="1790" w:type="pct"/>
                  <w:gridSpan w:val="2"/>
                  <w:tcBorders>
                    <w:tl2br w:val="nil"/>
                    <w:tr2bl w:val="nil"/>
                  </w:tcBorders>
                  <w:noWrap w:val="0"/>
                  <w:vAlign w:val="center"/>
                </w:tcPr>
                <w:p w14:paraId="747ACFDD">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1006" w:type="pct"/>
                  <w:tcBorders>
                    <w:tl2br w:val="nil"/>
                    <w:tr2bl w:val="nil"/>
                  </w:tcBorders>
                  <w:noWrap w:val="0"/>
                  <w:vAlign w:val="center"/>
                </w:tcPr>
                <w:p w14:paraId="37931BA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1.126</w:t>
                  </w:r>
                </w:p>
              </w:tc>
              <w:tc>
                <w:tcPr>
                  <w:tcW w:w="2675" w:type="dxa"/>
                  <w:tcBorders>
                    <w:tl2br w:val="nil"/>
                    <w:tr2bl w:val="nil"/>
                  </w:tcBorders>
                  <w:shd w:val="clear" w:color="auto" w:fill="auto"/>
                  <w:noWrap w:val="0"/>
                  <w:vAlign w:val="center"/>
                </w:tcPr>
                <w:p w14:paraId="01C1415D">
                  <w:pPr>
                    <w:adjustRightInd w:val="0"/>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bCs/>
                      <w:snapToGrid w:val="0"/>
                      <w:color w:val="auto"/>
                      <w:kern w:val="2"/>
                      <w:sz w:val="21"/>
                      <w:szCs w:val="21"/>
                      <w:highlight w:val="none"/>
                      <w:lang w:val="en-US" w:eastAsia="zh-CN" w:bidi="ar-SA"/>
                    </w:rPr>
                    <w:t>0.893</w:t>
                  </w:r>
                </w:p>
              </w:tc>
            </w:tr>
            <w:tr w14:paraId="00AC2C2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38" w:type="pct"/>
                  <w:vMerge w:val="continue"/>
                  <w:tcBorders>
                    <w:tl2br w:val="nil"/>
                    <w:tr2bl w:val="nil"/>
                  </w:tcBorders>
                  <w:noWrap w:val="0"/>
                  <w:vAlign w:val="center"/>
                </w:tcPr>
                <w:p w14:paraId="56CDA11A">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p>
              </w:tc>
              <w:tc>
                <w:tcPr>
                  <w:tcW w:w="1790" w:type="pct"/>
                  <w:gridSpan w:val="2"/>
                  <w:tcBorders>
                    <w:tl2br w:val="nil"/>
                    <w:tr2bl w:val="nil"/>
                  </w:tcBorders>
                  <w:noWrap w:val="0"/>
                  <w:vAlign w:val="center"/>
                </w:tcPr>
                <w:p w14:paraId="6ED33618">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TN</w:t>
                  </w:r>
                </w:p>
              </w:tc>
              <w:tc>
                <w:tcPr>
                  <w:tcW w:w="1006" w:type="pct"/>
                  <w:tcBorders>
                    <w:tl2br w:val="nil"/>
                    <w:tr2bl w:val="nil"/>
                  </w:tcBorders>
                  <w:noWrap w:val="0"/>
                  <w:vAlign w:val="center"/>
                </w:tcPr>
                <w:p w14:paraId="4555FBCE">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0.219</w:t>
                  </w:r>
                </w:p>
              </w:tc>
              <w:tc>
                <w:tcPr>
                  <w:tcW w:w="2675" w:type="dxa"/>
                  <w:tcBorders>
                    <w:tl2br w:val="nil"/>
                    <w:tr2bl w:val="nil"/>
                  </w:tcBorders>
                  <w:shd w:val="clear" w:color="auto" w:fill="auto"/>
                  <w:noWrap w:val="0"/>
                  <w:vAlign w:val="center"/>
                </w:tcPr>
                <w:p w14:paraId="34BCD820">
                  <w:pPr>
                    <w:adjustRightInd w:val="0"/>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bCs/>
                      <w:color w:val="auto"/>
                      <w:sz w:val="21"/>
                      <w:szCs w:val="21"/>
                      <w:highlight w:val="none"/>
                      <w:lang w:val="en-US" w:eastAsia="zh-CN"/>
                    </w:rPr>
                    <w:t>0.134</w:t>
                  </w:r>
                </w:p>
              </w:tc>
            </w:tr>
            <w:tr w14:paraId="2E8A217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38" w:type="pct"/>
                  <w:vMerge w:val="continue"/>
                  <w:tcBorders>
                    <w:tl2br w:val="nil"/>
                    <w:tr2bl w:val="nil"/>
                  </w:tcBorders>
                  <w:noWrap w:val="0"/>
                  <w:vAlign w:val="center"/>
                </w:tcPr>
                <w:p w14:paraId="3B659F31">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p>
              </w:tc>
              <w:tc>
                <w:tcPr>
                  <w:tcW w:w="1790" w:type="pct"/>
                  <w:gridSpan w:val="2"/>
                  <w:tcBorders>
                    <w:tl2br w:val="nil"/>
                    <w:tr2bl w:val="nil"/>
                  </w:tcBorders>
                  <w:noWrap w:val="0"/>
                  <w:vAlign w:val="center"/>
                </w:tcPr>
                <w:p w14:paraId="6537D4B9">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TP</w:t>
                  </w:r>
                </w:p>
              </w:tc>
              <w:tc>
                <w:tcPr>
                  <w:tcW w:w="1006" w:type="pct"/>
                  <w:tcBorders>
                    <w:tl2br w:val="nil"/>
                    <w:tr2bl w:val="nil"/>
                  </w:tcBorders>
                  <w:noWrap w:val="0"/>
                  <w:vAlign w:val="center"/>
                </w:tcPr>
                <w:p w14:paraId="2366B51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182</w:t>
                  </w:r>
                </w:p>
              </w:tc>
              <w:tc>
                <w:tcPr>
                  <w:tcW w:w="2675" w:type="dxa"/>
                  <w:tcBorders>
                    <w:tl2br w:val="nil"/>
                    <w:tr2bl w:val="nil"/>
                  </w:tcBorders>
                  <w:shd w:val="clear" w:color="auto" w:fill="auto"/>
                  <w:noWrap w:val="0"/>
                  <w:vAlign w:val="center"/>
                </w:tcPr>
                <w:p w14:paraId="3F7DA0E4">
                  <w:pPr>
                    <w:adjustRightInd w:val="0"/>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bCs/>
                      <w:color w:val="auto"/>
                      <w:sz w:val="21"/>
                      <w:szCs w:val="21"/>
                      <w:highlight w:val="none"/>
                      <w:lang w:val="en-US" w:eastAsia="zh-CN"/>
                    </w:rPr>
                    <w:t>1.34</w:t>
                  </w:r>
                </w:p>
              </w:tc>
            </w:tr>
            <w:tr w14:paraId="4BBC0E5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38" w:type="pct"/>
                  <w:vMerge w:val="continue"/>
                  <w:tcBorders>
                    <w:tl2br w:val="nil"/>
                    <w:tr2bl w:val="nil"/>
                  </w:tcBorders>
                  <w:noWrap w:val="0"/>
                  <w:vAlign w:val="center"/>
                </w:tcPr>
                <w:p w14:paraId="61032094">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p>
              </w:tc>
              <w:tc>
                <w:tcPr>
                  <w:tcW w:w="1790" w:type="pct"/>
                  <w:gridSpan w:val="2"/>
                  <w:tcBorders>
                    <w:tl2br w:val="nil"/>
                    <w:tr2bl w:val="nil"/>
                  </w:tcBorders>
                  <w:noWrap w:val="0"/>
                  <w:vAlign w:val="center"/>
                </w:tcPr>
                <w:p w14:paraId="55E6E276">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动植物油</w:t>
                  </w:r>
                </w:p>
              </w:tc>
              <w:tc>
                <w:tcPr>
                  <w:tcW w:w="1006" w:type="pct"/>
                  <w:tcBorders>
                    <w:tl2br w:val="nil"/>
                    <w:tr2bl w:val="nil"/>
                  </w:tcBorders>
                  <w:noWrap w:val="0"/>
                  <w:vAlign w:val="center"/>
                </w:tcPr>
                <w:p w14:paraId="0B1E5265">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438</w:t>
                  </w:r>
                </w:p>
              </w:tc>
              <w:tc>
                <w:tcPr>
                  <w:tcW w:w="2675" w:type="dxa"/>
                  <w:tcBorders>
                    <w:tl2br w:val="nil"/>
                    <w:tr2bl w:val="nil"/>
                  </w:tcBorders>
                  <w:shd w:val="clear" w:color="auto" w:fill="auto"/>
                  <w:noWrap w:val="0"/>
                  <w:vAlign w:val="center"/>
                </w:tcPr>
                <w:p w14:paraId="5A4B3144">
                  <w:pPr>
                    <w:adjustRightInd w:val="0"/>
                    <w:snapToGrid w:val="0"/>
                    <w:jc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bCs/>
                      <w:color w:val="auto"/>
                      <w:sz w:val="21"/>
                      <w:szCs w:val="21"/>
                      <w:highlight w:val="none"/>
                      <w:lang w:val="en-US" w:eastAsia="zh-CN"/>
                    </w:rPr>
                    <w:t>2.68</w:t>
                  </w:r>
                </w:p>
              </w:tc>
            </w:tr>
            <w:tr w14:paraId="619F22B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38" w:type="pct"/>
                  <w:vMerge w:val="restart"/>
                  <w:tcBorders>
                    <w:tl2br w:val="nil"/>
                    <w:tr2bl w:val="nil"/>
                  </w:tcBorders>
                  <w:noWrap w:val="0"/>
                  <w:vAlign w:val="center"/>
                </w:tcPr>
                <w:p w14:paraId="1757204E">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719" w:type="pct"/>
                  <w:vMerge w:val="restart"/>
                  <w:tcBorders>
                    <w:tl2br w:val="nil"/>
                    <w:tr2bl w:val="nil"/>
                  </w:tcBorders>
                  <w:noWrap w:val="0"/>
                  <w:vAlign w:val="center"/>
                </w:tcPr>
                <w:p w14:paraId="515AF057">
                  <w:pPr>
                    <w:pStyle w:val="704"/>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有组织</w:t>
                  </w:r>
                </w:p>
              </w:tc>
              <w:tc>
                <w:tcPr>
                  <w:tcW w:w="1071" w:type="pct"/>
                  <w:tcBorders>
                    <w:tl2br w:val="nil"/>
                    <w:tr2bl w:val="nil"/>
                  </w:tcBorders>
                  <w:noWrap w:val="0"/>
                  <w:vAlign w:val="center"/>
                </w:tcPr>
                <w:p w14:paraId="1DF088C5">
                  <w:pPr>
                    <w:pStyle w:val="704"/>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olor w:val="auto"/>
                      <w:sz w:val="21"/>
                      <w:szCs w:val="21"/>
                      <w:highlight w:val="none"/>
                    </w:rPr>
                    <w:t>颗粒物</w:t>
                  </w:r>
                </w:p>
              </w:tc>
              <w:tc>
                <w:tcPr>
                  <w:tcW w:w="1006" w:type="pct"/>
                  <w:tcBorders>
                    <w:tl2br w:val="nil"/>
                    <w:tr2bl w:val="nil"/>
                  </w:tcBorders>
                  <w:noWrap w:val="0"/>
                  <w:vAlign w:val="center"/>
                </w:tcPr>
                <w:p w14:paraId="530CBAC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0.614</w:t>
                  </w:r>
                </w:p>
              </w:tc>
              <w:tc>
                <w:tcPr>
                  <w:tcW w:w="1564" w:type="pct"/>
                  <w:tcBorders>
                    <w:tl2br w:val="nil"/>
                    <w:tr2bl w:val="nil"/>
                  </w:tcBorders>
                  <w:noWrap w:val="0"/>
                  <w:vAlign w:val="center"/>
                </w:tcPr>
                <w:p w14:paraId="1681898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r>
            <w:tr w14:paraId="698251F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38" w:type="pct"/>
                  <w:vMerge w:val="continue"/>
                  <w:tcBorders>
                    <w:tl2br w:val="nil"/>
                    <w:tr2bl w:val="nil"/>
                  </w:tcBorders>
                  <w:noWrap w:val="0"/>
                  <w:vAlign w:val="center"/>
                </w:tcPr>
                <w:p w14:paraId="49E3177C">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p>
              </w:tc>
              <w:tc>
                <w:tcPr>
                  <w:tcW w:w="719" w:type="pct"/>
                  <w:vMerge w:val="continue"/>
                  <w:tcBorders>
                    <w:tl2br w:val="nil"/>
                    <w:tr2bl w:val="nil"/>
                  </w:tcBorders>
                  <w:noWrap w:val="0"/>
                  <w:vAlign w:val="center"/>
                </w:tcPr>
                <w:p w14:paraId="0E44B400">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eastAsia" w:ascii="Times New Roman" w:hAnsi="Times New Roman" w:eastAsia="宋体" w:cs="Times New Roman"/>
                      <w:color w:val="auto"/>
                      <w:sz w:val="21"/>
                      <w:szCs w:val="21"/>
                      <w:highlight w:val="none"/>
                      <w:lang w:val="en-US" w:eastAsia="zh-CN"/>
                    </w:rPr>
                  </w:pPr>
                </w:p>
              </w:tc>
              <w:tc>
                <w:tcPr>
                  <w:tcW w:w="1071" w:type="pct"/>
                  <w:tcBorders>
                    <w:tl2br w:val="nil"/>
                    <w:tr2bl w:val="nil"/>
                  </w:tcBorders>
                  <w:noWrap w:val="0"/>
                  <w:vAlign w:val="center"/>
                </w:tcPr>
                <w:p w14:paraId="7BF34775">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二氧化硫</w:t>
                  </w:r>
                </w:p>
              </w:tc>
              <w:tc>
                <w:tcPr>
                  <w:tcW w:w="1006" w:type="pct"/>
                  <w:tcBorders>
                    <w:tl2br w:val="nil"/>
                    <w:tr2bl w:val="nil"/>
                  </w:tcBorders>
                  <w:noWrap w:val="0"/>
                  <w:vAlign w:val="center"/>
                </w:tcPr>
                <w:p w14:paraId="5CCB5E00">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0.168</w:t>
                  </w:r>
                </w:p>
              </w:tc>
              <w:tc>
                <w:tcPr>
                  <w:tcW w:w="1564" w:type="pct"/>
                  <w:tcBorders>
                    <w:tl2br w:val="nil"/>
                    <w:tr2bl w:val="nil"/>
                  </w:tcBorders>
                  <w:noWrap w:val="0"/>
                  <w:vAlign w:val="center"/>
                </w:tcPr>
                <w:p w14:paraId="1603AB94">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0.048</w:t>
                  </w:r>
                </w:p>
              </w:tc>
            </w:tr>
            <w:tr w14:paraId="41AE647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38" w:type="pct"/>
                  <w:vMerge w:val="continue"/>
                  <w:tcBorders>
                    <w:tl2br w:val="nil"/>
                    <w:tr2bl w:val="nil"/>
                  </w:tcBorders>
                  <w:noWrap w:val="0"/>
                  <w:vAlign w:val="center"/>
                </w:tcPr>
                <w:p w14:paraId="119A9AB7">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p>
              </w:tc>
              <w:tc>
                <w:tcPr>
                  <w:tcW w:w="719" w:type="pct"/>
                  <w:vMerge w:val="continue"/>
                  <w:tcBorders>
                    <w:tl2br w:val="nil"/>
                    <w:tr2bl w:val="nil"/>
                  </w:tcBorders>
                  <w:noWrap w:val="0"/>
                  <w:vAlign w:val="center"/>
                </w:tcPr>
                <w:p w14:paraId="71243890">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eastAsia" w:ascii="Times New Roman" w:hAnsi="Times New Roman" w:eastAsia="宋体" w:cs="Times New Roman"/>
                      <w:color w:val="auto"/>
                      <w:sz w:val="21"/>
                      <w:szCs w:val="21"/>
                      <w:highlight w:val="none"/>
                      <w:lang w:val="en-US" w:eastAsia="zh-CN"/>
                    </w:rPr>
                  </w:pPr>
                </w:p>
              </w:tc>
              <w:tc>
                <w:tcPr>
                  <w:tcW w:w="1071" w:type="pct"/>
                  <w:tcBorders>
                    <w:tl2br w:val="nil"/>
                    <w:tr2bl w:val="nil"/>
                  </w:tcBorders>
                  <w:noWrap w:val="0"/>
                  <w:vAlign w:val="center"/>
                </w:tcPr>
                <w:p w14:paraId="15F1D1F9">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氮氧化物</w:t>
                  </w:r>
                </w:p>
              </w:tc>
              <w:tc>
                <w:tcPr>
                  <w:tcW w:w="1006" w:type="pct"/>
                  <w:tcBorders>
                    <w:tl2br w:val="nil"/>
                    <w:tr2bl w:val="nil"/>
                  </w:tcBorders>
                  <w:noWrap w:val="0"/>
                  <w:vAlign w:val="center"/>
                </w:tcPr>
                <w:p w14:paraId="39F4AA3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1.005</w:t>
                  </w:r>
                </w:p>
              </w:tc>
              <w:tc>
                <w:tcPr>
                  <w:tcW w:w="1564" w:type="pct"/>
                  <w:tcBorders>
                    <w:tl2br w:val="nil"/>
                    <w:tr2bl w:val="nil"/>
                  </w:tcBorders>
                  <w:noWrap w:val="0"/>
                  <w:vAlign w:val="center"/>
                </w:tcPr>
                <w:p w14:paraId="1FF6367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0.511</w:t>
                  </w:r>
                </w:p>
              </w:tc>
            </w:tr>
            <w:tr w14:paraId="0E0AA8D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38" w:type="pct"/>
                  <w:vMerge w:val="continue"/>
                  <w:tcBorders>
                    <w:tl2br w:val="nil"/>
                    <w:tr2bl w:val="nil"/>
                  </w:tcBorders>
                  <w:noWrap w:val="0"/>
                  <w:vAlign w:val="center"/>
                </w:tcPr>
                <w:p w14:paraId="1966FA59">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p>
              </w:tc>
              <w:tc>
                <w:tcPr>
                  <w:tcW w:w="719" w:type="pct"/>
                  <w:vMerge w:val="continue"/>
                  <w:tcBorders>
                    <w:tl2br w:val="nil"/>
                    <w:tr2bl w:val="nil"/>
                  </w:tcBorders>
                  <w:noWrap w:val="0"/>
                  <w:vAlign w:val="center"/>
                </w:tcPr>
                <w:p w14:paraId="4569AD31">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eastAsia" w:ascii="Times New Roman" w:hAnsi="Times New Roman" w:eastAsia="宋体" w:cs="Times New Roman"/>
                      <w:color w:val="auto"/>
                      <w:sz w:val="21"/>
                      <w:szCs w:val="21"/>
                      <w:highlight w:val="none"/>
                      <w:lang w:val="en-US" w:eastAsia="zh-CN"/>
                    </w:rPr>
                  </w:pPr>
                </w:p>
              </w:tc>
              <w:tc>
                <w:tcPr>
                  <w:tcW w:w="1071" w:type="pct"/>
                  <w:tcBorders>
                    <w:tl2br w:val="nil"/>
                    <w:tr2bl w:val="nil"/>
                  </w:tcBorders>
                  <w:noWrap w:val="0"/>
                  <w:vAlign w:val="center"/>
                </w:tcPr>
                <w:p w14:paraId="3AA950E4">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氨</w:t>
                  </w:r>
                </w:p>
              </w:tc>
              <w:tc>
                <w:tcPr>
                  <w:tcW w:w="1006" w:type="pct"/>
                  <w:tcBorders>
                    <w:tl2br w:val="nil"/>
                    <w:tr2bl w:val="nil"/>
                  </w:tcBorders>
                  <w:noWrap w:val="0"/>
                  <w:vAlign w:val="center"/>
                </w:tcPr>
                <w:p w14:paraId="1DF1ED8E">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0.042</w:t>
                  </w:r>
                </w:p>
              </w:tc>
              <w:tc>
                <w:tcPr>
                  <w:tcW w:w="1564" w:type="pct"/>
                  <w:tcBorders>
                    <w:tl2br w:val="nil"/>
                    <w:tr2bl w:val="nil"/>
                  </w:tcBorders>
                  <w:noWrap w:val="0"/>
                  <w:vAlign w:val="center"/>
                </w:tcPr>
                <w:p w14:paraId="2269D0E5">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0.0192</w:t>
                  </w:r>
                </w:p>
              </w:tc>
            </w:tr>
            <w:tr w14:paraId="2A16206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38" w:type="pct"/>
                  <w:vMerge w:val="continue"/>
                  <w:tcBorders>
                    <w:tl2br w:val="nil"/>
                    <w:tr2bl w:val="nil"/>
                  </w:tcBorders>
                  <w:noWrap w:val="0"/>
                  <w:vAlign w:val="center"/>
                </w:tcPr>
                <w:p w14:paraId="5B21E26B">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p>
              </w:tc>
              <w:tc>
                <w:tcPr>
                  <w:tcW w:w="719" w:type="pct"/>
                  <w:vMerge w:val="continue"/>
                  <w:tcBorders>
                    <w:tl2br w:val="nil"/>
                    <w:tr2bl w:val="nil"/>
                  </w:tcBorders>
                  <w:noWrap w:val="0"/>
                  <w:vAlign w:val="center"/>
                </w:tcPr>
                <w:p w14:paraId="03C070A5">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eastAsia" w:ascii="Times New Roman" w:hAnsi="Times New Roman" w:eastAsia="宋体" w:cs="Times New Roman"/>
                      <w:color w:val="auto"/>
                      <w:sz w:val="21"/>
                      <w:szCs w:val="21"/>
                      <w:highlight w:val="none"/>
                      <w:lang w:val="en-US" w:eastAsia="zh-CN"/>
                    </w:rPr>
                  </w:pPr>
                </w:p>
              </w:tc>
              <w:tc>
                <w:tcPr>
                  <w:tcW w:w="1071" w:type="pct"/>
                  <w:tcBorders>
                    <w:tl2br w:val="nil"/>
                    <w:tr2bl w:val="nil"/>
                  </w:tcBorders>
                  <w:noWrap w:val="0"/>
                  <w:vAlign w:val="center"/>
                </w:tcPr>
                <w:p w14:paraId="749D4D3A">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CO</w:t>
                  </w:r>
                </w:p>
              </w:tc>
              <w:tc>
                <w:tcPr>
                  <w:tcW w:w="1006" w:type="pct"/>
                  <w:tcBorders>
                    <w:tl2br w:val="nil"/>
                    <w:tr2bl w:val="nil"/>
                  </w:tcBorders>
                  <w:noWrap w:val="0"/>
                  <w:vAlign w:val="center"/>
                </w:tcPr>
                <w:p w14:paraId="3D3F8CC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w:t>
                  </w:r>
                </w:p>
              </w:tc>
              <w:tc>
                <w:tcPr>
                  <w:tcW w:w="1564" w:type="pct"/>
                  <w:tcBorders>
                    <w:tl2br w:val="nil"/>
                    <w:tr2bl w:val="nil"/>
                  </w:tcBorders>
                  <w:noWrap w:val="0"/>
                  <w:vAlign w:val="center"/>
                </w:tcPr>
                <w:p w14:paraId="4BCE809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0.192</w:t>
                  </w:r>
                </w:p>
              </w:tc>
            </w:tr>
            <w:tr w14:paraId="260E343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38" w:type="pct"/>
                  <w:vMerge w:val="continue"/>
                  <w:tcBorders>
                    <w:tl2br w:val="nil"/>
                    <w:tr2bl w:val="nil"/>
                  </w:tcBorders>
                  <w:noWrap w:val="0"/>
                  <w:vAlign w:val="center"/>
                </w:tcPr>
                <w:p w14:paraId="43B911CD">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p>
              </w:tc>
              <w:tc>
                <w:tcPr>
                  <w:tcW w:w="719" w:type="pct"/>
                  <w:vMerge w:val="continue"/>
                  <w:tcBorders>
                    <w:tl2br w:val="nil"/>
                    <w:tr2bl w:val="nil"/>
                  </w:tcBorders>
                  <w:noWrap w:val="0"/>
                  <w:vAlign w:val="center"/>
                </w:tcPr>
                <w:p w14:paraId="2E36EAAE">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eastAsia" w:ascii="Times New Roman" w:hAnsi="Times New Roman" w:eastAsia="宋体" w:cs="Times New Roman"/>
                      <w:color w:val="auto"/>
                      <w:sz w:val="21"/>
                      <w:szCs w:val="21"/>
                      <w:highlight w:val="none"/>
                      <w:lang w:val="en-US" w:eastAsia="zh-CN"/>
                    </w:rPr>
                  </w:pPr>
                </w:p>
              </w:tc>
              <w:tc>
                <w:tcPr>
                  <w:tcW w:w="1071" w:type="pct"/>
                  <w:tcBorders>
                    <w:tl2br w:val="nil"/>
                    <w:tr2bl w:val="nil"/>
                  </w:tcBorders>
                  <w:noWrap w:val="0"/>
                  <w:vAlign w:val="center"/>
                </w:tcPr>
                <w:p w14:paraId="1F7CDE4E">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HCl</w:t>
                  </w:r>
                </w:p>
              </w:tc>
              <w:tc>
                <w:tcPr>
                  <w:tcW w:w="1006" w:type="pct"/>
                  <w:tcBorders>
                    <w:tl2br w:val="nil"/>
                    <w:tr2bl w:val="nil"/>
                  </w:tcBorders>
                  <w:noWrap w:val="0"/>
                  <w:vAlign w:val="center"/>
                </w:tcPr>
                <w:p w14:paraId="663F62B8">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p>
              </w:tc>
              <w:tc>
                <w:tcPr>
                  <w:tcW w:w="1564" w:type="pct"/>
                  <w:tcBorders>
                    <w:tl2br w:val="nil"/>
                    <w:tr2bl w:val="nil"/>
                  </w:tcBorders>
                  <w:noWrap w:val="0"/>
                  <w:vAlign w:val="center"/>
                </w:tcPr>
                <w:p w14:paraId="2FAA3FE6">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0.096</w:t>
                  </w:r>
                </w:p>
              </w:tc>
            </w:tr>
            <w:tr w14:paraId="41A76BC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38" w:type="pct"/>
                  <w:vMerge w:val="continue"/>
                  <w:tcBorders>
                    <w:tl2br w:val="nil"/>
                    <w:tr2bl w:val="nil"/>
                  </w:tcBorders>
                  <w:noWrap w:val="0"/>
                  <w:vAlign w:val="center"/>
                </w:tcPr>
                <w:p w14:paraId="13C7999D">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p>
              </w:tc>
              <w:tc>
                <w:tcPr>
                  <w:tcW w:w="719" w:type="pct"/>
                  <w:vMerge w:val="continue"/>
                  <w:tcBorders>
                    <w:tl2br w:val="nil"/>
                    <w:tr2bl w:val="nil"/>
                  </w:tcBorders>
                  <w:noWrap w:val="0"/>
                  <w:vAlign w:val="center"/>
                </w:tcPr>
                <w:p w14:paraId="1C220230">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eastAsia" w:ascii="Times New Roman" w:hAnsi="Times New Roman" w:eastAsia="宋体" w:cs="Times New Roman"/>
                      <w:color w:val="auto"/>
                      <w:sz w:val="21"/>
                      <w:szCs w:val="21"/>
                      <w:highlight w:val="none"/>
                      <w:lang w:val="en-US" w:eastAsia="zh-CN"/>
                    </w:rPr>
                  </w:pPr>
                </w:p>
              </w:tc>
              <w:tc>
                <w:tcPr>
                  <w:tcW w:w="1071" w:type="pct"/>
                  <w:tcBorders>
                    <w:tl2br w:val="nil"/>
                    <w:tr2bl w:val="nil"/>
                  </w:tcBorders>
                  <w:noWrap w:val="0"/>
                  <w:vAlign w:val="center"/>
                </w:tcPr>
                <w:p w14:paraId="4E4DC8DA">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非甲烷总烃</w:t>
                  </w:r>
                </w:p>
              </w:tc>
              <w:tc>
                <w:tcPr>
                  <w:tcW w:w="1006" w:type="pct"/>
                  <w:tcBorders>
                    <w:tl2br w:val="nil"/>
                    <w:tr2bl w:val="nil"/>
                  </w:tcBorders>
                  <w:noWrap w:val="0"/>
                  <w:vAlign w:val="center"/>
                </w:tcPr>
                <w:p w14:paraId="5CBD59F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1.7635</w:t>
                  </w:r>
                </w:p>
              </w:tc>
              <w:tc>
                <w:tcPr>
                  <w:tcW w:w="1564" w:type="pct"/>
                  <w:tcBorders>
                    <w:tl2br w:val="nil"/>
                    <w:tr2bl w:val="nil"/>
                  </w:tcBorders>
                  <w:noWrap w:val="0"/>
                  <w:vAlign w:val="center"/>
                </w:tcPr>
                <w:p w14:paraId="24DFC55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0.1636</w:t>
                  </w:r>
                </w:p>
              </w:tc>
            </w:tr>
            <w:tr w14:paraId="18336E4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38" w:type="pct"/>
                  <w:vMerge w:val="continue"/>
                  <w:tcBorders>
                    <w:tl2br w:val="nil"/>
                    <w:tr2bl w:val="nil"/>
                  </w:tcBorders>
                  <w:noWrap w:val="0"/>
                  <w:vAlign w:val="center"/>
                </w:tcPr>
                <w:p w14:paraId="6B92EC84">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p>
              </w:tc>
              <w:tc>
                <w:tcPr>
                  <w:tcW w:w="719" w:type="pct"/>
                  <w:vMerge w:val="continue"/>
                  <w:tcBorders>
                    <w:tl2br w:val="nil"/>
                    <w:tr2bl w:val="nil"/>
                  </w:tcBorders>
                  <w:noWrap w:val="0"/>
                  <w:vAlign w:val="center"/>
                </w:tcPr>
                <w:p w14:paraId="3A45D3A3">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eastAsia" w:ascii="Times New Roman" w:hAnsi="Times New Roman" w:eastAsia="宋体" w:cs="Times New Roman"/>
                      <w:color w:val="auto"/>
                      <w:sz w:val="21"/>
                      <w:szCs w:val="21"/>
                      <w:highlight w:val="none"/>
                      <w:lang w:val="en-US" w:eastAsia="zh-CN"/>
                    </w:rPr>
                  </w:pPr>
                </w:p>
              </w:tc>
              <w:tc>
                <w:tcPr>
                  <w:tcW w:w="1071" w:type="pct"/>
                  <w:tcBorders>
                    <w:tl2br w:val="nil"/>
                    <w:tr2bl w:val="nil"/>
                  </w:tcBorders>
                  <w:noWrap w:val="0"/>
                  <w:vAlign w:val="center"/>
                </w:tcPr>
                <w:p w14:paraId="0B8DD1F6">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铜及其化合物（以Cu计）</w:t>
                  </w:r>
                </w:p>
              </w:tc>
              <w:tc>
                <w:tcPr>
                  <w:tcW w:w="1006" w:type="pct"/>
                  <w:tcBorders>
                    <w:tl2br w:val="nil"/>
                    <w:tr2bl w:val="nil"/>
                  </w:tcBorders>
                  <w:noWrap w:val="0"/>
                  <w:vAlign w:val="center"/>
                </w:tcPr>
                <w:p w14:paraId="7253DB41">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0.011</w:t>
                  </w:r>
                </w:p>
              </w:tc>
              <w:tc>
                <w:tcPr>
                  <w:tcW w:w="1564" w:type="pct"/>
                  <w:tcBorders>
                    <w:tl2br w:val="nil"/>
                    <w:tr2bl w:val="nil"/>
                  </w:tcBorders>
                  <w:noWrap w:val="0"/>
                  <w:vAlign w:val="center"/>
                </w:tcPr>
                <w:p w14:paraId="22510404">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0.00027</w:t>
                  </w:r>
                </w:p>
              </w:tc>
            </w:tr>
            <w:tr w14:paraId="73D5D97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38" w:type="pct"/>
                  <w:vMerge w:val="continue"/>
                  <w:tcBorders>
                    <w:tl2br w:val="nil"/>
                    <w:tr2bl w:val="nil"/>
                  </w:tcBorders>
                  <w:noWrap w:val="0"/>
                  <w:vAlign w:val="center"/>
                </w:tcPr>
                <w:p w14:paraId="12419D69">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p>
              </w:tc>
              <w:tc>
                <w:tcPr>
                  <w:tcW w:w="719" w:type="pct"/>
                  <w:vMerge w:val="continue"/>
                  <w:tcBorders>
                    <w:tl2br w:val="nil"/>
                    <w:tr2bl w:val="nil"/>
                  </w:tcBorders>
                  <w:noWrap w:val="0"/>
                  <w:vAlign w:val="center"/>
                </w:tcPr>
                <w:p w14:paraId="0823445B">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eastAsia" w:ascii="Times New Roman" w:hAnsi="Times New Roman" w:eastAsia="宋体" w:cs="Times New Roman"/>
                      <w:color w:val="auto"/>
                      <w:sz w:val="21"/>
                      <w:szCs w:val="21"/>
                      <w:highlight w:val="none"/>
                      <w:lang w:val="en-US" w:eastAsia="zh-CN"/>
                    </w:rPr>
                  </w:pPr>
                </w:p>
              </w:tc>
              <w:tc>
                <w:tcPr>
                  <w:tcW w:w="1071" w:type="pct"/>
                  <w:tcBorders>
                    <w:tl2br w:val="nil"/>
                    <w:tr2bl w:val="nil"/>
                  </w:tcBorders>
                  <w:noWrap w:val="0"/>
                  <w:vAlign w:val="center"/>
                </w:tcPr>
                <w:p w14:paraId="59DB5EF7">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二噁英类</w:t>
                  </w:r>
                </w:p>
              </w:tc>
              <w:tc>
                <w:tcPr>
                  <w:tcW w:w="1006" w:type="pct"/>
                  <w:tcBorders>
                    <w:tl2br w:val="nil"/>
                    <w:tr2bl w:val="nil"/>
                  </w:tcBorders>
                  <w:noWrap w:val="0"/>
                  <w:vAlign w:val="center"/>
                </w:tcPr>
                <w:p w14:paraId="1897F79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6.5ngTEQ</w:t>
                  </w:r>
                </w:p>
              </w:tc>
              <w:tc>
                <w:tcPr>
                  <w:tcW w:w="1564" w:type="pct"/>
                  <w:tcBorders>
                    <w:tl2br w:val="nil"/>
                    <w:tr2bl w:val="nil"/>
                  </w:tcBorders>
                  <w:noWrap w:val="0"/>
                  <w:vAlign w:val="center"/>
                </w:tcPr>
                <w:p w14:paraId="30B9E5A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w:t>
                  </w:r>
                  <w:r>
                    <w:rPr>
                      <w:rFonts w:hint="eastAsia" w:ascii="Times New Roman" w:hAnsi="Times New Roman" w:eastAsia="宋体" w:cs="Times New Roman"/>
                      <w:color w:val="auto"/>
                      <w:sz w:val="21"/>
                      <w:szCs w:val="21"/>
                      <w:highlight w:val="none"/>
                      <w:lang w:val="en-US" w:eastAsia="zh-CN"/>
                    </w:rPr>
                    <w:t>ngTEQ</w:t>
                  </w:r>
                </w:p>
              </w:tc>
            </w:tr>
            <w:tr w14:paraId="050EA16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38" w:type="pct"/>
                  <w:vMerge w:val="continue"/>
                  <w:tcBorders>
                    <w:tl2br w:val="nil"/>
                    <w:tr2bl w:val="nil"/>
                  </w:tcBorders>
                  <w:noWrap w:val="0"/>
                  <w:vAlign w:val="center"/>
                </w:tcPr>
                <w:p w14:paraId="30373511">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p>
              </w:tc>
              <w:tc>
                <w:tcPr>
                  <w:tcW w:w="719" w:type="pct"/>
                  <w:vMerge w:val="restart"/>
                  <w:tcBorders>
                    <w:tl2br w:val="nil"/>
                    <w:tr2bl w:val="nil"/>
                  </w:tcBorders>
                  <w:noWrap w:val="0"/>
                  <w:vAlign w:val="center"/>
                </w:tcPr>
                <w:p w14:paraId="3AF9B440">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无组织</w:t>
                  </w:r>
                </w:p>
              </w:tc>
              <w:tc>
                <w:tcPr>
                  <w:tcW w:w="1071" w:type="pct"/>
                  <w:tcBorders>
                    <w:tl2br w:val="nil"/>
                    <w:tr2bl w:val="nil"/>
                  </w:tcBorders>
                  <w:noWrap w:val="0"/>
                  <w:vAlign w:val="center"/>
                </w:tcPr>
                <w:p w14:paraId="36D77C1E">
                  <w:pPr>
                    <w:pStyle w:val="704"/>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颗粒物</w:t>
                  </w:r>
                </w:p>
              </w:tc>
              <w:tc>
                <w:tcPr>
                  <w:tcW w:w="1006" w:type="pct"/>
                  <w:tcBorders>
                    <w:tl2br w:val="nil"/>
                    <w:tr2bl w:val="nil"/>
                  </w:tcBorders>
                  <w:noWrap w:val="0"/>
                  <w:vAlign w:val="center"/>
                </w:tcPr>
                <w:p w14:paraId="58061048">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0.052</w:t>
                  </w:r>
                </w:p>
              </w:tc>
              <w:tc>
                <w:tcPr>
                  <w:tcW w:w="1564" w:type="pct"/>
                  <w:tcBorders>
                    <w:tl2br w:val="nil"/>
                    <w:tr2bl w:val="nil"/>
                  </w:tcBorders>
                  <w:noWrap w:val="0"/>
                  <w:vAlign w:val="center"/>
                </w:tcPr>
                <w:p w14:paraId="77EE991A">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2C39DB5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38" w:type="pct"/>
                  <w:vMerge w:val="continue"/>
                  <w:tcBorders>
                    <w:tl2br w:val="nil"/>
                    <w:tr2bl w:val="nil"/>
                  </w:tcBorders>
                  <w:noWrap w:val="0"/>
                  <w:vAlign w:val="center"/>
                </w:tcPr>
                <w:p w14:paraId="54244A4B">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p>
              </w:tc>
              <w:tc>
                <w:tcPr>
                  <w:tcW w:w="719" w:type="pct"/>
                  <w:vMerge w:val="continue"/>
                  <w:tcBorders>
                    <w:tl2br w:val="nil"/>
                    <w:tr2bl w:val="nil"/>
                  </w:tcBorders>
                  <w:noWrap w:val="0"/>
                  <w:vAlign w:val="center"/>
                </w:tcPr>
                <w:p w14:paraId="33D2AF26">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eastAsia" w:ascii="Times New Roman" w:hAnsi="Times New Roman" w:eastAsia="宋体"/>
                      <w:color w:val="auto"/>
                      <w:sz w:val="21"/>
                      <w:szCs w:val="21"/>
                      <w:highlight w:val="none"/>
                      <w:lang w:val="en-US" w:eastAsia="zh-CN"/>
                    </w:rPr>
                  </w:pPr>
                </w:p>
              </w:tc>
              <w:tc>
                <w:tcPr>
                  <w:tcW w:w="1071" w:type="pct"/>
                  <w:tcBorders>
                    <w:tl2br w:val="nil"/>
                    <w:tr2bl w:val="nil"/>
                  </w:tcBorders>
                  <w:noWrap w:val="0"/>
                  <w:vAlign w:val="center"/>
                </w:tcPr>
                <w:p w14:paraId="5DF491BE">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olor w:val="auto"/>
                      <w:sz w:val="21"/>
                      <w:szCs w:val="21"/>
                      <w:highlight w:val="none"/>
                    </w:rPr>
                    <w:t>非甲烷总烃</w:t>
                  </w:r>
                </w:p>
              </w:tc>
              <w:tc>
                <w:tcPr>
                  <w:tcW w:w="1006" w:type="pct"/>
                  <w:tcBorders>
                    <w:tl2br w:val="nil"/>
                    <w:tr2bl w:val="nil"/>
                  </w:tcBorders>
                  <w:noWrap w:val="0"/>
                  <w:vAlign w:val="center"/>
                </w:tcPr>
                <w:p w14:paraId="54D3438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78</w:t>
                  </w:r>
                </w:p>
              </w:tc>
              <w:tc>
                <w:tcPr>
                  <w:tcW w:w="1564" w:type="pct"/>
                  <w:tcBorders>
                    <w:tl2br w:val="nil"/>
                    <w:tr2bl w:val="nil"/>
                  </w:tcBorders>
                  <w:noWrap w:val="0"/>
                  <w:vAlign w:val="center"/>
                </w:tcPr>
                <w:p w14:paraId="5D770CD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40E850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38" w:type="pct"/>
                  <w:vMerge w:val="restart"/>
                  <w:tcBorders>
                    <w:tl2br w:val="nil"/>
                    <w:tr2bl w:val="nil"/>
                  </w:tcBorders>
                  <w:noWrap w:val="0"/>
                  <w:vAlign w:val="center"/>
                </w:tcPr>
                <w:p w14:paraId="37056676">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1790" w:type="pct"/>
                  <w:gridSpan w:val="2"/>
                  <w:tcBorders>
                    <w:tl2br w:val="nil"/>
                    <w:tr2bl w:val="nil"/>
                  </w:tcBorders>
                  <w:noWrap w:val="0"/>
                  <w:vAlign w:val="center"/>
                </w:tcPr>
                <w:p w14:paraId="5A41D745">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006" w:type="pct"/>
                  <w:tcBorders>
                    <w:tl2br w:val="nil"/>
                    <w:tr2bl w:val="nil"/>
                  </w:tcBorders>
                  <w:noWrap w:val="0"/>
                  <w:vAlign w:val="center"/>
                </w:tcPr>
                <w:p w14:paraId="2DE2B831">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1564" w:type="pct"/>
                  <w:tcBorders>
                    <w:tl2br w:val="nil"/>
                    <w:tr2bl w:val="nil"/>
                  </w:tcBorders>
                  <w:noWrap w:val="0"/>
                  <w:vAlign w:val="center"/>
                </w:tcPr>
                <w:p w14:paraId="23FB284D">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r>
            <w:tr w14:paraId="7BEE8A2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38" w:type="pct"/>
                  <w:vMerge w:val="continue"/>
                  <w:tcBorders>
                    <w:tl2br w:val="nil"/>
                    <w:tr2bl w:val="nil"/>
                  </w:tcBorders>
                  <w:noWrap w:val="0"/>
                  <w:vAlign w:val="center"/>
                </w:tcPr>
                <w:p w14:paraId="30EAD7E8">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p>
              </w:tc>
              <w:tc>
                <w:tcPr>
                  <w:tcW w:w="1790" w:type="pct"/>
                  <w:gridSpan w:val="2"/>
                  <w:tcBorders>
                    <w:tl2br w:val="nil"/>
                    <w:tr2bl w:val="nil"/>
                  </w:tcBorders>
                  <w:noWrap w:val="0"/>
                  <w:vAlign w:val="center"/>
                </w:tcPr>
                <w:p w14:paraId="423E0FEE">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w:t>
                  </w:r>
                </w:p>
              </w:tc>
              <w:tc>
                <w:tcPr>
                  <w:tcW w:w="1006" w:type="pct"/>
                  <w:tcBorders>
                    <w:tl2br w:val="nil"/>
                    <w:tr2bl w:val="nil"/>
                  </w:tcBorders>
                  <w:noWrap w:val="0"/>
                  <w:vAlign w:val="center"/>
                </w:tcPr>
                <w:p w14:paraId="2B4DE06A">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1564" w:type="pct"/>
                  <w:tcBorders>
                    <w:tl2br w:val="nil"/>
                    <w:tr2bl w:val="nil"/>
                  </w:tcBorders>
                  <w:noWrap w:val="0"/>
                  <w:vAlign w:val="center"/>
                </w:tcPr>
                <w:p w14:paraId="67F74096">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r>
            <w:tr w14:paraId="6B67431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38" w:type="pct"/>
                  <w:vMerge w:val="continue"/>
                  <w:tcBorders>
                    <w:tl2br w:val="nil"/>
                    <w:tr2bl w:val="nil"/>
                  </w:tcBorders>
                  <w:noWrap w:val="0"/>
                  <w:vAlign w:val="center"/>
                </w:tcPr>
                <w:p w14:paraId="2E1BF53B">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p>
              </w:tc>
              <w:tc>
                <w:tcPr>
                  <w:tcW w:w="1790" w:type="pct"/>
                  <w:gridSpan w:val="2"/>
                  <w:tcBorders>
                    <w:tl2br w:val="nil"/>
                    <w:tr2bl w:val="nil"/>
                  </w:tcBorders>
                  <w:noWrap w:val="0"/>
                  <w:vAlign w:val="center"/>
                </w:tcPr>
                <w:p w14:paraId="3284A486">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危险固废</w:t>
                  </w:r>
                </w:p>
              </w:tc>
              <w:tc>
                <w:tcPr>
                  <w:tcW w:w="1006" w:type="pct"/>
                  <w:tcBorders>
                    <w:tl2br w:val="nil"/>
                    <w:tr2bl w:val="nil"/>
                  </w:tcBorders>
                  <w:noWrap w:val="0"/>
                  <w:vAlign w:val="center"/>
                </w:tcPr>
                <w:p w14:paraId="62EAB4F9">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1564" w:type="pct"/>
                  <w:tcBorders>
                    <w:tl2br w:val="nil"/>
                    <w:tr2bl w:val="nil"/>
                  </w:tcBorders>
                  <w:noWrap w:val="0"/>
                  <w:vAlign w:val="center"/>
                </w:tcPr>
                <w:p w14:paraId="486AAA44">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r>
          </w:tbl>
          <w:p w14:paraId="66C6A371">
            <w:pPr>
              <w:rPr>
                <w:color w:val="auto"/>
                <w:vertAlign w:val="baseline"/>
              </w:rPr>
            </w:pPr>
          </w:p>
        </w:tc>
      </w:tr>
    </w:tbl>
    <w:p w14:paraId="42C0EAD9">
      <w:pPr>
        <w:rPr>
          <w:color w:val="auto"/>
        </w:rPr>
        <w:sectPr>
          <w:pgSz w:w="16840" w:h="11907" w:orient="landscape"/>
          <w:pgMar w:top="1361" w:right="1418" w:bottom="1361" w:left="1418" w:header="851" w:footer="851" w:gutter="0"/>
          <w:pgBorders>
            <w:top w:val="none" w:sz="0" w:space="0"/>
            <w:left w:val="none" w:sz="0" w:space="0"/>
            <w:bottom w:val="none" w:sz="0" w:space="0"/>
            <w:right w:val="none" w:sz="0" w:space="0"/>
          </w:pgBorders>
          <w:cols w:space="720" w:num="1"/>
          <w:docGrid w:linePitch="312" w:charSpace="0"/>
        </w:sectPr>
      </w:pP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8723"/>
      </w:tblGrid>
      <w:tr w14:paraId="1FD7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45" w:hRule="atLeast"/>
        </w:trPr>
        <w:tc>
          <w:tcPr>
            <w:tcW w:w="678" w:type="dxa"/>
            <w:vAlign w:val="center"/>
          </w:tcPr>
          <w:p w14:paraId="7CE85BF7">
            <w:pPr>
              <w:keepNext w:val="0"/>
              <w:keepLines w:val="0"/>
              <w:pageBreakBefore w:val="0"/>
              <w:widowControl w:val="0"/>
              <w:kinsoku/>
              <w:wordWrap/>
              <w:overflowPunct/>
              <w:topLinePunct w:val="0"/>
              <w:autoSpaceDE/>
              <w:autoSpaceDN/>
              <w:bidi w:val="0"/>
              <w:adjustRightInd w:val="0"/>
              <w:snapToGrid w:val="0"/>
              <w:jc w:val="center"/>
              <w:textAlignment w:val="auto"/>
              <w:rPr>
                <w:color w:val="auto"/>
                <w:vertAlign w:val="baseline"/>
              </w:rPr>
            </w:pPr>
            <w:r>
              <w:rPr>
                <w:b/>
                <w:bCs/>
                <w:color w:val="auto"/>
                <w:sz w:val="21"/>
                <w:szCs w:val="21"/>
              </w:rPr>
              <w:t>与项目有关的原有环境污染问题</w:t>
            </w:r>
          </w:p>
        </w:tc>
        <w:tc>
          <w:tcPr>
            <w:tcW w:w="8723" w:type="dxa"/>
          </w:tcPr>
          <w:p w14:paraId="3245D372">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5</w:t>
            </w:r>
            <w:r>
              <w:rPr>
                <w:rFonts w:hint="eastAsia" w:ascii="Times New Roman" w:hAnsi="Times New Roman" w:eastAsia="宋体" w:cs="Times New Roman"/>
                <w:b/>
                <w:bCs/>
                <w:color w:val="auto"/>
                <w:kern w:val="2"/>
                <w:sz w:val="21"/>
                <w:szCs w:val="21"/>
                <w:highlight w:val="none"/>
                <w:lang w:val="en-US" w:eastAsia="zh-CN" w:bidi="ar-SA"/>
              </w:rPr>
              <w:t>、现有项目环境问题</w:t>
            </w:r>
          </w:p>
          <w:p w14:paraId="7D4E6F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（1）环保手续履行情况</w:t>
            </w:r>
          </w:p>
          <w:p w14:paraId="2019D8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①现有项目“</w:t>
            </w:r>
            <w:r>
              <w:rPr>
                <w:color w:val="auto"/>
              </w:rPr>
              <w:t>奥托立夫（中国）汽车安全零部件有限公司气体发生器生产线建设项目环境影响报告书</w:t>
            </w:r>
            <w:r>
              <w:rPr>
                <w:rFonts w:hint="eastAsia" w:cs="Times New Roman"/>
                <w:b w:val="0"/>
                <w:bCs/>
                <w:color w:val="auto"/>
                <w:sz w:val="21"/>
                <w:szCs w:val="21"/>
                <w:highlight w:val="none"/>
                <w:lang w:val="en-US" w:eastAsia="zh-CN"/>
              </w:rPr>
              <w:t>”</w:t>
            </w:r>
            <w:r>
              <w:rPr>
                <w:rFonts w:hint="eastAsia" w:ascii="Times New Roman" w:hAnsi="Times New Roman" w:cs="Times New Roman"/>
                <w:color w:val="auto"/>
                <w:sz w:val="21"/>
                <w:szCs w:val="21"/>
                <w:lang w:val="en-US" w:eastAsia="zh-CN"/>
              </w:rPr>
              <w:t>于</w:t>
            </w:r>
            <w:r>
              <w:rPr>
                <w:rFonts w:hint="default" w:ascii="Times New Roman" w:hAnsi="Times New Roman" w:cs="Times New Roman"/>
                <w:color w:val="auto"/>
                <w:sz w:val="21"/>
                <w:szCs w:val="21"/>
              </w:rPr>
              <w:t>20</w:t>
            </w: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2</w:t>
            </w:r>
            <w:r>
              <w:rPr>
                <w:rFonts w:hint="default" w:ascii="Times New Roman" w:hAnsi="Times New Roman" w:cs="Times New Roman"/>
                <w:color w:val="auto"/>
                <w:sz w:val="21"/>
                <w:szCs w:val="21"/>
              </w:rPr>
              <w:t>年</w:t>
            </w:r>
            <w:r>
              <w:rPr>
                <w:rFonts w:hint="eastAsia" w:cs="Times New Roman"/>
                <w:color w:val="auto"/>
                <w:sz w:val="21"/>
                <w:szCs w:val="21"/>
                <w:lang w:val="en-US" w:eastAsia="zh-CN"/>
              </w:rPr>
              <w:t>4</w:t>
            </w:r>
            <w:r>
              <w:rPr>
                <w:rFonts w:hint="default" w:ascii="Times New Roman" w:hAnsi="Times New Roman" w:cs="Times New Roman"/>
                <w:color w:val="auto"/>
                <w:sz w:val="21"/>
                <w:szCs w:val="21"/>
              </w:rPr>
              <w:t>月</w:t>
            </w:r>
            <w:r>
              <w:rPr>
                <w:rFonts w:hint="eastAsia" w:cs="Times New Roman"/>
                <w:color w:val="auto"/>
                <w:sz w:val="21"/>
                <w:szCs w:val="21"/>
                <w:lang w:val="en-US" w:eastAsia="zh-CN"/>
              </w:rPr>
              <w:t>20</w:t>
            </w:r>
            <w:r>
              <w:rPr>
                <w:rFonts w:hint="default" w:ascii="Times New Roman" w:hAnsi="Times New Roman" w:cs="Times New Roman"/>
                <w:color w:val="auto"/>
                <w:sz w:val="21"/>
                <w:szCs w:val="21"/>
              </w:rPr>
              <w:t>日通过</w:t>
            </w:r>
            <w:r>
              <w:rPr>
                <w:rFonts w:hint="eastAsia" w:cs="Times New Roman"/>
                <w:color w:val="auto"/>
                <w:sz w:val="21"/>
                <w:szCs w:val="21"/>
                <w:lang w:val="en-US" w:eastAsia="zh-CN"/>
              </w:rPr>
              <w:t>原</w:t>
            </w:r>
            <w:r>
              <w:rPr>
                <w:rFonts w:hint="eastAsia" w:ascii="Times New Roman" w:hAnsi="Times New Roman" w:cs="Times New Roman"/>
                <w:color w:val="auto"/>
                <w:sz w:val="21"/>
                <w:szCs w:val="21"/>
                <w:lang w:val="en-US" w:eastAsia="zh-CN"/>
              </w:rPr>
              <w:t>金坛</w:t>
            </w:r>
            <w:r>
              <w:rPr>
                <w:rFonts w:hint="eastAsia" w:cs="Times New Roman"/>
                <w:color w:val="auto"/>
                <w:sz w:val="21"/>
                <w:szCs w:val="21"/>
                <w:lang w:val="en-US" w:eastAsia="zh-CN"/>
              </w:rPr>
              <w:t>市</w:t>
            </w:r>
            <w:r>
              <w:rPr>
                <w:rFonts w:hint="eastAsia" w:ascii="Times New Roman" w:hAnsi="Times New Roman" w:cs="Times New Roman"/>
                <w:color w:val="auto"/>
                <w:sz w:val="21"/>
                <w:szCs w:val="21"/>
                <w:lang w:val="en-US" w:eastAsia="zh-CN"/>
              </w:rPr>
              <w:t>环境保护局审批</w:t>
            </w:r>
            <w:r>
              <w:rPr>
                <w:rFonts w:hint="eastAsia" w:cs="Times New Roman"/>
                <w:color w:val="auto"/>
                <w:sz w:val="21"/>
                <w:szCs w:val="21"/>
                <w:lang w:val="en-US" w:eastAsia="zh-CN"/>
              </w:rPr>
              <w:t>，并于2018年6月1日完成项目竣工环保自主验收；“奥托立夫（江苏）汽车安全零部件有限公司气体发生器生产线建设项目环境影响评价修编报告”</w:t>
            </w:r>
            <w:r>
              <w:rPr>
                <w:rFonts w:hint="eastAsia" w:ascii="Times New Roman" w:hAnsi="Times New Roman" w:cs="Times New Roman"/>
                <w:color w:val="auto"/>
                <w:sz w:val="21"/>
                <w:szCs w:val="21"/>
                <w:lang w:val="en-US" w:eastAsia="zh-CN"/>
              </w:rPr>
              <w:t>于</w:t>
            </w:r>
            <w:r>
              <w:rPr>
                <w:rFonts w:hint="default" w:ascii="Times New Roman" w:hAnsi="Times New Roman" w:cs="Times New Roman"/>
                <w:color w:val="auto"/>
                <w:sz w:val="21"/>
                <w:szCs w:val="21"/>
              </w:rPr>
              <w:t>20</w:t>
            </w: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3</w:t>
            </w:r>
            <w:r>
              <w:rPr>
                <w:rFonts w:hint="default" w:ascii="Times New Roman" w:hAnsi="Times New Roman" w:cs="Times New Roman"/>
                <w:color w:val="auto"/>
                <w:sz w:val="21"/>
                <w:szCs w:val="21"/>
              </w:rPr>
              <w:t>年</w:t>
            </w:r>
            <w:r>
              <w:rPr>
                <w:rFonts w:hint="eastAsia" w:cs="Times New Roman"/>
                <w:color w:val="auto"/>
                <w:sz w:val="21"/>
                <w:szCs w:val="21"/>
                <w:lang w:val="en-US" w:eastAsia="zh-CN"/>
              </w:rPr>
              <w:t>4</w:t>
            </w:r>
            <w:r>
              <w:rPr>
                <w:rFonts w:hint="default" w:ascii="Times New Roman" w:hAnsi="Times New Roman" w:cs="Times New Roman"/>
                <w:color w:val="auto"/>
                <w:sz w:val="21"/>
                <w:szCs w:val="21"/>
              </w:rPr>
              <w:t>月</w:t>
            </w:r>
            <w:r>
              <w:rPr>
                <w:rFonts w:hint="eastAsia" w:cs="Times New Roman"/>
                <w:color w:val="auto"/>
                <w:sz w:val="21"/>
                <w:szCs w:val="21"/>
                <w:lang w:val="en-US" w:eastAsia="zh-CN"/>
              </w:rPr>
              <w:t>19</w:t>
            </w:r>
            <w:r>
              <w:rPr>
                <w:rFonts w:hint="default" w:ascii="Times New Roman" w:hAnsi="Times New Roman" w:cs="Times New Roman"/>
                <w:color w:val="auto"/>
                <w:sz w:val="21"/>
                <w:szCs w:val="21"/>
              </w:rPr>
              <w:t>日通过</w:t>
            </w:r>
            <w:r>
              <w:rPr>
                <w:rFonts w:hint="eastAsia" w:cs="Times New Roman"/>
                <w:color w:val="auto"/>
                <w:sz w:val="21"/>
                <w:szCs w:val="21"/>
                <w:lang w:val="en-US" w:eastAsia="zh-CN"/>
              </w:rPr>
              <w:t>原</w:t>
            </w:r>
            <w:r>
              <w:rPr>
                <w:rFonts w:hint="eastAsia" w:ascii="Times New Roman" w:hAnsi="Times New Roman" w:cs="Times New Roman"/>
                <w:color w:val="auto"/>
                <w:sz w:val="21"/>
                <w:szCs w:val="21"/>
                <w:lang w:val="en-US" w:eastAsia="zh-CN"/>
              </w:rPr>
              <w:t>金坛</w:t>
            </w:r>
            <w:r>
              <w:rPr>
                <w:rFonts w:hint="eastAsia" w:cs="Times New Roman"/>
                <w:color w:val="auto"/>
                <w:sz w:val="21"/>
                <w:szCs w:val="21"/>
                <w:lang w:val="en-US" w:eastAsia="zh-CN"/>
              </w:rPr>
              <w:t>市</w:t>
            </w:r>
            <w:r>
              <w:rPr>
                <w:rFonts w:hint="eastAsia" w:ascii="Times New Roman" w:hAnsi="Times New Roman" w:cs="Times New Roman"/>
                <w:color w:val="auto"/>
                <w:sz w:val="21"/>
                <w:szCs w:val="21"/>
                <w:lang w:val="en-US" w:eastAsia="zh-CN"/>
              </w:rPr>
              <w:t>环境保护局审批</w:t>
            </w:r>
            <w:r>
              <w:rPr>
                <w:rFonts w:hint="eastAsia" w:cs="Times New Roman"/>
                <w:color w:val="auto"/>
                <w:sz w:val="21"/>
                <w:szCs w:val="21"/>
                <w:lang w:val="en-US" w:eastAsia="zh-CN"/>
              </w:rPr>
              <w:t>、“</w:t>
            </w:r>
            <w:r>
              <w:rPr>
                <w:color w:val="auto"/>
              </w:rPr>
              <w:t>奥托立夫（江苏）汽车安全零部件有限公司气体发生器生产线建设项目环境影响评价二次修编报告</w:t>
            </w:r>
            <w:r>
              <w:rPr>
                <w:rFonts w:hint="eastAsia" w:cs="Times New Roman"/>
                <w:color w:val="auto"/>
                <w:sz w:val="21"/>
                <w:szCs w:val="21"/>
                <w:lang w:val="en-US" w:eastAsia="zh-CN"/>
              </w:rPr>
              <w:t>”于2014年11月17日通过原金坛市环境保护局审批，并于2017年5月2日完成项目竣工环保自主验收；“</w:t>
            </w:r>
            <w:r>
              <w:rPr>
                <w:color w:val="auto"/>
              </w:rPr>
              <w:t>新建生产汽车安全气囊气体发生器点火具、汽车安全带预紧器MGG用点火具项目环境影响报告书</w:t>
            </w:r>
            <w:r>
              <w:rPr>
                <w:rFonts w:hint="eastAsia" w:cs="Times New Roman"/>
                <w:color w:val="auto"/>
                <w:sz w:val="21"/>
                <w:szCs w:val="21"/>
                <w:lang w:val="en-US" w:eastAsia="zh-CN"/>
              </w:rPr>
              <w:t>”于2015年12月16日通过原常州市金坛区环境保护局审批，并于2016年8月10日、2017年4月13日分别通过竣工验收；“</w:t>
            </w:r>
            <w:r>
              <w:rPr>
                <w:color w:val="auto"/>
              </w:rPr>
              <w:t>奥托立夫（江苏）汽车安全零部件有限公司安全气囊用气体发生器壳体清洗工序项目环境影响报告表</w:t>
            </w:r>
            <w:r>
              <w:rPr>
                <w:rFonts w:hint="eastAsia" w:cs="Times New Roman"/>
                <w:color w:val="auto"/>
                <w:sz w:val="21"/>
                <w:szCs w:val="21"/>
                <w:lang w:val="en-US" w:eastAsia="zh-CN"/>
              </w:rPr>
              <w:t>”于2017年10月12日通过原常州市金坛区环境保护局审批，并于2018年10月20日完成项目竣工环保自主验收；“</w:t>
            </w:r>
            <w:r>
              <w:rPr>
                <w:color w:val="auto"/>
              </w:rPr>
              <w:t>2017综合技术改造项目环境影响报告书</w:t>
            </w:r>
            <w:r>
              <w:rPr>
                <w:rFonts w:hint="eastAsia" w:cs="Times New Roman"/>
                <w:color w:val="auto"/>
                <w:sz w:val="21"/>
                <w:szCs w:val="21"/>
                <w:lang w:val="en-US" w:eastAsia="zh-CN"/>
              </w:rPr>
              <w:t>”于2018年3月28日通过原常州市环境保护局审批，并于2021年5月28日通过部分自主验收；“</w:t>
            </w:r>
            <w:r>
              <w:rPr>
                <w:color w:val="auto"/>
              </w:rPr>
              <w:t>奥托立夫（江苏）汽车安全零部件有限公司年产4700万件气体发生器生产配套项目环境影响报告书</w:t>
            </w:r>
            <w:r>
              <w:rPr>
                <w:rFonts w:hint="eastAsia" w:cs="Times New Roman"/>
                <w:color w:val="auto"/>
                <w:sz w:val="21"/>
                <w:szCs w:val="21"/>
                <w:lang w:val="en-US" w:eastAsia="zh-CN"/>
              </w:rPr>
              <w:t>”于2023年2月27日通过常州市生态环境局审批，并于2024年8月15日完成项目竣工环保自主验收。综上，现有项目已建工程均已完成环保和验收手续。</w:t>
            </w:r>
          </w:p>
          <w:p w14:paraId="24B346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②现有项目已取得排污许可证（</w:t>
            </w:r>
            <w:r>
              <w:rPr>
                <w:rFonts w:hint="eastAsia"/>
                <w:color w:val="auto"/>
              </w:rPr>
              <w:t>证书编号：9132041358845730XQ001C</w:t>
            </w:r>
            <w:r>
              <w:rPr>
                <w:rFonts w:hint="eastAsia"/>
                <w:color w:val="auto"/>
                <w:sz w:val="21"/>
                <w:szCs w:val="21"/>
                <w:highlight w:val="none"/>
                <w:lang w:eastAsia="zh-CN"/>
              </w:rPr>
              <w:t>，</w:t>
            </w:r>
            <w:r>
              <w:rPr>
                <w:rFonts w:hint="eastAsia"/>
                <w:color w:val="auto"/>
                <w:sz w:val="21"/>
                <w:szCs w:val="21"/>
                <w:highlight w:val="none"/>
                <w:lang w:val="en-US" w:eastAsia="zh-CN"/>
              </w:rPr>
              <w:t>自2024年06月07日至2029年06月06日止</w:t>
            </w:r>
            <w:r>
              <w:rPr>
                <w:rFonts w:hint="eastAsia" w:cs="Times New Roman"/>
                <w:b w:val="0"/>
                <w:bCs/>
                <w:color w:val="auto"/>
                <w:sz w:val="21"/>
                <w:szCs w:val="21"/>
                <w:highlight w:val="none"/>
                <w:lang w:val="en-US" w:eastAsia="zh-CN"/>
              </w:rPr>
              <w:t>），在有效期范围内。</w:t>
            </w:r>
          </w:p>
          <w:p w14:paraId="755AF1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③建设单位已按要求编制《突发环境事件应急预案》并进行备案（备案号：</w:t>
            </w:r>
            <w:r>
              <w:rPr>
                <w:color w:val="auto"/>
              </w:rPr>
              <w:t>320482-202</w:t>
            </w:r>
            <w:r>
              <w:rPr>
                <w:rFonts w:hint="eastAsia"/>
                <w:color w:val="auto"/>
              </w:rPr>
              <w:t>2</w:t>
            </w:r>
            <w:r>
              <w:rPr>
                <w:color w:val="auto"/>
              </w:rPr>
              <w:t>-</w:t>
            </w:r>
            <w:r>
              <w:rPr>
                <w:rFonts w:hint="eastAsia"/>
                <w:color w:val="auto"/>
              </w:rPr>
              <w:t>305</w:t>
            </w:r>
            <w:r>
              <w:rPr>
                <w:color w:val="auto"/>
              </w:rPr>
              <w:t>L</w:t>
            </w:r>
            <w:r>
              <w:rPr>
                <w:rFonts w:hint="eastAsia" w:cs="Times New Roman"/>
                <w:b w:val="0"/>
                <w:bCs/>
                <w:color w:val="auto"/>
                <w:sz w:val="21"/>
                <w:szCs w:val="21"/>
                <w:highlight w:val="none"/>
                <w:lang w:val="en-US" w:eastAsia="zh-CN"/>
              </w:rPr>
              <w:t>）</w:t>
            </w:r>
          </w:p>
          <w:p w14:paraId="45162C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环境管理情况</w:t>
            </w:r>
          </w:p>
          <w:p w14:paraId="06E9AAB2">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①建设单位</w:t>
            </w:r>
            <w:r>
              <w:rPr>
                <w:rFonts w:hint="default" w:ascii="Times New Roman" w:hAnsi="Times New Roman" w:eastAsia="宋体" w:cs="Times New Roman"/>
                <w:color w:val="auto"/>
                <w:sz w:val="21"/>
                <w:szCs w:val="21"/>
                <w:highlight w:val="none"/>
              </w:rPr>
              <w:t>仅职工生活污水</w:t>
            </w:r>
            <w:r>
              <w:rPr>
                <w:rFonts w:hint="eastAsia" w:cs="Times New Roman"/>
                <w:color w:val="auto"/>
                <w:sz w:val="21"/>
                <w:szCs w:val="21"/>
                <w:highlight w:val="none"/>
                <w:lang w:val="en-US" w:eastAsia="zh-CN"/>
              </w:rPr>
              <w:t>接管至常州市金坛区茅东污水处理厂集中处理</w:t>
            </w:r>
            <w:r>
              <w:rPr>
                <w:rFonts w:hint="default" w:ascii="Times New Roman" w:hAnsi="Times New Roman" w:eastAsia="宋体" w:cs="Times New Roman"/>
                <w:color w:val="auto"/>
                <w:sz w:val="21"/>
                <w:szCs w:val="21"/>
                <w:highlight w:val="none"/>
              </w:rPr>
              <w:t>；</w:t>
            </w:r>
          </w:p>
          <w:p w14:paraId="64503862">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rPr>
              <w:t>高噪声设备经合理布局、消声、减振、厂房隔声及距离衰减后，各厂界噪声均可达标排放；</w:t>
            </w:r>
          </w:p>
          <w:p w14:paraId="1B757352">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③</w:t>
            </w:r>
            <w:r>
              <w:rPr>
                <w:rFonts w:hint="eastAsia" w:ascii="Times New Roman" w:hAnsi="Times New Roman" w:eastAsia="宋体" w:cs="Times New Roman"/>
                <w:color w:val="auto"/>
                <w:sz w:val="21"/>
                <w:szCs w:val="21"/>
                <w:highlight w:val="none"/>
                <w:lang w:val="en-US" w:eastAsia="zh-CN"/>
              </w:rPr>
              <w:t>现有项目危险废物</w:t>
            </w:r>
            <w:r>
              <w:rPr>
                <w:rFonts w:hint="default" w:ascii="Times New Roman" w:hAnsi="Times New Roman" w:eastAsia="宋体" w:cs="Times New Roman"/>
                <w:color w:val="auto"/>
                <w:sz w:val="21"/>
                <w:szCs w:val="21"/>
                <w:highlight w:val="none"/>
              </w:rPr>
              <w:t>、一般固废分别暂存于危废仓库、一般固废仓库，一般固废合同、危废合同已签订处置协议，合同在有限期范围内，已设置危废台账等，</w:t>
            </w:r>
            <w:r>
              <w:rPr>
                <w:rFonts w:hint="eastAsia" w:ascii="Times New Roman" w:hAnsi="Times New Roman" w:eastAsia="宋体" w:cs="Times New Roman"/>
                <w:color w:val="auto"/>
                <w:sz w:val="21"/>
                <w:szCs w:val="21"/>
                <w:highlight w:val="none"/>
                <w:lang w:val="en-US" w:eastAsia="zh-CN"/>
              </w:rPr>
              <w:t>固体废物</w:t>
            </w:r>
            <w:r>
              <w:rPr>
                <w:rFonts w:hint="default" w:ascii="Times New Roman" w:hAnsi="Times New Roman" w:eastAsia="宋体" w:cs="Times New Roman"/>
                <w:color w:val="auto"/>
                <w:sz w:val="21"/>
                <w:szCs w:val="21"/>
                <w:highlight w:val="none"/>
              </w:rPr>
              <w:t>均可得到妥善处置</w:t>
            </w:r>
            <w:r>
              <w:rPr>
                <w:rFonts w:hint="eastAsia" w:ascii="Times New Roman" w:hAnsi="Times New Roman" w:eastAsia="宋体" w:cs="Times New Roman"/>
                <w:color w:val="auto"/>
                <w:sz w:val="21"/>
                <w:szCs w:val="21"/>
                <w:highlight w:val="none"/>
                <w:lang w:eastAsia="zh-CN"/>
              </w:rPr>
              <w:t>；</w:t>
            </w:r>
          </w:p>
          <w:p w14:paraId="3B5D3D72">
            <w:pPr>
              <w:pStyle w:val="7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④现有项目运营至今未发生过厂群纠纷，没有扰民等环境问题存在，未发生环保方面投诉或环保事故。</w:t>
            </w:r>
          </w:p>
          <w:p w14:paraId="2C9A67A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b/>
                <w:bCs/>
                <w:color w:val="auto"/>
                <w:vertAlign w:val="baseline"/>
                <w:lang w:val="en-US" w:eastAsia="zh-CN"/>
              </w:rPr>
            </w:pPr>
            <w:r>
              <w:rPr>
                <w:rFonts w:hint="eastAsia"/>
                <w:b/>
                <w:bCs/>
                <w:color w:val="auto"/>
                <w:vertAlign w:val="baseline"/>
                <w:lang w:val="en-US" w:eastAsia="zh-CN"/>
              </w:rPr>
              <w:t>6、以新带老措施</w:t>
            </w:r>
          </w:p>
          <w:p w14:paraId="686C9D36">
            <w:pPr>
              <w:pStyle w:val="5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default"/>
                <w:lang w:val="en-US" w:eastAsia="zh-CN"/>
              </w:rPr>
            </w:pPr>
            <w:r>
              <w:rPr>
                <w:rFonts w:hint="eastAsia" w:ascii="Times New Roman" w:hAnsi="Times New Roman" w:eastAsia="宋体" w:cs="Times New Roman"/>
                <w:snapToGrid w:val="0"/>
                <w:color w:val="auto"/>
                <w:kern w:val="2"/>
                <w:sz w:val="21"/>
                <w:szCs w:val="21"/>
                <w:highlight w:val="none"/>
                <w:lang w:val="en-US" w:eastAsia="zh-CN" w:bidi="ar-SA"/>
              </w:rPr>
              <w:t>现有项目无历史遗留环境问题，无需以新带老措施。</w:t>
            </w:r>
          </w:p>
        </w:tc>
      </w:tr>
    </w:tbl>
    <w:p w14:paraId="3A84F9BB">
      <w:pPr>
        <w:pStyle w:val="55"/>
        <w:keepNext w:val="0"/>
        <w:keepLines w:val="0"/>
        <w:pageBreakBefore w:val="0"/>
        <w:widowControl/>
        <w:kinsoku/>
        <w:wordWrap/>
        <w:overflowPunct/>
        <w:topLinePunct w:val="0"/>
        <w:autoSpaceDE/>
        <w:autoSpaceDN/>
        <w:bidi w:val="0"/>
        <w:adjustRightInd w:val="0"/>
        <w:snapToGrid w:val="0"/>
        <w:textAlignment w:val="auto"/>
        <w:rPr>
          <w:color w:val="auto"/>
        </w:rPr>
      </w:pPr>
      <w:r>
        <w:rPr>
          <w:color w:val="auto"/>
        </w:rPr>
        <w:br w:type="page"/>
      </w:r>
      <w:bookmarkStart w:id="14" w:name="_Toc21144"/>
      <w:r>
        <w:rPr>
          <w:color w:val="auto"/>
        </w:rPr>
        <w:t>三、区域环境质量现状、环境保护目标及评价标准</w:t>
      </w:r>
      <w:bookmarkEnd w:id="12"/>
      <w:bookmarkEnd w:id="13"/>
      <w:bookmarkEnd w:id="14"/>
    </w:p>
    <w:tbl>
      <w:tblPr>
        <w:tblStyle w:val="5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946"/>
      </w:tblGrid>
      <w:tr w14:paraId="3A84FB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456" w:type="dxa"/>
            <w:vAlign w:val="center"/>
          </w:tcPr>
          <w:p w14:paraId="3A84F9BC">
            <w:pPr>
              <w:adjustRightInd w:val="0"/>
              <w:snapToGrid w:val="0"/>
              <w:jc w:val="center"/>
              <w:rPr>
                <w:b/>
                <w:color w:val="auto"/>
                <w:kern w:val="0"/>
              </w:rPr>
            </w:pPr>
            <w:r>
              <w:rPr>
                <w:b/>
                <w:color w:val="auto"/>
                <w:kern w:val="0"/>
              </w:rPr>
              <w:t>区域环境质量现状</w:t>
            </w:r>
          </w:p>
        </w:tc>
        <w:tc>
          <w:tcPr>
            <w:tcW w:w="8945" w:type="dxa"/>
            <w:vAlign w:val="center"/>
          </w:tcPr>
          <w:p w14:paraId="3A84F9BD">
            <w:pPr>
              <w:widowControl/>
              <w:adjustRightInd w:val="0"/>
              <w:snapToGrid w:val="0"/>
              <w:spacing w:line="360" w:lineRule="auto"/>
              <w:ind w:firstLine="422" w:firstLineChars="200"/>
              <w:jc w:val="left"/>
              <w:rPr>
                <w:b/>
                <w:bCs/>
                <w:color w:val="auto"/>
              </w:rPr>
            </w:pPr>
            <w:r>
              <w:rPr>
                <w:rFonts w:hint="eastAsia"/>
                <w:b/>
                <w:bCs/>
                <w:color w:val="auto"/>
              </w:rPr>
              <w:t>1.大气环境质量现状</w:t>
            </w:r>
          </w:p>
          <w:p w14:paraId="3A84F9BE">
            <w:pPr>
              <w:adjustRightInd w:val="0"/>
              <w:snapToGrid w:val="0"/>
              <w:spacing w:line="360" w:lineRule="auto"/>
              <w:ind w:firstLine="422" w:firstLineChars="200"/>
              <w:rPr>
                <w:b/>
                <w:color w:val="auto"/>
              </w:rPr>
            </w:pPr>
            <w:r>
              <w:rPr>
                <w:rFonts w:hint="eastAsia"/>
                <w:b/>
                <w:color w:val="auto"/>
              </w:rPr>
              <w:t>（1）常规污染物环境质量现状</w:t>
            </w:r>
          </w:p>
          <w:p w14:paraId="3A84F9BF">
            <w:pPr>
              <w:adjustRightInd w:val="0"/>
              <w:snapToGrid w:val="0"/>
              <w:spacing w:line="360" w:lineRule="auto"/>
              <w:ind w:firstLine="420" w:firstLineChars="200"/>
              <w:rPr>
                <w:bCs/>
                <w:color w:val="auto"/>
                <w:kern w:val="0"/>
              </w:rPr>
            </w:pPr>
            <w:r>
              <w:rPr>
                <w:rFonts w:hint="eastAsia"/>
                <w:bCs/>
                <w:color w:val="auto"/>
                <w:kern w:val="0"/>
              </w:rPr>
              <w:t>根据《环境影响评价技术导则 大气环境》（HJ2.2-2018），项目所在区域达标情况判定优先采用国家或地方生态环境主管部门公开发布的环境质量公告或环境质量报告中的数据和结论。</w:t>
            </w:r>
          </w:p>
          <w:p w14:paraId="3A84F9C0">
            <w:pPr>
              <w:adjustRightInd w:val="0"/>
              <w:snapToGrid w:val="0"/>
              <w:spacing w:line="360" w:lineRule="auto"/>
              <w:ind w:firstLine="420" w:firstLineChars="200"/>
              <w:rPr>
                <w:bCs/>
                <w:color w:val="auto"/>
                <w:kern w:val="0"/>
              </w:rPr>
            </w:pPr>
            <w:r>
              <w:rPr>
                <w:rFonts w:hint="eastAsia"/>
                <w:bCs/>
                <w:color w:val="auto"/>
                <w:kern w:val="0"/>
              </w:rPr>
              <w:t>根据《2023年常州市生态环境状况公报》，判定项目所在区域环境空气质量的达标情况，具体见下表。</w:t>
            </w:r>
          </w:p>
          <w:p w14:paraId="3A84F9C1">
            <w:pPr>
              <w:adjustRightInd w:val="0"/>
              <w:snapToGrid w:val="0"/>
              <w:jc w:val="center"/>
              <w:rPr>
                <w:b/>
                <w:color w:val="auto"/>
              </w:rPr>
            </w:pPr>
            <w:r>
              <w:rPr>
                <w:b/>
                <w:color w:val="auto"/>
              </w:rPr>
              <w:t>表3-1   大气环境质量现状</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81"/>
              <w:gridCol w:w="2932"/>
              <w:gridCol w:w="1291"/>
              <w:gridCol w:w="1228"/>
              <w:gridCol w:w="1057"/>
              <w:gridCol w:w="1241"/>
            </w:tblGrid>
            <w:tr w14:paraId="3A84F9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981" w:type="dxa"/>
                  <w:tcBorders>
                    <w:top w:val="single" w:color="auto" w:sz="12" w:space="0"/>
                    <w:left w:val="nil"/>
                  </w:tcBorders>
                  <w:vAlign w:val="center"/>
                </w:tcPr>
                <w:p w14:paraId="3A84F9C2">
                  <w:pPr>
                    <w:adjustRightInd w:val="0"/>
                    <w:snapToGrid w:val="0"/>
                    <w:jc w:val="center"/>
                    <w:rPr>
                      <w:b/>
                      <w:color w:val="auto"/>
                      <w:kern w:val="0"/>
                    </w:rPr>
                  </w:pPr>
                  <w:r>
                    <w:rPr>
                      <w:rFonts w:hint="eastAsia"/>
                      <w:b/>
                      <w:color w:val="auto"/>
                      <w:kern w:val="0"/>
                    </w:rPr>
                    <w:t>污染物</w:t>
                  </w:r>
                </w:p>
              </w:tc>
              <w:tc>
                <w:tcPr>
                  <w:tcW w:w="2932" w:type="dxa"/>
                  <w:tcBorders>
                    <w:top w:val="single" w:color="auto" w:sz="12" w:space="0"/>
                  </w:tcBorders>
                  <w:vAlign w:val="center"/>
                </w:tcPr>
                <w:p w14:paraId="3A84F9C3">
                  <w:pPr>
                    <w:adjustRightInd w:val="0"/>
                    <w:snapToGrid w:val="0"/>
                    <w:jc w:val="center"/>
                    <w:rPr>
                      <w:b/>
                      <w:color w:val="auto"/>
                      <w:kern w:val="0"/>
                    </w:rPr>
                  </w:pPr>
                  <w:r>
                    <w:rPr>
                      <w:rFonts w:hint="eastAsia"/>
                      <w:b/>
                      <w:color w:val="auto"/>
                      <w:kern w:val="0"/>
                    </w:rPr>
                    <w:t>年平均指标</w:t>
                  </w:r>
                </w:p>
              </w:tc>
              <w:tc>
                <w:tcPr>
                  <w:tcW w:w="1291" w:type="dxa"/>
                  <w:tcBorders>
                    <w:top w:val="single" w:color="auto" w:sz="12" w:space="0"/>
                  </w:tcBorders>
                  <w:vAlign w:val="center"/>
                </w:tcPr>
                <w:p w14:paraId="3A84F9C4">
                  <w:pPr>
                    <w:adjustRightInd w:val="0"/>
                    <w:snapToGrid w:val="0"/>
                    <w:jc w:val="center"/>
                    <w:rPr>
                      <w:b/>
                      <w:color w:val="auto"/>
                      <w:kern w:val="0"/>
                    </w:rPr>
                  </w:pPr>
                  <w:r>
                    <w:rPr>
                      <w:rFonts w:hint="eastAsia"/>
                      <w:b/>
                      <w:color w:val="auto"/>
                      <w:kern w:val="0"/>
                    </w:rPr>
                    <w:t>现状浓度</w:t>
                  </w:r>
                </w:p>
                <w:p w14:paraId="3A84F9C5">
                  <w:pPr>
                    <w:adjustRightInd w:val="0"/>
                    <w:snapToGrid w:val="0"/>
                    <w:jc w:val="center"/>
                    <w:rPr>
                      <w:b/>
                      <w:color w:val="auto"/>
                      <w:kern w:val="0"/>
                    </w:rPr>
                  </w:pPr>
                  <w:r>
                    <w:rPr>
                      <w:b/>
                      <w:color w:val="auto"/>
                      <w:kern w:val="0"/>
                    </w:rPr>
                    <w:t>μg/m</w:t>
                  </w:r>
                  <w:r>
                    <w:rPr>
                      <w:b/>
                      <w:color w:val="auto"/>
                      <w:kern w:val="0"/>
                      <w:vertAlign w:val="superscript"/>
                    </w:rPr>
                    <w:t>3</w:t>
                  </w:r>
                </w:p>
              </w:tc>
              <w:tc>
                <w:tcPr>
                  <w:tcW w:w="1228" w:type="dxa"/>
                  <w:tcBorders>
                    <w:top w:val="single" w:color="auto" w:sz="12" w:space="0"/>
                  </w:tcBorders>
                  <w:vAlign w:val="center"/>
                </w:tcPr>
                <w:p w14:paraId="3A84F9C6">
                  <w:pPr>
                    <w:adjustRightInd w:val="0"/>
                    <w:snapToGrid w:val="0"/>
                    <w:jc w:val="center"/>
                    <w:rPr>
                      <w:b/>
                      <w:color w:val="auto"/>
                      <w:kern w:val="0"/>
                    </w:rPr>
                  </w:pPr>
                  <w:r>
                    <w:rPr>
                      <w:rFonts w:hint="eastAsia"/>
                      <w:b/>
                      <w:color w:val="auto"/>
                      <w:kern w:val="0"/>
                    </w:rPr>
                    <w:t>标准限值</w:t>
                  </w:r>
                </w:p>
                <w:p w14:paraId="3A84F9C7">
                  <w:pPr>
                    <w:adjustRightInd w:val="0"/>
                    <w:snapToGrid w:val="0"/>
                    <w:jc w:val="center"/>
                    <w:rPr>
                      <w:b/>
                      <w:color w:val="auto"/>
                      <w:kern w:val="0"/>
                    </w:rPr>
                  </w:pPr>
                  <w:r>
                    <w:rPr>
                      <w:b/>
                      <w:color w:val="auto"/>
                      <w:kern w:val="0"/>
                    </w:rPr>
                    <w:t>μg/m</w:t>
                  </w:r>
                  <w:r>
                    <w:rPr>
                      <w:b/>
                      <w:color w:val="auto"/>
                      <w:kern w:val="0"/>
                      <w:vertAlign w:val="superscript"/>
                    </w:rPr>
                    <w:t>3</w:t>
                  </w:r>
                </w:p>
              </w:tc>
              <w:tc>
                <w:tcPr>
                  <w:tcW w:w="1057" w:type="dxa"/>
                  <w:tcBorders>
                    <w:top w:val="single" w:color="auto" w:sz="12" w:space="0"/>
                  </w:tcBorders>
                  <w:vAlign w:val="center"/>
                </w:tcPr>
                <w:p w14:paraId="3A84F9C8">
                  <w:pPr>
                    <w:adjustRightInd w:val="0"/>
                    <w:snapToGrid w:val="0"/>
                    <w:jc w:val="center"/>
                    <w:rPr>
                      <w:b/>
                      <w:color w:val="auto"/>
                      <w:kern w:val="0"/>
                    </w:rPr>
                  </w:pPr>
                  <w:r>
                    <w:rPr>
                      <w:rFonts w:hint="eastAsia"/>
                      <w:b/>
                      <w:color w:val="auto"/>
                      <w:kern w:val="0"/>
                    </w:rPr>
                    <w:t>达标率</w:t>
                  </w:r>
                </w:p>
                <w:p w14:paraId="3A84F9C9">
                  <w:pPr>
                    <w:adjustRightInd w:val="0"/>
                    <w:snapToGrid w:val="0"/>
                    <w:jc w:val="center"/>
                    <w:rPr>
                      <w:b/>
                      <w:color w:val="auto"/>
                      <w:kern w:val="0"/>
                    </w:rPr>
                  </w:pPr>
                  <w:r>
                    <w:rPr>
                      <w:b/>
                      <w:color w:val="auto"/>
                      <w:kern w:val="0"/>
                    </w:rPr>
                    <w:t>%</w:t>
                  </w:r>
                </w:p>
              </w:tc>
              <w:tc>
                <w:tcPr>
                  <w:tcW w:w="1240" w:type="dxa"/>
                  <w:tcBorders>
                    <w:top w:val="single" w:color="auto" w:sz="12" w:space="0"/>
                    <w:right w:val="nil"/>
                  </w:tcBorders>
                  <w:vAlign w:val="center"/>
                </w:tcPr>
                <w:p w14:paraId="3A84F9CA">
                  <w:pPr>
                    <w:adjustRightInd w:val="0"/>
                    <w:snapToGrid w:val="0"/>
                    <w:jc w:val="center"/>
                    <w:rPr>
                      <w:b/>
                      <w:color w:val="auto"/>
                      <w:kern w:val="0"/>
                    </w:rPr>
                  </w:pPr>
                  <w:r>
                    <w:rPr>
                      <w:rFonts w:hint="eastAsia"/>
                      <w:b/>
                      <w:color w:val="auto"/>
                      <w:kern w:val="0"/>
                    </w:rPr>
                    <w:t>达标情况</w:t>
                  </w:r>
                </w:p>
              </w:tc>
            </w:tr>
            <w:tr w14:paraId="3A84F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981" w:type="dxa"/>
                  <w:vMerge w:val="restart"/>
                  <w:tcBorders>
                    <w:left w:val="nil"/>
                  </w:tcBorders>
                  <w:vAlign w:val="center"/>
                </w:tcPr>
                <w:p w14:paraId="3A84F9CC">
                  <w:pPr>
                    <w:adjustRightInd w:val="0"/>
                    <w:snapToGrid w:val="0"/>
                    <w:jc w:val="center"/>
                    <w:rPr>
                      <w:color w:val="auto"/>
                      <w:kern w:val="0"/>
                    </w:rPr>
                  </w:pPr>
                  <w:r>
                    <w:rPr>
                      <w:color w:val="auto"/>
                      <w:kern w:val="0"/>
                    </w:rPr>
                    <w:t>PM</w:t>
                  </w:r>
                  <w:r>
                    <w:rPr>
                      <w:color w:val="auto"/>
                      <w:kern w:val="0"/>
                      <w:vertAlign w:val="subscript"/>
                    </w:rPr>
                    <w:t>2.5</w:t>
                  </w:r>
                </w:p>
              </w:tc>
              <w:tc>
                <w:tcPr>
                  <w:tcW w:w="2932" w:type="dxa"/>
                  <w:vAlign w:val="center"/>
                </w:tcPr>
                <w:p w14:paraId="3A84F9CD">
                  <w:pPr>
                    <w:adjustRightInd w:val="0"/>
                    <w:snapToGrid w:val="0"/>
                    <w:jc w:val="center"/>
                    <w:rPr>
                      <w:color w:val="auto"/>
                      <w:kern w:val="0"/>
                    </w:rPr>
                  </w:pPr>
                  <w:r>
                    <w:rPr>
                      <w:rFonts w:hint="eastAsia"/>
                      <w:color w:val="auto"/>
                      <w:kern w:val="0"/>
                    </w:rPr>
                    <w:t>年平均质量浓度</w:t>
                  </w:r>
                </w:p>
              </w:tc>
              <w:tc>
                <w:tcPr>
                  <w:tcW w:w="1291" w:type="dxa"/>
                  <w:vAlign w:val="center"/>
                </w:tcPr>
                <w:p w14:paraId="3A84F9CE">
                  <w:pPr>
                    <w:adjustRightInd w:val="0"/>
                    <w:snapToGrid w:val="0"/>
                    <w:jc w:val="center"/>
                    <w:rPr>
                      <w:color w:val="auto"/>
                      <w:kern w:val="0"/>
                    </w:rPr>
                  </w:pPr>
                  <w:r>
                    <w:rPr>
                      <w:rFonts w:hint="eastAsia"/>
                      <w:color w:val="auto"/>
                      <w:kern w:val="0"/>
                    </w:rPr>
                    <w:t>34</w:t>
                  </w:r>
                </w:p>
              </w:tc>
              <w:tc>
                <w:tcPr>
                  <w:tcW w:w="1228" w:type="dxa"/>
                  <w:vAlign w:val="center"/>
                </w:tcPr>
                <w:p w14:paraId="3A84F9CF">
                  <w:pPr>
                    <w:adjustRightInd w:val="0"/>
                    <w:snapToGrid w:val="0"/>
                    <w:jc w:val="center"/>
                    <w:rPr>
                      <w:color w:val="auto"/>
                      <w:kern w:val="0"/>
                    </w:rPr>
                  </w:pPr>
                  <w:r>
                    <w:rPr>
                      <w:color w:val="auto"/>
                      <w:kern w:val="0"/>
                    </w:rPr>
                    <w:t>35</w:t>
                  </w:r>
                </w:p>
              </w:tc>
              <w:tc>
                <w:tcPr>
                  <w:tcW w:w="1057" w:type="dxa"/>
                  <w:vAlign w:val="center"/>
                </w:tcPr>
                <w:p w14:paraId="3A84F9D0">
                  <w:pPr>
                    <w:widowControl/>
                    <w:adjustRightInd w:val="0"/>
                    <w:snapToGrid w:val="0"/>
                    <w:jc w:val="center"/>
                    <w:textAlignment w:val="center"/>
                    <w:rPr>
                      <w:color w:val="auto"/>
                      <w:kern w:val="0"/>
                    </w:rPr>
                  </w:pPr>
                  <w:r>
                    <w:rPr>
                      <w:rFonts w:hint="eastAsia"/>
                      <w:color w:val="auto"/>
                      <w:kern w:val="0"/>
                    </w:rPr>
                    <w:t>100</w:t>
                  </w:r>
                </w:p>
              </w:tc>
              <w:tc>
                <w:tcPr>
                  <w:tcW w:w="1240" w:type="dxa"/>
                  <w:tcBorders>
                    <w:right w:val="nil"/>
                  </w:tcBorders>
                  <w:vAlign w:val="center"/>
                </w:tcPr>
                <w:p w14:paraId="3A84F9D1">
                  <w:pPr>
                    <w:adjustRightInd w:val="0"/>
                    <w:snapToGrid w:val="0"/>
                    <w:jc w:val="center"/>
                    <w:rPr>
                      <w:color w:val="auto"/>
                      <w:kern w:val="0"/>
                    </w:rPr>
                  </w:pPr>
                  <w:r>
                    <w:rPr>
                      <w:rFonts w:hint="eastAsia"/>
                      <w:color w:val="auto"/>
                      <w:kern w:val="0"/>
                    </w:rPr>
                    <w:t>达标</w:t>
                  </w:r>
                </w:p>
              </w:tc>
            </w:tr>
            <w:tr w14:paraId="3A84F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981" w:type="dxa"/>
                  <w:vMerge w:val="continue"/>
                  <w:tcBorders>
                    <w:left w:val="nil"/>
                  </w:tcBorders>
                  <w:vAlign w:val="center"/>
                </w:tcPr>
                <w:p w14:paraId="3A84F9D3">
                  <w:pPr>
                    <w:adjustRightInd w:val="0"/>
                    <w:snapToGrid w:val="0"/>
                    <w:jc w:val="center"/>
                    <w:rPr>
                      <w:color w:val="auto"/>
                      <w:kern w:val="0"/>
                    </w:rPr>
                  </w:pPr>
                </w:p>
              </w:tc>
              <w:tc>
                <w:tcPr>
                  <w:tcW w:w="2932" w:type="dxa"/>
                  <w:vAlign w:val="center"/>
                </w:tcPr>
                <w:p w14:paraId="3A84F9D4">
                  <w:pPr>
                    <w:adjustRightInd w:val="0"/>
                    <w:snapToGrid w:val="0"/>
                    <w:jc w:val="center"/>
                    <w:rPr>
                      <w:color w:val="auto"/>
                      <w:kern w:val="0"/>
                    </w:rPr>
                  </w:pPr>
                  <w:r>
                    <w:rPr>
                      <w:rFonts w:hint="eastAsia"/>
                      <w:color w:val="auto"/>
                      <w:kern w:val="0"/>
                    </w:rPr>
                    <w:t>日平均质量浓度范围</w:t>
                  </w:r>
                </w:p>
              </w:tc>
              <w:tc>
                <w:tcPr>
                  <w:tcW w:w="1291" w:type="dxa"/>
                  <w:vAlign w:val="center"/>
                </w:tcPr>
                <w:p w14:paraId="3A84F9D5">
                  <w:pPr>
                    <w:adjustRightInd w:val="0"/>
                    <w:snapToGrid w:val="0"/>
                    <w:jc w:val="center"/>
                    <w:rPr>
                      <w:color w:val="auto"/>
                      <w:kern w:val="0"/>
                    </w:rPr>
                  </w:pPr>
                  <w:r>
                    <w:rPr>
                      <w:rFonts w:hint="eastAsia"/>
                      <w:color w:val="auto"/>
                      <w:kern w:val="0"/>
                    </w:rPr>
                    <w:t>6~151</w:t>
                  </w:r>
                </w:p>
              </w:tc>
              <w:tc>
                <w:tcPr>
                  <w:tcW w:w="1228" w:type="dxa"/>
                  <w:vAlign w:val="center"/>
                </w:tcPr>
                <w:p w14:paraId="3A84F9D6">
                  <w:pPr>
                    <w:adjustRightInd w:val="0"/>
                    <w:snapToGrid w:val="0"/>
                    <w:jc w:val="center"/>
                    <w:rPr>
                      <w:color w:val="auto"/>
                      <w:kern w:val="0"/>
                    </w:rPr>
                  </w:pPr>
                  <w:r>
                    <w:rPr>
                      <w:rFonts w:hint="eastAsia"/>
                      <w:color w:val="auto"/>
                      <w:kern w:val="0"/>
                    </w:rPr>
                    <w:t>75</w:t>
                  </w:r>
                </w:p>
              </w:tc>
              <w:tc>
                <w:tcPr>
                  <w:tcW w:w="1057" w:type="dxa"/>
                  <w:vAlign w:val="center"/>
                </w:tcPr>
                <w:p w14:paraId="3A84F9D7">
                  <w:pPr>
                    <w:widowControl/>
                    <w:adjustRightInd w:val="0"/>
                    <w:snapToGrid w:val="0"/>
                    <w:jc w:val="center"/>
                    <w:textAlignment w:val="center"/>
                    <w:rPr>
                      <w:color w:val="auto"/>
                      <w:kern w:val="0"/>
                    </w:rPr>
                  </w:pPr>
                  <w:r>
                    <w:rPr>
                      <w:rFonts w:hint="eastAsia"/>
                      <w:color w:val="auto"/>
                      <w:kern w:val="0"/>
                    </w:rPr>
                    <w:t>93.6</w:t>
                  </w:r>
                </w:p>
              </w:tc>
              <w:tc>
                <w:tcPr>
                  <w:tcW w:w="1240" w:type="dxa"/>
                  <w:tcBorders>
                    <w:right w:val="nil"/>
                  </w:tcBorders>
                  <w:vAlign w:val="center"/>
                </w:tcPr>
                <w:p w14:paraId="3A84F9D8">
                  <w:pPr>
                    <w:adjustRightInd w:val="0"/>
                    <w:snapToGrid w:val="0"/>
                    <w:jc w:val="center"/>
                    <w:rPr>
                      <w:color w:val="auto"/>
                      <w:kern w:val="0"/>
                    </w:rPr>
                  </w:pPr>
                  <w:r>
                    <w:rPr>
                      <w:rFonts w:hint="eastAsia"/>
                      <w:color w:val="auto"/>
                      <w:kern w:val="0"/>
                    </w:rPr>
                    <w:t>不</w:t>
                  </w:r>
                  <w:r>
                    <w:rPr>
                      <w:color w:val="auto"/>
                      <w:kern w:val="0"/>
                    </w:rPr>
                    <w:t>达标</w:t>
                  </w:r>
                </w:p>
              </w:tc>
            </w:tr>
            <w:tr w14:paraId="3A84F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981" w:type="dxa"/>
                  <w:vMerge w:val="restart"/>
                  <w:tcBorders>
                    <w:left w:val="nil"/>
                  </w:tcBorders>
                  <w:vAlign w:val="center"/>
                </w:tcPr>
                <w:p w14:paraId="3A84F9DA">
                  <w:pPr>
                    <w:adjustRightInd w:val="0"/>
                    <w:snapToGrid w:val="0"/>
                    <w:jc w:val="center"/>
                    <w:rPr>
                      <w:color w:val="auto"/>
                      <w:kern w:val="0"/>
                    </w:rPr>
                  </w:pPr>
                  <w:r>
                    <w:rPr>
                      <w:color w:val="auto"/>
                      <w:kern w:val="0"/>
                    </w:rPr>
                    <w:t>PM</w:t>
                  </w:r>
                  <w:r>
                    <w:rPr>
                      <w:color w:val="auto"/>
                      <w:kern w:val="0"/>
                      <w:vertAlign w:val="subscript"/>
                    </w:rPr>
                    <w:t>10</w:t>
                  </w:r>
                </w:p>
              </w:tc>
              <w:tc>
                <w:tcPr>
                  <w:tcW w:w="2932" w:type="dxa"/>
                  <w:vAlign w:val="center"/>
                </w:tcPr>
                <w:p w14:paraId="3A84F9DB">
                  <w:pPr>
                    <w:adjustRightInd w:val="0"/>
                    <w:snapToGrid w:val="0"/>
                    <w:jc w:val="center"/>
                    <w:rPr>
                      <w:color w:val="auto"/>
                      <w:kern w:val="0"/>
                    </w:rPr>
                  </w:pPr>
                  <w:r>
                    <w:rPr>
                      <w:rFonts w:hint="eastAsia"/>
                      <w:color w:val="auto"/>
                      <w:kern w:val="0"/>
                    </w:rPr>
                    <w:t>年平均质量浓度</w:t>
                  </w:r>
                </w:p>
              </w:tc>
              <w:tc>
                <w:tcPr>
                  <w:tcW w:w="1291" w:type="dxa"/>
                  <w:vAlign w:val="center"/>
                </w:tcPr>
                <w:p w14:paraId="3A84F9DC">
                  <w:pPr>
                    <w:adjustRightInd w:val="0"/>
                    <w:snapToGrid w:val="0"/>
                    <w:jc w:val="center"/>
                    <w:rPr>
                      <w:color w:val="auto"/>
                      <w:kern w:val="0"/>
                    </w:rPr>
                  </w:pPr>
                  <w:r>
                    <w:rPr>
                      <w:rFonts w:hint="eastAsia"/>
                      <w:color w:val="auto"/>
                      <w:kern w:val="0"/>
                    </w:rPr>
                    <w:t>57</w:t>
                  </w:r>
                </w:p>
              </w:tc>
              <w:tc>
                <w:tcPr>
                  <w:tcW w:w="1228" w:type="dxa"/>
                  <w:vAlign w:val="center"/>
                </w:tcPr>
                <w:p w14:paraId="3A84F9DD">
                  <w:pPr>
                    <w:adjustRightInd w:val="0"/>
                    <w:snapToGrid w:val="0"/>
                    <w:jc w:val="center"/>
                    <w:rPr>
                      <w:color w:val="auto"/>
                      <w:kern w:val="0"/>
                    </w:rPr>
                  </w:pPr>
                  <w:r>
                    <w:rPr>
                      <w:color w:val="auto"/>
                      <w:kern w:val="0"/>
                    </w:rPr>
                    <w:t>70</w:t>
                  </w:r>
                </w:p>
              </w:tc>
              <w:tc>
                <w:tcPr>
                  <w:tcW w:w="1057" w:type="dxa"/>
                  <w:vAlign w:val="center"/>
                </w:tcPr>
                <w:p w14:paraId="3A84F9DE">
                  <w:pPr>
                    <w:widowControl/>
                    <w:adjustRightInd w:val="0"/>
                    <w:snapToGrid w:val="0"/>
                    <w:jc w:val="center"/>
                    <w:textAlignment w:val="center"/>
                    <w:rPr>
                      <w:color w:val="auto"/>
                      <w:kern w:val="0"/>
                    </w:rPr>
                  </w:pPr>
                  <w:r>
                    <w:rPr>
                      <w:rFonts w:hint="eastAsia"/>
                      <w:color w:val="auto"/>
                      <w:kern w:val="0"/>
                    </w:rPr>
                    <w:t>100</w:t>
                  </w:r>
                </w:p>
              </w:tc>
              <w:tc>
                <w:tcPr>
                  <w:tcW w:w="1240" w:type="dxa"/>
                  <w:tcBorders>
                    <w:right w:val="nil"/>
                  </w:tcBorders>
                  <w:vAlign w:val="center"/>
                </w:tcPr>
                <w:p w14:paraId="3A84F9DF">
                  <w:pPr>
                    <w:adjustRightInd w:val="0"/>
                    <w:snapToGrid w:val="0"/>
                    <w:jc w:val="center"/>
                    <w:rPr>
                      <w:color w:val="auto"/>
                      <w:kern w:val="0"/>
                    </w:rPr>
                  </w:pPr>
                  <w:r>
                    <w:rPr>
                      <w:color w:val="auto"/>
                      <w:kern w:val="0"/>
                    </w:rPr>
                    <w:t>达标</w:t>
                  </w:r>
                </w:p>
              </w:tc>
            </w:tr>
            <w:tr w14:paraId="3A84F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981" w:type="dxa"/>
                  <w:vMerge w:val="continue"/>
                  <w:tcBorders>
                    <w:left w:val="nil"/>
                  </w:tcBorders>
                  <w:vAlign w:val="center"/>
                </w:tcPr>
                <w:p w14:paraId="3A84F9E1">
                  <w:pPr>
                    <w:adjustRightInd w:val="0"/>
                    <w:snapToGrid w:val="0"/>
                    <w:jc w:val="center"/>
                    <w:rPr>
                      <w:color w:val="auto"/>
                      <w:kern w:val="0"/>
                    </w:rPr>
                  </w:pPr>
                </w:p>
              </w:tc>
              <w:tc>
                <w:tcPr>
                  <w:tcW w:w="2932" w:type="dxa"/>
                  <w:vAlign w:val="center"/>
                </w:tcPr>
                <w:p w14:paraId="3A84F9E2">
                  <w:pPr>
                    <w:adjustRightInd w:val="0"/>
                    <w:snapToGrid w:val="0"/>
                    <w:jc w:val="center"/>
                    <w:rPr>
                      <w:color w:val="auto"/>
                      <w:kern w:val="0"/>
                    </w:rPr>
                  </w:pPr>
                  <w:r>
                    <w:rPr>
                      <w:rFonts w:hint="eastAsia"/>
                      <w:color w:val="auto"/>
                      <w:kern w:val="0"/>
                    </w:rPr>
                    <w:t>日平均质量浓度范围</w:t>
                  </w:r>
                </w:p>
              </w:tc>
              <w:tc>
                <w:tcPr>
                  <w:tcW w:w="1291" w:type="dxa"/>
                  <w:vAlign w:val="center"/>
                </w:tcPr>
                <w:p w14:paraId="3A84F9E3">
                  <w:pPr>
                    <w:adjustRightInd w:val="0"/>
                    <w:snapToGrid w:val="0"/>
                    <w:jc w:val="center"/>
                    <w:rPr>
                      <w:color w:val="auto"/>
                      <w:kern w:val="0"/>
                    </w:rPr>
                  </w:pPr>
                  <w:r>
                    <w:rPr>
                      <w:rFonts w:hint="eastAsia"/>
                      <w:color w:val="auto"/>
                      <w:kern w:val="0"/>
                    </w:rPr>
                    <w:t>12~188</w:t>
                  </w:r>
                </w:p>
              </w:tc>
              <w:tc>
                <w:tcPr>
                  <w:tcW w:w="1228" w:type="dxa"/>
                  <w:vAlign w:val="center"/>
                </w:tcPr>
                <w:p w14:paraId="3A84F9E4">
                  <w:pPr>
                    <w:adjustRightInd w:val="0"/>
                    <w:snapToGrid w:val="0"/>
                    <w:jc w:val="center"/>
                    <w:rPr>
                      <w:color w:val="auto"/>
                      <w:kern w:val="0"/>
                    </w:rPr>
                  </w:pPr>
                  <w:r>
                    <w:rPr>
                      <w:rFonts w:hint="eastAsia"/>
                      <w:color w:val="auto"/>
                      <w:kern w:val="0"/>
                    </w:rPr>
                    <w:t>150</w:t>
                  </w:r>
                </w:p>
              </w:tc>
              <w:tc>
                <w:tcPr>
                  <w:tcW w:w="1057" w:type="dxa"/>
                  <w:vAlign w:val="center"/>
                </w:tcPr>
                <w:p w14:paraId="3A84F9E5">
                  <w:pPr>
                    <w:widowControl/>
                    <w:adjustRightInd w:val="0"/>
                    <w:snapToGrid w:val="0"/>
                    <w:jc w:val="center"/>
                    <w:textAlignment w:val="center"/>
                    <w:rPr>
                      <w:color w:val="auto"/>
                      <w:kern w:val="0"/>
                    </w:rPr>
                  </w:pPr>
                  <w:r>
                    <w:rPr>
                      <w:rFonts w:hint="eastAsia"/>
                      <w:color w:val="auto"/>
                      <w:kern w:val="0"/>
                    </w:rPr>
                    <w:t>98.8</w:t>
                  </w:r>
                </w:p>
              </w:tc>
              <w:tc>
                <w:tcPr>
                  <w:tcW w:w="1240" w:type="dxa"/>
                  <w:tcBorders>
                    <w:right w:val="nil"/>
                  </w:tcBorders>
                  <w:vAlign w:val="center"/>
                </w:tcPr>
                <w:p w14:paraId="3A84F9E6">
                  <w:pPr>
                    <w:adjustRightInd w:val="0"/>
                    <w:snapToGrid w:val="0"/>
                    <w:jc w:val="center"/>
                    <w:rPr>
                      <w:color w:val="auto"/>
                      <w:kern w:val="0"/>
                    </w:rPr>
                  </w:pPr>
                  <w:r>
                    <w:rPr>
                      <w:rFonts w:hint="eastAsia"/>
                      <w:color w:val="auto"/>
                      <w:kern w:val="0"/>
                    </w:rPr>
                    <w:t>不达标</w:t>
                  </w:r>
                </w:p>
              </w:tc>
            </w:tr>
            <w:tr w14:paraId="3A84F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981" w:type="dxa"/>
                  <w:vMerge w:val="restart"/>
                  <w:tcBorders>
                    <w:left w:val="nil"/>
                  </w:tcBorders>
                  <w:vAlign w:val="center"/>
                </w:tcPr>
                <w:p w14:paraId="3A84F9E8">
                  <w:pPr>
                    <w:adjustRightInd w:val="0"/>
                    <w:snapToGrid w:val="0"/>
                    <w:jc w:val="center"/>
                    <w:rPr>
                      <w:color w:val="auto"/>
                      <w:kern w:val="0"/>
                    </w:rPr>
                  </w:pPr>
                  <w:r>
                    <w:rPr>
                      <w:color w:val="auto"/>
                      <w:kern w:val="0"/>
                    </w:rPr>
                    <w:t>SO</w:t>
                  </w:r>
                  <w:r>
                    <w:rPr>
                      <w:color w:val="auto"/>
                      <w:kern w:val="0"/>
                      <w:vertAlign w:val="subscript"/>
                    </w:rPr>
                    <w:t>2</w:t>
                  </w:r>
                </w:p>
              </w:tc>
              <w:tc>
                <w:tcPr>
                  <w:tcW w:w="2932" w:type="dxa"/>
                  <w:vAlign w:val="center"/>
                </w:tcPr>
                <w:p w14:paraId="3A84F9E9">
                  <w:pPr>
                    <w:adjustRightInd w:val="0"/>
                    <w:snapToGrid w:val="0"/>
                    <w:jc w:val="center"/>
                    <w:rPr>
                      <w:color w:val="auto"/>
                      <w:kern w:val="0"/>
                    </w:rPr>
                  </w:pPr>
                  <w:r>
                    <w:rPr>
                      <w:rFonts w:hint="eastAsia"/>
                      <w:color w:val="auto"/>
                      <w:kern w:val="0"/>
                    </w:rPr>
                    <w:t>年平均质量浓度</w:t>
                  </w:r>
                </w:p>
              </w:tc>
              <w:tc>
                <w:tcPr>
                  <w:tcW w:w="1291" w:type="dxa"/>
                  <w:vAlign w:val="center"/>
                </w:tcPr>
                <w:p w14:paraId="3A84F9EA">
                  <w:pPr>
                    <w:adjustRightInd w:val="0"/>
                    <w:snapToGrid w:val="0"/>
                    <w:jc w:val="center"/>
                    <w:rPr>
                      <w:color w:val="auto"/>
                      <w:kern w:val="0"/>
                    </w:rPr>
                  </w:pPr>
                  <w:r>
                    <w:rPr>
                      <w:rFonts w:hint="eastAsia"/>
                      <w:color w:val="auto"/>
                      <w:kern w:val="0"/>
                    </w:rPr>
                    <w:t>8</w:t>
                  </w:r>
                </w:p>
              </w:tc>
              <w:tc>
                <w:tcPr>
                  <w:tcW w:w="1228" w:type="dxa"/>
                  <w:vAlign w:val="center"/>
                </w:tcPr>
                <w:p w14:paraId="3A84F9EB">
                  <w:pPr>
                    <w:adjustRightInd w:val="0"/>
                    <w:snapToGrid w:val="0"/>
                    <w:jc w:val="center"/>
                    <w:rPr>
                      <w:color w:val="auto"/>
                      <w:kern w:val="0"/>
                    </w:rPr>
                  </w:pPr>
                  <w:r>
                    <w:rPr>
                      <w:color w:val="auto"/>
                      <w:kern w:val="0"/>
                    </w:rPr>
                    <w:t>60</w:t>
                  </w:r>
                </w:p>
              </w:tc>
              <w:tc>
                <w:tcPr>
                  <w:tcW w:w="1057" w:type="dxa"/>
                  <w:vAlign w:val="center"/>
                </w:tcPr>
                <w:p w14:paraId="3A84F9EC">
                  <w:pPr>
                    <w:widowControl/>
                    <w:adjustRightInd w:val="0"/>
                    <w:snapToGrid w:val="0"/>
                    <w:jc w:val="center"/>
                    <w:textAlignment w:val="center"/>
                    <w:rPr>
                      <w:color w:val="auto"/>
                      <w:kern w:val="0"/>
                    </w:rPr>
                  </w:pPr>
                  <w:r>
                    <w:rPr>
                      <w:rFonts w:hint="eastAsia"/>
                      <w:color w:val="auto"/>
                      <w:kern w:val="0"/>
                    </w:rPr>
                    <w:t>100</w:t>
                  </w:r>
                </w:p>
              </w:tc>
              <w:tc>
                <w:tcPr>
                  <w:tcW w:w="1240" w:type="dxa"/>
                  <w:tcBorders>
                    <w:right w:val="nil"/>
                  </w:tcBorders>
                  <w:vAlign w:val="center"/>
                </w:tcPr>
                <w:p w14:paraId="3A84F9ED">
                  <w:pPr>
                    <w:adjustRightInd w:val="0"/>
                    <w:snapToGrid w:val="0"/>
                    <w:jc w:val="center"/>
                    <w:rPr>
                      <w:color w:val="auto"/>
                      <w:kern w:val="0"/>
                    </w:rPr>
                  </w:pPr>
                  <w:r>
                    <w:rPr>
                      <w:color w:val="auto"/>
                      <w:kern w:val="0"/>
                    </w:rPr>
                    <w:t>达标</w:t>
                  </w:r>
                </w:p>
              </w:tc>
            </w:tr>
            <w:tr w14:paraId="3A84F9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981" w:type="dxa"/>
                  <w:vMerge w:val="continue"/>
                  <w:tcBorders>
                    <w:left w:val="nil"/>
                  </w:tcBorders>
                  <w:vAlign w:val="center"/>
                </w:tcPr>
                <w:p w14:paraId="3A84F9EF">
                  <w:pPr>
                    <w:adjustRightInd w:val="0"/>
                    <w:snapToGrid w:val="0"/>
                    <w:jc w:val="center"/>
                    <w:rPr>
                      <w:color w:val="auto"/>
                      <w:kern w:val="0"/>
                    </w:rPr>
                  </w:pPr>
                </w:p>
              </w:tc>
              <w:tc>
                <w:tcPr>
                  <w:tcW w:w="2932" w:type="dxa"/>
                  <w:vAlign w:val="center"/>
                </w:tcPr>
                <w:p w14:paraId="3A84F9F0">
                  <w:pPr>
                    <w:adjustRightInd w:val="0"/>
                    <w:snapToGrid w:val="0"/>
                    <w:jc w:val="center"/>
                    <w:rPr>
                      <w:color w:val="auto"/>
                      <w:kern w:val="0"/>
                    </w:rPr>
                  </w:pPr>
                  <w:r>
                    <w:rPr>
                      <w:rFonts w:hint="eastAsia"/>
                      <w:color w:val="auto"/>
                      <w:kern w:val="0"/>
                    </w:rPr>
                    <w:t>日平均质量浓度范围</w:t>
                  </w:r>
                </w:p>
              </w:tc>
              <w:tc>
                <w:tcPr>
                  <w:tcW w:w="1291" w:type="dxa"/>
                  <w:vAlign w:val="center"/>
                </w:tcPr>
                <w:p w14:paraId="3A84F9F1">
                  <w:pPr>
                    <w:adjustRightInd w:val="0"/>
                    <w:snapToGrid w:val="0"/>
                    <w:jc w:val="center"/>
                    <w:rPr>
                      <w:color w:val="auto"/>
                      <w:kern w:val="0"/>
                    </w:rPr>
                  </w:pPr>
                  <w:r>
                    <w:rPr>
                      <w:rFonts w:hint="eastAsia"/>
                      <w:color w:val="auto"/>
                      <w:kern w:val="0"/>
                    </w:rPr>
                    <w:t>4~17</w:t>
                  </w:r>
                </w:p>
              </w:tc>
              <w:tc>
                <w:tcPr>
                  <w:tcW w:w="1228" w:type="dxa"/>
                  <w:vAlign w:val="center"/>
                </w:tcPr>
                <w:p w14:paraId="3A84F9F2">
                  <w:pPr>
                    <w:adjustRightInd w:val="0"/>
                    <w:snapToGrid w:val="0"/>
                    <w:jc w:val="center"/>
                    <w:rPr>
                      <w:color w:val="auto"/>
                      <w:kern w:val="0"/>
                    </w:rPr>
                  </w:pPr>
                  <w:r>
                    <w:rPr>
                      <w:rFonts w:hint="eastAsia"/>
                      <w:color w:val="auto"/>
                      <w:kern w:val="0"/>
                    </w:rPr>
                    <w:t>150</w:t>
                  </w:r>
                </w:p>
              </w:tc>
              <w:tc>
                <w:tcPr>
                  <w:tcW w:w="1057" w:type="dxa"/>
                  <w:vAlign w:val="center"/>
                </w:tcPr>
                <w:p w14:paraId="3A84F9F3">
                  <w:pPr>
                    <w:widowControl/>
                    <w:adjustRightInd w:val="0"/>
                    <w:snapToGrid w:val="0"/>
                    <w:jc w:val="center"/>
                    <w:textAlignment w:val="center"/>
                    <w:rPr>
                      <w:color w:val="auto"/>
                      <w:kern w:val="0"/>
                      <w:lang w:bidi="ar"/>
                    </w:rPr>
                  </w:pPr>
                  <w:r>
                    <w:rPr>
                      <w:rFonts w:hint="eastAsia"/>
                      <w:color w:val="auto"/>
                      <w:kern w:val="0"/>
                    </w:rPr>
                    <w:t>100</w:t>
                  </w:r>
                </w:p>
              </w:tc>
              <w:tc>
                <w:tcPr>
                  <w:tcW w:w="1240" w:type="dxa"/>
                  <w:tcBorders>
                    <w:right w:val="nil"/>
                  </w:tcBorders>
                  <w:vAlign w:val="center"/>
                </w:tcPr>
                <w:p w14:paraId="3A84F9F4">
                  <w:pPr>
                    <w:adjustRightInd w:val="0"/>
                    <w:snapToGrid w:val="0"/>
                    <w:jc w:val="center"/>
                    <w:rPr>
                      <w:color w:val="auto"/>
                      <w:kern w:val="0"/>
                    </w:rPr>
                  </w:pPr>
                  <w:r>
                    <w:rPr>
                      <w:rFonts w:hint="eastAsia"/>
                      <w:color w:val="auto"/>
                      <w:kern w:val="0"/>
                    </w:rPr>
                    <w:t>达标</w:t>
                  </w:r>
                </w:p>
              </w:tc>
            </w:tr>
            <w:tr w14:paraId="3A84F9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981" w:type="dxa"/>
                  <w:vMerge w:val="restart"/>
                  <w:tcBorders>
                    <w:left w:val="nil"/>
                  </w:tcBorders>
                  <w:vAlign w:val="center"/>
                </w:tcPr>
                <w:p w14:paraId="3A84F9F6">
                  <w:pPr>
                    <w:adjustRightInd w:val="0"/>
                    <w:snapToGrid w:val="0"/>
                    <w:jc w:val="center"/>
                    <w:rPr>
                      <w:color w:val="auto"/>
                      <w:kern w:val="0"/>
                    </w:rPr>
                  </w:pPr>
                  <w:r>
                    <w:rPr>
                      <w:color w:val="auto"/>
                      <w:kern w:val="0"/>
                    </w:rPr>
                    <w:t>NO</w:t>
                  </w:r>
                  <w:r>
                    <w:rPr>
                      <w:color w:val="auto"/>
                      <w:kern w:val="0"/>
                      <w:vertAlign w:val="subscript"/>
                    </w:rPr>
                    <w:t>2</w:t>
                  </w:r>
                </w:p>
              </w:tc>
              <w:tc>
                <w:tcPr>
                  <w:tcW w:w="2932" w:type="dxa"/>
                  <w:vAlign w:val="center"/>
                </w:tcPr>
                <w:p w14:paraId="3A84F9F7">
                  <w:pPr>
                    <w:adjustRightInd w:val="0"/>
                    <w:snapToGrid w:val="0"/>
                    <w:jc w:val="center"/>
                    <w:rPr>
                      <w:color w:val="auto"/>
                      <w:kern w:val="0"/>
                    </w:rPr>
                  </w:pPr>
                  <w:r>
                    <w:rPr>
                      <w:rFonts w:hint="eastAsia"/>
                      <w:color w:val="auto"/>
                      <w:kern w:val="0"/>
                    </w:rPr>
                    <w:t>年平均质量浓度</w:t>
                  </w:r>
                </w:p>
              </w:tc>
              <w:tc>
                <w:tcPr>
                  <w:tcW w:w="1291" w:type="dxa"/>
                  <w:vAlign w:val="center"/>
                </w:tcPr>
                <w:p w14:paraId="3A84F9F8">
                  <w:pPr>
                    <w:adjustRightInd w:val="0"/>
                    <w:snapToGrid w:val="0"/>
                    <w:jc w:val="center"/>
                    <w:rPr>
                      <w:color w:val="auto"/>
                      <w:kern w:val="0"/>
                    </w:rPr>
                  </w:pPr>
                  <w:r>
                    <w:rPr>
                      <w:rFonts w:hint="eastAsia"/>
                      <w:color w:val="auto"/>
                      <w:kern w:val="0"/>
                    </w:rPr>
                    <w:t>30</w:t>
                  </w:r>
                </w:p>
              </w:tc>
              <w:tc>
                <w:tcPr>
                  <w:tcW w:w="1228" w:type="dxa"/>
                  <w:vAlign w:val="center"/>
                </w:tcPr>
                <w:p w14:paraId="3A84F9F9">
                  <w:pPr>
                    <w:adjustRightInd w:val="0"/>
                    <w:snapToGrid w:val="0"/>
                    <w:jc w:val="center"/>
                    <w:rPr>
                      <w:color w:val="auto"/>
                      <w:kern w:val="0"/>
                    </w:rPr>
                  </w:pPr>
                  <w:r>
                    <w:rPr>
                      <w:color w:val="auto"/>
                      <w:kern w:val="0"/>
                    </w:rPr>
                    <w:t>40</w:t>
                  </w:r>
                </w:p>
              </w:tc>
              <w:tc>
                <w:tcPr>
                  <w:tcW w:w="1057" w:type="dxa"/>
                  <w:vAlign w:val="center"/>
                </w:tcPr>
                <w:p w14:paraId="3A84F9FA">
                  <w:pPr>
                    <w:widowControl/>
                    <w:adjustRightInd w:val="0"/>
                    <w:snapToGrid w:val="0"/>
                    <w:jc w:val="center"/>
                    <w:textAlignment w:val="center"/>
                    <w:rPr>
                      <w:color w:val="auto"/>
                      <w:kern w:val="0"/>
                    </w:rPr>
                  </w:pPr>
                  <w:r>
                    <w:rPr>
                      <w:rFonts w:hint="eastAsia"/>
                      <w:color w:val="auto"/>
                      <w:kern w:val="0"/>
                    </w:rPr>
                    <w:t>100</w:t>
                  </w:r>
                </w:p>
              </w:tc>
              <w:tc>
                <w:tcPr>
                  <w:tcW w:w="1240" w:type="dxa"/>
                  <w:tcBorders>
                    <w:right w:val="nil"/>
                  </w:tcBorders>
                  <w:vAlign w:val="center"/>
                </w:tcPr>
                <w:p w14:paraId="3A84F9FB">
                  <w:pPr>
                    <w:adjustRightInd w:val="0"/>
                    <w:snapToGrid w:val="0"/>
                    <w:jc w:val="center"/>
                    <w:rPr>
                      <w:color w:val="auto"/>
                      <w:kern w:val="0"/>
                    </w:rPr>
                  </w:pPr>
                  <w:r>
                    <w:rPr>
                      <w:color w:val="auto"/>
                      <w:kern w:val="0"/>
                    </w:rPr>
                    <w:t>达标</w:t>
                  </w:r>
                </w:p>
              </w:tc>
            </w:tr>
            <w:tr w14:paraId="3A84FA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981" w:type="dxa"/>
                  <w:vMerge w:val="continue"/>
                  <w:tcBorders>
                    <w:left w:val="nil"/>
                  </w:tcBorders>
                  <w:vAlign w:val="center"/>
                </w:tcPr>
                <w:p w14:paraId="3A84F9FD">
                  <w:pPr>
                    <w:adjustRightInd w:val="0"/>
                    <w:snapToGrid w:val="0"/>
                    <w:jc w:val="center"/>
                    <w:rPr>
                      <w:color w:val="auto"/>
                      <w:kern w:val="0"/>
                    </w:rPr>
                  </w:pPr>
                </w:p>
              </w:tc>
              <w:tc>
                <w:tcPr>
                  <w:tcW w:w="2932" w:type="dxa"/>
                  <w:vAlign w:val="center"/>
                </w:tcPr>
                <w:p w14:paraId="3A84F9FE">
                  <w:pPr>
                    <w:adjustRightInd w:val="0"/>
                    <w:snapToGrid w:val="0"/>
                    <w:jc w:val="center"/>
                    <w:rPr>
                      <w:color w:val="auto"/>
                      <w:kern w:val="0"/>
                      <w:lang w:bidi="zh-CN"/>
                    </w:rPr>
                  </w:pPr>
                  <w:r>
                    <w:rPr>
                      <w:rFonts w:hint="eastAsia"/>
                      <w:color w:val="auto"/>
                      <w:kern w:val="0"/>
                    </w:rPr>
                    <w:t>日平均质量浓度范围</w:t>
                  </w:r>
                </w:p>
              </w:tc>
              <w:tc>
                <w:tcPr>
                  <w:tcW w:w="1291" w:type="dxa"/>
                  <w:vAlign w:val="center"/>
                </w:tcPr>
                <w:p w14:paraId="3A84F9FF">
                  <w:pPr>
                    <w:adjustRightInd w:val="0"/>
                    <w:snapToGrid w:val="0"/>
                    <w:jc w:val="center"/>
                    <w:rPr>
                      <w:color w:val="auto"/>
                      <w:kern w:val="0"/>
                      <w:lang w:bidi="zh-CN"/>
                    </w:rPr>
                  </w:pPr>
                  <w:r>
                    <w:rPr>
                      <w:rFonts w:hint="eastAsia"/>
                      <w:color w:val="auto"/>
                      <w:kern w:val="0"/>
                    </w:rPr>
                    <w:t>6~106</w:t>
                  </w:r>
                </w:p>
              </w:tc>
              <w:tc>
                <w:tcPr>
                  <w:tcW w:w="1228" w:type="dxa"/>
                  <w:vAlign w:val="center"/>
                </w:tcPr>
                <w:p w14:paraId="3A84FA00">
                  <w:pPr>
                    <w:adjustRightInd w:val="0"/>
                    <w:snapToGrid w:val="0"/>
                    <w:jc w:val="center"/>
                    <w:rPr>
                      <w:color w:val="auto"/>
                      <w:kern w:val="0"/>
                    </w:rPr>
                  </w:pPr>
                  <w:r>
                    <w:rPr>
                      <w:rFonts w:hint="eastAsia"/>
                      <w:color w:val="auto"/>
                      <w:kern w:val="0"/>
                    </w:rPr>
                    <w:t>80</w:t>
                  </w:r>
                </w:p>
              </w:tc>
              <w:tc>
                <w:tcPr>
                  <w:tcW w:w="1057" w:type="dxa"/>
                  <w:vAlign w:val="center"/>
                </w:tcPr>
                <w:p w14:paraId="3A84FA01">
                  <w:pPr>
                    <w:widowControl/>
                    <w:adjustRightInd w:val="0"/>
                    <w:snapToGrid w:val="0"/>
                    <w:jc w:val="center"/>
                    <w:textAlignment w:val="center"/>
                    <w:rPr>
                      <w:color w:val="auto"/>
                      <w:kern w:val="0"/>
                    </w:rPr>
                  </w:pPr>
                  <w:r>
                    <w:rPr>
                      <w:rFonts w:hint="eastAsia"/>
                      <w:color w:val="auto"/>
                      <w:kern w:val="0"/>
                    </w:rPr>
                    <w:t>98.1</w:t>
                  </w:r>
                </w:p>
              </w:tc>
              <w:tc>
                <w:tcPr>
                  <w:tcW w:w="1240" w:type="dxa"/>
                  <w:tcBorders>
                    <w:right w:val="nil"/>
                  </w:tcBorders>
                  <w:vAlign w:val="center"/>
                </w:tcPr>
                <w:p w14:paraId="3A84FA02">
                  <w:pPr>
                    <w:adjustRightInd w:val="0"/>
                    <w:snapToGrid w:val="0"/>
                    <w:jc w:val="center"/>
                    <w:rPr>
                      <w:color w:val="auto"/>
                      <w:kern w:val="0"/>
                    </w:rPr>
                  </w:pPr>
                  <w:r>
                    <w:rPr>
                      <w:rFonts w:hint="eastAsia"/>
                      <w:color w:val="auto"/>
                      <w:kern w:val="0"/>
                    </w:rPr>
                    <w:t>不达标</w:t>
                  </w:r>
                </w:p>
              </w:tc>
            </w:tr>
            <w:tr w14:paraId="3A84F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981" w:type="dxa"/>
                  <w:tcBorders>
                    <w:left w:val="nil"/>
                  </w:tcBorders>
                  <w:vAlign w:val="center"/>
                </w:tcPr>
                <w:p w14:paraId="3A84FA04">
                  <w:pPr>
                    <w:adjustRightInd w:val="0"/>
                    <w:snapToGrid w:val="0"/>
                    <w:jc w:val="center"/>
                    <w:rPr>
                      <w:color w:val="auto"/>
                      <w:kern w:val="0"/>
                    </w:rPr>
                  </w:pPr>
                  <w:r>
                    <w:rPr>
                      <w:color w:val="auto"/>
                      <w:kern w:val="0"/>
                    </w:rPr>
                    <w:t>CO</w:t>
                  </w:r>
                </w:p>
              </w:tc>
              <w:tc>
                <w:tcPr>
                  <w:tcW w:w="2932" w:type="dxa"/>
                  <w:vAlign w:val="center"/>
                </w:tcPr>
                <w:p w14:paraId="3A84FA05">
                  <w:pPr>
                    <w:adjustRightInd w:val="0"/>
                    <w:snapToGrid w:val="0"/>
                    <w:jc w:val="center"/>
                    <w:rPr>
                      <w:color w:val="auto"/>
                      <w:kern w:val="0"/>
                    </w:rPr>
                  </w:pPr>
                  <w:r>
                    <w:rPr>
                      <w:rFonts w:hint="eastAsia"/>
                      <w:color w:val="auto"/>
                      <w:kern w:val="0"/>
                    </w:rPr>
                    <w:t>日均值的第95百分位数</w:t>
                  </w:r>
                </w:p>
              </w:tc>
              <w:tc>
                <w:tcPr>
                  <w:tcW w:w="1291" w:type="dxa"/>
                  <w:vAlign w:val="center"/>
                </w:tcPr>
                <w:p w14:paraId="3A84FA06">
                  <w:pPr>
                    <w:adjustRightInd w:val="0"/>
                    <w:snapToGrid w:val="0"/>
                    <w:jc w:val="center"/>
                    <w:rPr>
                      <w:color w:val="auto"/>
                      <w:kern w:val="0"/>
                    </w:rPr>
                  </w:pPr>
                  <w:r>
                    <w:rPr>
                      <w:rFonts w:hint="eastAsia"/>
                      <w:color w:val="auto"/>
                      <w:kern w:val="0"/>
                    </w:rPr>
                    <w:t>1100</w:t>
                  </w:r>
                </w:p>
              </w:tc>
              <w:tc>
                <w:tcPr>
                  <w:tcW w:w="1228" w:type="dxa"/>
                  <w:vAlign w:val="center"/>
                </w:tcPr>
                <w:p w14:paraId="3A84FA07">
                  <w:pPr>
                    <w:adjustRightInd w:val="0"/>
                    <w:snapToGrid w:val="0"/>
                    <w:jc w:val="center"/>
                    <w:rPr>
                      <w:color w:val="auto"/>
                      <w:kern w:val="0"/>
                    </w:rPr>
                  </w:pPr>
                  <w:r>
                    <w:rPr>
                      <w:color w:val="auto"/>
                      <w:kern w:val="0"/>
                    </w:rPr>
                    <w:t>4000</w:t>
                  </w:r>
                </w:p>
              </w:tc>
              <w:tc>
                <w:tcPr>
                  <w:tcW w:w="1057" w:type="dxa"/>
                  <w:vAlign w:val="center"/>
                </w:tcPr>
                <w:p w14:paraId="3A84FA08">
                  <w:pPr>
                    <w:widowControl/>
                    <w:adjustRightInd w:val="0"/>
                    <w:snapToGrid w:val="0"/>
                    <w:jc w:val="center"/>
                    <w:textAlignment w:val="center"/>
                    <w:rPr>
                      <w:color w:val="auto"/>
                      <w:kern w:val="0"/>
                    </w:rPr>
                  </w:pPr>
                  <w:r>
                    <w:rPr>
                      <w:rFonts w:hint="eastAsia"/>
                      <w:color w:val="auto"/>
                      <w:kern w:val="0"/>
                    </w:rPr>
                    <w:t>100</w:t>
                  </w:r>
                </w:p>
              </w:tc>
              <w:tc>
                <w:tcPr>
                  <w:tcW w:w="1240" w:type="dxa"/>
                  <w:tcBorders>
                    <w:right w:val="nil"/>
                  </w:tcBorders>
                  <w:vAlign w:val="center"/>
                </w:tcPr>
                <w:p w14:paraId="3A84FA09">
                  <w:pPr>
                    <w:adjustRightInd w:val="0"/>
                    <w:snapToGrid w:val="0"/>
                    <w:jc w:val="center"/>
                    <w:rPr>
                      <w:color w:val="auto"/>
                      <w:kern w:val="0"/>
                    </w:rPr>
                  </w:pPr>
                  <w:r>
                    <w:rPr>
                      <w:color w:val="auto"/>
                      <w:kern w:val="0"/>
                    </w:rPr>
                    <w:t>达标</w:t>
                  </w:r>
                </w:p>
              </w:tc>
            </w:tr>
            <w:tr w14:paraId="3A84F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981" w:type="dxa"/>
                  <w:tcBorders>
                    <w:left w:val="nil"/>
                    <w:bottom w:val="single" w:color="auto" w:sz="12" w:space="0"/>
                  </w:tcBorders>
                  <w:vAlign w:val="center"/>
                </w:tcPr>
                <w:p w14:paraId="3A84FA0B">
                  <w:pPr>
                    <w:adjustRightInd w:val="0"/>
                    <w:snapToGrid w:val="0"/>
                    <w:jc w:val="center"/>
                    <w:rPr>
                      <w:color w:val="auto"/>
                      <w:kern w:val="0"/>
                    </w:rPr>
                  </w:pPr>
                  <w:r>
                    <w:rPr>
                      <w:color w:val="auto"/>
                      <w:kern w:val="0"/>
                    </w:rPr>
                    <w:t>O</w:t>
                  </w:r>
                  <w:r>
                    <w:rPr>
                      <w:color w:val="auto"/>
                      <w:kern w:val="0"/>
                      <w:vertAlign w:val="subscript"/>
                    </w:rPr>
                    <w:t>3</w:t>
                  </w:r>
                </w:p>
              </w:tc>
              <w:tc>
                <w:tcPr>
                  <w:tcW w:w="2932" w:type="dxa"/>
                  <w:tcBorders>
                    <w:bottom w:val="single" w:color="auto" w:sz="12" w:space="0"/>
                  </w:tcBorders>
                  <w:vAlign w:val="center"/>
                </w:tcPr>
                <w:p w14:paraId="3A84FA0C">
                  <w:pPr>
                    <w:adjustRightInd w:val="0"/>
                    <w:snapToGrid w:val="0"/>
                    <w:jc w:val="center"/>
                    <w:rPr>
                      <w:color w:val="auto"/>
                      <w:kern w:val="0"/>
                    </w:rPr>
                  </w:pPr>
                  <w:r>
                    <w:rPr>
                      <w:rFonts w:hint="eastAsia"/>
                      <w:color w:val="auto"/>
                      <w:kern w:val="0"/>
                    </w:rPr>
                    <w:t>日最大8小时滑动平均值的第90百分位数</w:t>
                  </w:r>
                </w:p>
              </w:tc>
              <w:tc>
                <w:tcPr>
                  <w:tcW w:w="1291" w:type="dxa"/>
                  <w:tcBorders>
                    <w:bottom w:val="single" w:color="auto" w:sz="12" w:space="0"/>
                  </w:tcBorders>
                  <w:vAlign w:val="center"/>
                </w:tcPr>
                <w:p w14:paraId="3A84FA0D">
                  <w:pPr>
                    <w:adjustRightInd w:val="0"/>
                    <w:snapToGrid w:val="0"/>
                    <w:jc w:val="center"/>
                    <w:rPr>
                      <w:color w:val="auto"/>
                      <w:kern w:val="0"/>
                    </w:rPr>
                  </w:pPr>
                  <w:r>
                    <w:rPr>
                      <w:rFonts w:hint="eastAsia"/>
                      <w:color w:val="auto"/>
                      <w:kern w:val="0"/>
                    </w:rPr>
                    <w:t>174</w:t>
                  </w:r>
                </w:p>
              </w:tc>
              <w:tc>
                <w:tcPr>
                  <w:tcW w:w="1228" w:type="dxa"/>
                  <w:tcBorders>
                    <w:bottom w:val="single" w:color="auto" w:sz="12" w:space="0"/>
                  </w:tcBorders>
                  <w:vAlign w:val="center"/>
                </w:tcPr>
                <w:p w14:paraId="3A84FA0E">
                  <w:pPr>
                    <w:adjustRightInd w:val="0"/>
                    <w:snapToGrid w:val="0"/>
                    <w:jc w:val="center"/>
                    <w:rPr>
                      <w:color w:val="auto"/>
                      <w:kern w:val="0"/>
                    </w:rPr>
                  </w:pPr>
                  <w:r>
                    <w:rPr>
                      <w:color w:val="auto"/>
                      <w:kern w:val="0"/>
                    </w:rPr>
                    <w:t>160</w:t>
                  </w:r>
                </w:p>
              </w:tc>
              <w:tc>
                <w:tcPr>
                  <w:tcW w:w="1057" w:type="dxa"/>
                  <w:tcBorders>
                    <w:bottom w:val="single" w:color="auto" w:sz="12" w:space="0"/>
                  </w:tcBorders>
                  <w:vAlign w:val="center"/>
                </w:tcPr>
                <w:p w14:paraId="3A84FA0F">
                  <w:pPr>
                    <w:widowControl/>
                    <w:adjustRightInd w:val="0"/>
                    <w:snapToGrid w:val="0"/>
                    <w:jc w:val="center"/>
                    <w:textAlignment w:val="center"/>
                    <w:rPr>
                      <w:color w:val="auto"/>
                      <w:kern w:val="0"/>
                    </w:rPr>
                  </w:pPr>
                  <w:r>
                    <w:rPr>
                      <w:rFonts w:hint="eastAsia"/>
                      <w:color w:val="auto"/>
                      <w:kern w:val="0"/>
                    </w:rPr>
                    <w:t>85.5</w:t>
                  </w:r>
                </w:p>
              </w:tc>
              <w:tc>
                <w:tcPr>
                  <w:tcW w:w="1240" w:type="dxa"/>
                  <w:tcBorders>
                    <w:bottom w:val="single" w:color="auto" w:sz="12" w:space="0"/>
                    <w:right w:val="nil"/>
                  </w:tcBorders>
                  <w:vAlign w:val="center"/>
                </w:tcPr>
                <w:p w14:paraId="3A84FA10">
                  <w:pPr>
                    <w:adjustRightInd w:val="0"/>
                    <w:snapToGrid w:val="0"/>
                    <w:jc w:val="center"/>
                    <w:rPr>
                      <w:color w:val="auto"/>
                      <w:kern w:val="0"/>
                    </w:rPr>
                  </w:pPr>
                  <w:r>
                    <w:rPr>
                      <w:color w:val="auto"/>
                      <w:kern w:val="0"/>
                    </w:rPr>
                    <w:t>不达标</w:t>
                  </w:r>
                </w:p>
              </w:tc>
            </w:tr>
          </w:tbl>
          <w:p w14:paraId="3A84FA12">
            <w:pPr>
              <w:widowControl/>
              <w:adjustRightInd w:val="0"/>
              <w:snapToGrid w:val="0"/>
              <w:spacing w:line="360" w:lineRule="auto"/>
              <w:ind w:firstLine="420" w:firstLineChars="200"/>
              <w:rPr>
                <w:color w:val="auto"/>
                <w:kern w:val="0"/>
              </w:rPr>
            </w:pPr>
            <w:r>
              <w:rPr>
                <w:bCs/>
                <w:color w:val="auto"/>
                <w:kern w:val="0"/>
              </w:rPr>
              <w:t>由上表可知，202</w:t>
            </w:r>
            <w:r>
              <w:rPr>
                <w:rFonts w:hint="eastAsia"/>
                <w:bCs/>
                <w:color w:val="auto"/>
                <w:kern w:val="0"/>
              </w:rPr>
              <w:t>3</w:t>
            </w:r>
            <w:r>
              <w:rPr>
                <w:bCs/>
                <w:color w:val="auto"/>
                <w:kern w:val="0"/>
              </w:rPr>
              <w:t>年常州市环境空气中SO</w:t>
            </w:r>
            <w:r>
              <w:rPr>
                <w:bCs/>
                <w:color w:val="auto"/>
                <w:kern w:val="0"/>
                <w:vertAlign w:val="subscript"/>
              </w:rPr>
              <w:t>2</w:t>
            </w:r>
            <w:r>
              <w:rPr>
                <w:bCs/>
                <w:color w:val="auto"/>
                <w:kern w:val="0"/>
              </w:rPr>
              <w:t>、NO</w:t>
            </w:r>
            <w:r>
              <w:rPr>
                <w:bCs/>
                <w:color w:val="auto"/>
                <w:kern w:val="0"/>
                <w:vertAlign w:val="subscript"/>
              </w:rPr>
              <w:t>2</w:t>
            </w:r>
            <w:r>
              <w:rPr>
                <w:bCs/>
                <w:color w:val="auto"/>
                <w:kern w:val="0"/>
              </w:rPr>
              <w:t>、PM</w:t>
            </w:r>
            <w:r>
              <w:rPr>
                <w:bCs/>
                <w:color w:val="auto"/>
                <w:kern w:val="0"/>
                <w:vertAlign w:val="subscript"/>
              </w:rPr>
              <w:t>10</w:t>
            </w:r>
            <w:r>
              <w:rPr>
                <w:bCs/>
                <w:color w:val="auto"/>
                <w:kern w:val="0"/>
              </w:rPr>
              <w:t>和PM</w:t>
            </w:r>
            <w:r>
              <w:rPr>
                <w:rFonts w:hint="eastAsia"/>
                <w:bCs/>
                <w:color w:val="auto"/>
                <w:kern w:val="0"/>
                <w:vertAlign w:val="subscript"/>
              </w:rPr>
              <w:t>2.5</w:t>
            </w:r>
            <w:r>
              <w:rPr>
                <w:rFonts w:hint="eastAsia"/>
                <w:bCs/>
                <w:color w:val="auto"/>
                <w:kern w:val="0"/>
              </w:rPr>
              <w:t>年</w:t>
            </w:r>
            <w:r>
              <w:rPr>
                <w:bCs/>
                <w:color w:val="auto"/>
                <w:kern w:val="0"/>
              </w:rPr>
              <w:t>均值均达到《环境空气质量标准》</w:t>
            </w:r>
            <w:r>
              <w:rPr>
                <w:rFonts w:hint="eastAsia"/>
                <w:bCs/>
                <w:color w:val="auto"/>
                <w:kern w:val="0"/>
              </w:rPr>
              <w:t>（</w:t>
            </w:r>
            <w:r>
              <w:rPr>
                <w:bCs/>
                <w:color w:val="auto"/>
                <w:kern w:val="0"/>
              </w:rPr>
              <w:t>GB3095-2012</w:t>
            </w:r>
            <w:r>
              <w:rPr>
                <w:rFonts w:hint="eastAsia"/>
                <w:bCs/>
                <w:color w:val="auto"/>
                <w:kern w:val="0"/>
              </w:rPr>
              <w:t>）</w:t>
            </w:r>
            <w:r>
              <w:rPr>
                <w:bCs/>
                <w:color w:val="auto"/>
                <w:kern w:val="0"/>
              </w:rPr>
              <w:t>二级标准；SO</w:t>
            </w:r>
            <w:r>
              <w:rPr>
                <w:bCs/>
                <w:color w:val="auto"/>
                <w:kern w:val="0"/>
                <w:vertAlign w:val="subscript"/>
              </w:rPr>
              <w:t>2</w:t>
            </w:r>
            <w:r>
              <w:rPr>
                <w:rFonts w:hint="eastAsia"/>
                <w:bCs/>
                <w:color w:val="auto"/>
                <w:kern w:val="0"/>
              </w:rPr>
              <w:t>日均值以及</w:t>
            </w:r>
            <w:r>
              <w:rPr>
                <w:bCs/>
                <w:color w:val="auto"/>
                <w:kern w:val="0"/>
              </w:rPr>
              <w:t>一氧化碳</w:t>
            </w:r>
            <w:r>
              <w:rPr>
                <w:rFonts w:hint="eastAsia"/>
                <w:color w:val="auto"/>
                <w:kern w:val="0"/>
              </w:rPr>
              <w:t>日均值的第95百分位数</w:t>
            </w:r>
            <w:r>
              <w:rPr>
                <w:bCs/>
                <w:color w:val="auto"/>
                <w:kern w:val="0"/>
              </w:rPr>
              <w:t>均达到《环境空气质量标准》</w:t>
            </w:r>
            <w:r>
              <w:rPr>
                <w:rFonts w:hint="eastAsia"/>
                <w:bCs/>
                <w:color w:val="auto"/>
                <w:kern w:val="0"/>
              </w:rPr>
              <w:t>（</w:t>
            </w:r>
            <w:r>
              <w:rPr>
                <w:bCs/>
                <w:color w:val="auto"/>
                <w:kern w:val="0"/>
              </w:rPr>
              <w:t>GB3095-2012</w:t>
            </w:r>
            <w:r>
              <w:rPr>
                <w:rFonts w:hint="eastAsia"/>
                <w:bCs/>
                <w:color w:val="auto"/>
                <w:kern w:val="0"/>
              </w:rPr>
              <w:t>）</w:t>
            </w:r>
            <w:r>
              <w:rPr>
                <w:bCs/>
                <w:color w:val="auto"/>
                <w:kern w:val="0"/>
              </w:rPr>
              <w:t>二级标准；PM</w:t>
            </w:r>
            <w:r>
              <w:rPr>
                <w:bCs/>
                <w:color w:val="auto"/>
                <w:kern w:val="0"/>
                <w:vertAlign w:val="subscript"/>
              </w:rPr>
              <w:t>2.5</w:t>
            </w:r>
            <w:r>
              <w:rPr>
                <w:rFonts w:hint="eastAsia"/>
                <w:bCs/>
                <w:color w:val="auto"/>
                <w:kern w:val="0"/>
              </w:rPr>
              <w:t>日均浓度值、</w:t>
            </w:r>
            <w:r>
              <w:rPr>
                <w:bCs/>
                <w:color w:val="auto"/>
                <w:kern w:val="0"/>
              </w:rPr>
              <w:t>PM</w:t>
            </w:r>
            <w:r>
              <w:rPr>
                <w:rFonts w:hint="eastAsia"/>
                <w:bCs/>
                <w:color w:val="auto"/>
                <w:kern w:val="0"/>
                <w:vertAlign w:val="subscript"/>
              </w:rPr>
              <w:t>10</w:t>
            </w:r>
            <w:r>
              <w:rPr>
                <w:rFonts w:hint="eastAsia"/>
                <w:bCs/>
                <w:color w:val="auto"/>
                <w:kern w:val="0"/>
              </w:rPr>
              <w:t>日均浓度值、NO</w:t>
            </w:r>
            <w:r>
              <w:rPr>
                <w:rFonts w:hint="eastAsia"/>
                <w:bCs/>
                <w:color w:val="auto"/>
                <w:kern w:val="0"/>
                <w:vertAlign w:val="subscript"/>
              </w:rPr>
              <w:t>2</w:t>
            </w:r>
            <w:r>
              <w:rPr>
                <w:rFonts w:hint="eastAsia"/>
                <w:bCs/>
                <w:color w:val="auto"/>
                <w:kern w:val="0"/>
              </w:rPr>
              <w:t>日均浓度值</w:t>
            </w:r>
            <w:r>
              <w:rPr>
                <w:bCs/>
                <w:color w:val="auto"/>
                <w:kern w:val="0"/>
              </w:rPr>
              <w:t>和臭氧日最大8小时滑动均值均超过《环境空气质量标准》</w:t>
            </w:r>
            <w:r>
              <w:rPr>
                <w:rFonts w:hint="eastAsia"/>
                <w:bCs/>
                <w:color w:val="auto"/>
                <w:kern w:val="0"/>
              </w:rPr>
              <w:t>（</w:t>
            </w:r>
            <w:r>
              <w:rPr>
                <w:bCs/>
                <w:color w:val="auto"/>
                <w:kern w:val="0"/>
              </w:rPr>
              <w:t>GB3095-2012</w:t>
            </w:r>
            <w:r>
              <w:rPr>
                <w:rFonts w:hint="eastAsia"/>
                <w:bCs/>
                <w:color w:val="auto"/>
                <w:kern w:val="0"/>
              </w:rPr>
              <w:t>）</w:t>
            </w:r>
            <w:r>
              <w:rPr>
                <w:bCs/>
                <w:color w:val="auto"/>
                <w:kern w:val="0"/>
              </w:rPr>
              <w:t>二级标准，因此判定为非达标区</w:t>
            </w:r>
            <w:r>
              <w:rPr>
                <w:color w:val="auto"/>
                <w:kern w:val="0"/>
              </w:rPr>
              <w:t>。</w:t>
            </w:r>
          </w:p>
          <w:p w14:paraId="3A84FA13">
            <w:pPr>
              <w:spacing w:line="360" w:lineRule="auto"/>
              <w:ind w:firstLine="413" w:firstLineChars="196"/>
              <w:rPr>
                <w:b/>
                <w:bCs/>
                <w:color w:val="auto"/>
                <w:kern w:val="0"/>
              </w:rPr>
            </w:pPr>
            <w:r>
              <w:rPr>
                <w:rFonts w:hint="eastAsia"/>
                <w:b/>
                <w:bCs/>
                <w:color w:val="auto"/>
                <w:kern w:val="0"/>
              </w:rPr>
              <w:t>（2）特征污染物环境质量现状</w:t>
            </w:r>
          </w:p>
          <w:p w14:paraId="3A84FA14">
            <w:pPr>
              <w:spacing w:line="360" w:lineRule="auto"/>
              <w:ind w:firstLine="420" w:firstLineChars="200"/>
              <w:rPr>
                <w:color w:val="auto"/>
              </w:rPr>
            </w:pPr>
            <w:r>
              <w:rPr>
                <w:color w:val="auto"/>
              </w:rPr>
              <w:t>项目</w:t>
            </w:r>
            <w:r>
              <w:rPr>
                <w:rFonts w:hint="eastAsia"/>
                <w:color w:val="auto"/>
              </w:rPr>
              <w:t>大气</w:t>
            </w:r>
            <w:r>
              <w:rPr>
                <w:color w:val="auto"/>
              </w:rPr>
              <w:t>污染因子</w:t>
            </w:r>
            <w:r>
              <w:rPr>
                <w:rFonts w:hint="eastAsia"/>
                <w:color w:val="auto"/>
              </w:rPr>
              <w:t>主要酸性组分（以SO</w:t>
            </w:r>
            <w:r>
              <w:rPr>
                <w:rFonts w:hint="eastAsia"/>
                <w:color w:val="auto"/>
                <w:vertAlign w:val="subscript"/>
              </w:rPr>
              <w:t>2</w:t>
            </w:r>
            <w:r>
              <w:rPr>
                <w:rFonts w:hint="eastAsia"/>
                <w:color w:val="auto"/>
              </w:rPr>
              <w:t>、NOx为主，以及少量HCl）、CO、烟尘（颗粒物）、挥发性重金属、二噁英类物质、SNCR脱硝产生的氨、非甲烷总烃等。根据《环境影响评价技术导则 大气环境》（HJ2.2-2018）环境空气质量现状调查与评价要求，本次调查评价范围内非甲烷总烃的环境质量现状。</w:t>
            </w:r>
          </w:p>
          <w:p w14:paraId="3A84FA15">
            <w:pPr>
              <w:widowControl/>
              <w:adjustRightInd w:val="0"/>
              <w:snapToGrid w:val="0"/>
              <w:spacing w:line="360" w:lineRule="auto"/>
              <w:ind w:firstLine="420" w:firstLineChars="200"/>
              <w:jc w:val="left"/>
              <w:rPr>
                <w:rStyle w:val="71"/>
                <w:color w:val="auto"/>
                <w:kern w:val="0"/>
              </w:rPr>
            </w:pPr>
            <w:r>
              <w:rPr>
                <w:rFonts w:hint="eastAsia"/>
                <w:color w:val="auto"/>
                <w:kern w:val="0"/>
              </w:rPr>
              <w:t>针对本期项目排放的特征因子非甲烷总烃，本项目引用江苏久诚检验检测有限公司于</w:t>
            </w:r>
            <w:r>
              <w:rPr>
                <w:color w:val="auto"/>
              </w:rPr>
              <w:t>202</w:t>
            </w:r>
            <w:r>
              <w:rPr>
                <w:rFonts w:hint="eastAsia"/>
                <w:color w:val="auto"/>
              </w:rPr>
              <w:t>2</w:t>
            </w:r>
            <w:r>
              <w:rPr>
                <w:color w:val="auto"/>
              </w:rPr>
              <w:t>年</w:t>
            </w:r>
            <w:r>
              <w:rPr>
                <w:rFonts w:hint="eastAsia"/>
                <w:color w:val="auto"/>
              </w:rPr>
              <w:t>12</w:t>
            </w:r>
            <w:r>
              <w:rPr>
                <w:color w:val="auto"/>
              </w:rPr>
              <w:t>月</w:t>
            </w:r>
            <w:r>
              <w:rPr>
                <w:rFonts w:hint="eastAsia"/>
                <w:color w:val="auto"/>
              </w:rPr>
              <w:t>16</w:t>
            </w:r>
            <w:r>
              <w:rPr>
                <w:color w:val="auto"/>
              </w:rPr>
              <w:t>日-202</w:t>
            </w:r>
            <w:r>
              <w:rPr>
                <w:rFonts w:hint="eastAsia"/>
                <w:color w:val="auto"/>
              </w:rPr>
              <w:t>2</w:t>
            </w:r>
            <w:r>
              <w:rPr>
                <w:color w:val="auto"/>
              </w:rPr>
              <w:t>年</w:t>
            </w:r>
            <w:r>
              <w:rPr>
                <w:rFonts w:hint="eastAsia"/>
                <w:color w:val="auto"/>
              </w:rPr>
              <w:t>12</w:t>
            </w:r>
            <w:r>
              <w:rPr>
                <w:color w:val="auto"/>
              </w:rPr>
              <w:t>月</w:t>
            </w:r>
            <w:r>
              <w:rPr>
                <w:rFonts w:hint="eastAsia"/>
                <w:color w:val="auto"/>
              </w:rPr>
              <w:t>18</w:t>
            </w:r>
            <w:r>
              <w:rPr>
                <w:color w:val="auto"/>
              </w:rPr>
              <w:t>日</w:t>
            </w:r>
            <w:r>
              <w:rPr>
                <w:rFonts w:hint="eastAsia"/>
                <w:color w:val="auto"/>
                <w:kern w:val="0"/>
              </w:rPr>
              <w:t>对本项目</w:t>
            </w:r>
            <w:r>
              <w:rPr>
                <w:rFonts w:hint="eastAsia" w:ascii="Times New Roman" w:hAnsi="Times New Roman" w:eastAsia="宋体"/>
                <w:color w:val="auto"/>
                <w:kern w:val="0"/>
                <w:sz w:val="21"/>
                <w:szCs w:val="21"/>
              </w:rPr>
              <w:t>东</w:t>
            </w:r>
            <w:r>
              <w:rPr>
                <w:rFonts w:hint="eastAsia" w:ascii="Times New Roman" w:hAnsi="Times New Roman" w:eastAsia="宋体"/>
                <w:color w:val="auto"/>
                <w:kern w:val="0"/>
                <w:sz w:val="21"/>
                <w:szCs w:val="21"/>
                <w:lang w:val="en-US" w:eastAsia="zh-CN"/>
              </w:rPr>
              <w:t>北</w:t>
            </w:r>
            <w:r>
              <w:rPr>
                <w:rFonts w:hint="eastAsia" w:ascii="Times New Roman" w:hAnsi="Times New Roman" w:eastAsia="宋体"/>
                <w:color w:val="auto"/>
                <w:kern w:val="0"/>
                <w:sz w:val="21"/>
                <w:szCs w:val="21"/>
              </w:rPr>
              <w:t>侧</w:t>
            </w:r>
            <w:r>
              <w:rPr>
                <w:rFonts w:hint="eastAsia" w:ascii="Times New Roman" w:hAnsi="Times New Roman" w:eastAsia="宋体"/>
                <w:color w:val="auto"/>
                <w:kern w:val="0"/>
                <w:sz w:val="21"/>
                <w:szCs w:val="21"/>
                <w:lang w:val="en-US" w:eastAsia="zh-CN"/>
              </w:rPr>
              <w:t>3600</w:t>
            </w:r>
            <w:r>
              <w:rPr>
                <w:rFonts w:hint="eastAsia" w:ascii="Times New Roman" w:hAnsi="Times New Roman" w:eastAsia="宋体"/>
                <w:color w:val="auto"/>
                <w:kern w:val="0"/>
                <w:sz w:val="21"/>
                <w:szCs w:val="21"/>
              </w:rPr>
              <w:t>m</w:t>
            </w:r>
            <w:r>
              <w:rPr>
                <w:rFonts w:hint="eastAsia"/>
                <w:color w:val="auto"/>
                <w:kern w:val="0"/>
              </w:rPr>
              <w:t>处</w:t>
            </w:r>
            <w:r>
              <w:rPr>
                <w:rFonts w:hint="eastAsia"/>
                <w:color w:val="auto"/>
                <w:szCs w:val="21"/>
              </w:rPr>
              <w:t>江苏众成四氟防腐科技有限公司项目所在地</w:t>
            </w:r>
            <w:r>
              <w:rPr>
                <w:rFonts w:hint="eastAsia"/>
                <w:color w:val="auto"/>
                <w:kern w:val="0"/>
              </w:rPr>
              <w:t>监测点进行大气环境现状监测，监测报告编号：</w:t>
            </w:r>
            <w:r>
              <w:rPr>
                <w:rFonts w:hint="eastAsia"/>
                <w:color w:val="auto"/>
              </w:rPr>
              <w:t>JCH20220947</w:t>
            </w:r>
            <w:r>
              <w:rPr>
                <w:rFonts w:hint="eastAsia"/>
                <w:color w:val="auto"/>
                <w:kern w:val="0"/>
              </w:rPr>
              <w:t>。</w:t>
            </w:r>
          </w:p>
          <w:p w14:paraId="3A84FA16">
            <w:pPr>
              <w:spacing w:line="360" w:lineRule="auto"/>
              <w:ind w:firstLine="441" w:firstLineChars="209"/>
              <w:rPr>
                <w:color w:val="auto"/>
              </w:rPr>
            </w:pPr>
            <w:r>
              <w:rPr>
                <w:b/>
                <w:color w:val="auto"/>
              </w:rPr>
              <w:t>监测数据引用的有效性分析：</w:t>
            </w:r>
          </w:p>
          <w:p w14:paraId="3A84FA17">
            <w:pPr>
              <w:pStyle w:val="16"/>
              <w:keepNext/>
              <w:spacing w:line="360" w:lineRule="auto"/>
              <w:ind w:firstLine="420" w:firstLineChars="200"/>
              <w:rPr>
                <w:rFonts w:ascii="Times New Roman" w:hAnsi="Times New Roman" w:eastAsia="宋体"/>
                <w:color w:val="auto"/>
                <w:kern w:val="0"/>
                <w:sz w:val="21"/>
                <w:szCs w:val="21"/>
              </w:rPr>
            </w:pPr>
            <w:r>
              <w:rPr>
                <w:rFonts w:hint="eastAsia" w:ascii="Times New Roman" w:hAnsi="Times New Roman" w:eastAsia="宋体"/>
                <w:color w:val="auto"/>
                <w:kern w:val="0"/>
                <w:sz w:val="21"/>
                <w:szCs w:val="21"/>
              </w:rPr>
              <w:t>本项目引用因子为非甲烷总烃，监测时间为2022年1</w:t>
            </w:r>
            <w:r>
              <w:rPr>
                <w:rFonts w:hint="eastAsia" w:ascii="Times New Roman" w:hAnsi="Times New Roman" w:eastAsia="宋体"/>
                <w:color w:val="auto"/>
                <w:kern w:val="0"/>
                <w:sz w:val="21"/>
                <w:szCs w:val="21"/>
                <w:lang w:val="en-US" w:eastAsia="zh-CN"/>
              </w:rPr>
              <w:t>2</w:t>
            </w:r>
            <w:r>
              <w:rPr>
                <w:rFonts w:hint="eastAsia" w:ascii="Times New Roman" w:hAnsi="Times New Roman" w:eastAsia="宋体"/>
                <w:color w:val="auto"/>
                <w:kern w:val="0"/>
                <w:sz w:val="21"/>
                <w:szCs w:val="21"/>
              </w:rPr>
              <w:t>月，监测数据距今尚在3年有效期内，引用点位位于本项目东</w:t>
            </w:r>
            <w:r>
              <w:rPr>
                <w:rFonts w:hint="eastAsia" w:ascii="Times New Roman" w:hAnsi="Times New Roman" w:eastAsia="宋体"/>
                <w:color w:val="auto"/>
                <w:kern w:val="0"/>
                <w:sz w:val="21"/>
                <w:szCs w:val="21"/>
                <w:lang w:val="en-US" w:eastAsia="zh-CN"/>
              </w:rPr>
              <w:t>北</w:t>
            </w:r>
            <w:r>
              <w:rPr>
                <w:rFonts w:hint="eastAsia" w:ascii="Times New Roman" w:hAnsi="Times New Roman" w:eastAsia="宋体"/>
                <w:color w:val="auto"/>
                <w:kern w:val="0"/>
                <w:sz w:val="21"/>
                <w:szCs w:val="21"/>
              </w:rPr>
              <w:t>侧</w:t>
            </w:r>
            <w:r>
              <w:rPr>
                <w:rFonts w:hint="eastAsia" w:ascii="Times New Roman" w:hAnsi="Times New Roman" w:eastAsia="宋体"/>
                <w:color w:val="auto"/>
                <w:kern w:val="0"/>
                <w:sz w:val="21"/>
                <w:szCs w:val="21"/>
                <w:lang w:val="en-US" w:eastAsia="zh-CN"/>
              </w:rPr>
              <w:t>3600</w:t>
            </w:r>
            <w:r>
              <w:rPr>
                <w:rFonts w:hint="eastAsia" w:ascii="Times New Roman" w:hAnsi="Times New Roman" w:eastAsia="宋体"/>
                <w:color w:val="auto"/>
                <w:kern w:val="0"/>
                <w:sz w:val="21"/>
                <w:szCs w:val="21"/>
              </w:rPr>
              <w:t>m，在评价范围内的侧风向，监测期间至今，区域内未新增明显的大气污染源，因此本次引用的大气环境质量数据符合引用原则。</w:t>
            </w:r>
          </w:p>
          <w:p w14:paraId="3A84FA18">
            <w:pPr>
              <w:adjustRightInd w:val="0"/>
              <w:snapToGrid w:val="0"/>
              <w:jc w:val="center"/>
              <w:rPr>
                <w:b/>
                <w:color w:val="auto"/>
                <w:kern w:val="0"/>
              </w:rPr>
            </w:pPr>
            <w:r>
              <w:rPr>
                <w:color w:val="auto"/>
                <w:sz w:val="21"/>
                <w:szCs w:val="21"/>
              </w:rPr>
              <mc:AlternateContent>
                <mc:Choice Requires="wps">
                  <w:drawing>
                    <wp:anchor distT="0" distB="0" distL="114300" distR="114300" simplePos="0" relativeHeight="251665408" behindDoc="0" locked="0" layoutInCell="1" allowOverlap="1">
                      <wp:simplePos x="0" y="0"/>
                      <wp:positionH relativeFrom="column">
                        <wp:posOffset>3633470</wp:posOffset>
                      </wp:positionH>
                      <wp:positionV relativeFrom="paragraph">
                        <wp:posOffset>704850</wp:posOffset>
                      </wp:positionV>
                      <wp:extent cx="877570" cy="255270"/>
                      <wp:effectExtent l="0" t="0" r="0" b="0"/>
                      <wp:wrapNone/>
                      <wp:docPr id="16" name="文本框 8"/>
                      <wp:cNvGraphicFramePr/>
                      <a:graphic xmlns:a="http://schemas.openxmlformats.org/drawingml/2006/main">
                        <a:graphicData uri="http://schemas.microsoft.com/office/word/2010/wordprocessingShape">
                          <wps:wsp>
                            <wps:cNvSpPr txBox="1"/>
                            <wps:spPr>
                              <a:xfrm>
                                <a:off x="0" y="0"/>
                                <a:ext cx="877570" cy="255270"/>
                              </a:xfrm>
                              <a:prstGeom prst="rect">
                                <a:avLst/>
                              </a:prstGeom>
                              <a:noFill/>
                              <a:ln>
                                <a:noFill/>
                              </a:ln>
                            </wps:spPr>
                            <wps:txbx>
                              <w:txbxContent>
                                <w:p w14:paraId="6D553E7C">
                                  <w:pPr>
                                    <w:pStyle w:val="23"/>
                                    <w:keepNext w:val="0"/>
                                    <w:keepLines w:val="0"/>
                                    <w:pageBreakBefore w:val="0"/>
                                    <w:widowControl/>
                                    <w:kinsoku/>
                                    <w:wordWrap/>
                                    <w:overflowPunct/>
                                    <w:topLinePunct w:val="0"/>
                                    <w:bidi w:val="0"/>
                                    <w:adjustRightInd w:val="0"/>
                                    <w:snapToGrid w:val="0"/>
                                    <w:spacing w:line="240" w:lineRule="auto"/>
                                    <w:jc w:val="center"/>
                                    <w:textAlignment w:val="auto"/>
                                    <w:rPr>
                                      <w:b/>
                                      <w:bCs/>
                                      <w:color w:val="FF0000"/>
                                      <w:highlight w:val="yellow"/>
                                    </w:rPr>
                                  </w:pPr>
                                  <w:r>
                                    <w:rPr>
                                      <w:rFonts w:hint="eastAsia"/>
                                      <w:b/>
                                      <w:bCs/>
                                      <w:color w:val="FF0000"/>
                                      <w:highlight w:val="yellow"/>
                                    </w:rPr>
                                    <w:t>引用数据点</w:t>
                                  </w:r>
                                </w:p>
                              </w:txbxContent>
                            </wps:txbx>
                            <wps:bodyPr upright="1"/>
                          </wps:wsp>
                        </a:graphicData>
                      </a:graphic>
                    </wp:anchor>
                  </w:drawing>
                </mc:Choice>
                <mc:Fallback>
                  <w:pict>
                    <v:shape id="文本框 8" o:spid="_x0000_s1026" o:spt="202" type="#_x0000_t202" style="position:absolute;left:0pt;margin-left:286.1pt;margin-top:55.5pt;height:20.1pt;width:69.1pt;z-index:251665408;mso-width-relative:page;mso-height-relative:page;" filled="f" stroked="f" coordsize="21600,21600" o:gfxdata="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9XlgNcAAAAL&#10;AQAADwAAAAAAAAABACAAAAAiAAAAZHJzL2Rvd25yZXYueG1sUEsBAhQAFAAAAAgAh07iQLSPXpur&#10;AQAATgMAAA4AAAAAAAAAAQAgAAAAJgEAAGRycy9lMm9Eb2MueG1sUEsFBgAAAAAGAAYAWQEAAEMF&#10;AAAAAA==&#10;">
                      <v:fill on="f" focussize="0,0"/>
                      <v:stroke on="f"/>
                      <v:imagedata o:title=""/>
                      <o:lock v:ext="edit" aspectratio="f"/>
                      <v:textbox>
                        <w:txbxContent>
                          <w:p w14:paraId="6D553E7C">
                            <w:pPr>
                              <w:pStyle w:val="23"/>
                              <w:keepNext w:val="0"/>
                              <w:keepLines w:val="0"/>
                              <w:pageBreakBefore w:val="0"/>
                              <w:widowControl/>
                              <w:kinsoku/>
                              <w:wordWrap/>
                              <w:overflowPunct/>
                              <w:topLinePunct w:val="0"/>
                              <w:bidi w:val="0"/>
                              <w:adjustRightInd w:val="0"/>
                              <w:snapToGrid w:val="0"/>
                              <w:spacing w:line="240" w:lineRule="auto"/>
                              <w:jc w:val="center"/>
                              <w:textAlignment w:val="auto"/>
                              <w:rPr>
                                <w:b/>
                                <w:bCs/>
                                <w:color w:val="FF0000"/>
                                <w:highlight w:val="yellow"/>
                              </w:rPr>
                            </w:pPr>
                            <w:r>
                              <w:rPr>
                                <w:rFonts w:hint="eastAsia"/>
                                <w:b/>
                                <w:bCs/>
                                <w:color w:val="FF0000"/>
                                <w:highlight w:val="yellow"/>
                              </w:rPr>
                              <w:t>引用数据点</w:t>
                            </w:r>
                          </w:p>
                        </w:txbxContent>
                      </v:textbox>
                    </v:shape>
                  </w:pict>
                </mc:Fallback>
              </mc:AlternateContent>
            </w:r>
            <w:r>
              <w:rPr>
                <w:color w:val="auto"/>
                <w:sz w:val="21"/>
                <w:szCs w:val="21"/>
              </w:rPr>
              <mc:AlternateContent>
                <mc:Choice Requires="wps">
                  <w:drawing>
                    <wp:anchor distT="0" distB="0" distL="114300" distR="114300" simplePos="0" relativeHeight="251664384" behindDoc="0" locked="0" layoutInCell="1" allowOverlap="1">
                      <wp:simplePos x="0" y="0"/>
                      <wp:positionH relativeFrom="column">
                        <wp:posOffset>779145</wp:posOffset>
                      </wp:positionH>
                      <wp:positionV relativeFrom="paragraph">
                        <wp:posOffset>1951355</wp:posOffset>
                      </wp:positionV>
                      <wp:extent cx="877570" cy="264160"/>
                      <wp:effectExtent l="0" t="0" r="0" b="0"/>
                      <wp:wrapNone/>
                      <wp:docPr id="15" name="文本框 11"/>
                      <wp:cNvGraphicFramePr/>
                      <a:graphic xmlns:a="http://schemas.openxmlformats.org/drawingml/2006/main">
                        <a:graphicData uri="http://schemas.microsoft.com/office/word/2010/wordprocessingShape">
                          <wps:wsp>
                            <wps:cNvSpPr txBox="1"/>
                            <wps:spPr>
                              <a:xfrm>
                                <a:off x="0" y="0"/>
                                <a:ext cx="877570" cy="264160"/>
                              </a:xfrm>
                              <a:prstGeom prst="rect">
                                <a:avLst/>
                              </a:prstGeom>
                              <a:noFill/>
                              <a:ln>
                                <a:noFill/>
                              </a:ln>
                            </wps:spPr>
                            <wps:txbx>
                              <w:txbxContent>
                                <w:p w14:paraId="08811805">
                                  <w:pPr>
                                    <w:pStyle w:val="23"/>
                                    <w:keepNext w:val="0"/>
                                    <w:keepLines w:val="0"/>
                                    <w:pageBreakBefore w:val="0"/>
                                    <w:widowControl/>
                                    <w:kinsoku/>
                                    <w:wordWrap/>
                                    <w:overflowPunct/>
                                    <w:topLinePunct w:val="0"/>
                                    <w:bidi w:val="0"/>
                                    <w:adjustRightInd w:val="0"/>
                                    <w:snapToGrid w:val="0"/>
                                    <w:spacing w:line="240" w:lineRule="auto"/>
                                    <w:jc w:val="center"/>
                                    <w:textAlignment w:val="auto"/>
                                    <w:rPr>
                                      <w:b/>
                                      <w:bCs/>
                                      <w:color w:val="FF0000"/>
                                      <w:highlight w:val="yellow"/>
                                    </w:rPr>
                                  </w:pPr>
                                  <w:r>
                                    <w:rPr>
                                      <w:rFonts w:hint="eastAsia"/>
                                      <w:b/>
                                      <w:bCs/>
                                      <w:color w:val="FF0000"/>
                                      <w:highlight w:val="yellow"/>
                                    </w:rPr>
                                    <w:t>项目所在地</w:t>
                                  </w:r>
                                </w:p>
                              </w:txbxContent>
                            </wps:txbx>
                            <wps:bodyPr upright="1"/>
                          </wps:wsp>
                        </a:graphicData>
                      </a:graphic>
                    </wp:anchor>
                  </w:drawing>
                </mc:Choice>
                <mc:Fallback>
                  <w:pict>
                    <v:shape id="文本框 11" o:spid="_x0000_s1026" o:spt="202" type="#_x0000_t202" style="position:absolute;left:0pt;margin-left:61.35pt;margin-top:153.65pt;height:20.8pt;width:69.1pt;z-index:251664384;mso-width-relative:page;mso-height-relative:page;" filled="f" stroked="f" coordsize="21600,21600" o:gfxdata="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jmaCPY&#10;AAAACwEAAA8AAAAAAAAAAQAgAAAAIgAAAGRycy9kb3ducmV2LnhtbFBLAQIUABQAAAAIAIdO4kAP&#10;c+1FrgEAAE8DAAAOAAAAAAAAAAEAIAAAACcBAABkcnMvZTJvRG9jLnhtbFBLBQYAAAAABgAGAFkB&#10;AABHBQAAAAA=&#10;">
                      <v:fill on="f" focussize="0,0"/>
                      <v:stroke on="f"/>
                      <v:imagedata o:title=""/>
                      <o:lock v:ext="edit" aspectratio="f"/>
                      <v:textbox>
                        <w:txbxContent>
                          <w:p w14:paraId="08811805">
                            <w:pPr>
                              <w:pStyle w:val="23"/>
                              <w:keepNext w:val="0"/>
                              <w:keepLines w:val="0"/>
                              <w:pageBreakBefore w:val="0"/>
                              <w:widowControl/>
                              <w:kinsoku/>
                              <w:wordWrap/>
                              <w:overflowPunct/>
                              <w:topLinePunct w:val="0"/>
                              <w:bidi w:val="0"/>
                              <w:adjustRightInd w:val="0"/>
                              <w:snapToGrid w:val="0"/>
                              <w:spacing w:line="240" w:lineRule="auto"/>
                              <w:jc w:val="center"/>
                              <w:textAlignment w:val="auto"/>
                              <w:rPr>
                                <w:b/>
                                <w:bCs/>
                                <w:color w:val="FF0000"/>
                                <w:highlight w:val="yellow"/>
                              </w:rPr>
                            </w:pPr>
                            <w:r>
                              <w:rPr>
                                <w:rFonts w:hint="eastAsia"/>
                                <w:b/>
                                <w:bCs/>
                                <w:color w:val="FF0000"/>
                                <w:highlight w:val="yellow"/>
                              </w:rPr>
                              <w:t>项目所在地</w:t>
                            </w:r>
                          </w:p>
                        </w:txbxContent>
                      </v:textbox>
                    </v:shape>
                  </w:pict>
                </mc:Fallback>
              </mc:AlternateContent>
            </w:r>
            <w:r>
              <w:rPr>
                <w:color w:val="auto"/>
              </w:rPr>
              <mc:AlternateContent>
                <mc:Choice Requires="wps">
                  <w:drawing>
                    <wp:anchor distT="0" distB="0" distL="114300" distR="114300" simplePos="0" relativeHeight="251659264" behindDoc="0" locked="0" layoutInCell="1" allowOverlap="1">
                      <wp:simplePos x="0" y="0"/>
                      <wp:positionH relativeFrom="column">
                        <wp:posOffset>2221230</wp:posOffset>
                      </wp:positionH>
                      <wp:positionV relativeFrom="paragraph">
                        <wp:posOffset>1026160</wp:posOffset>
                      </wp:positionV>
                      <wp:extent cx="578485" cy="255270"/>
                      <wp:effectExtent l="0" t="0" r="0" b="0"/>
                      <wp:wrapNone/>
                      <wp:docPr id="1" name="文本框 14"/>
                      <wp:cNvGraphicFramePr/>
                      <a:graphic xmlns:a="http://schemas.openxmlformats.org/drawingml/2006/main">
                        <a:graphicData uri="http://schemas.microsoft.com/office/word/2010/wordprocessingShape">
                          <wps:wsp>
                            <wps:cNvSpPr txBox="1"/>
                            <wps:spPr>
                              <a:xfrm>
                                <a:off x="0" y="0"/>
                                <a:ext cx="578485" cy="255270"/>
                              </a:xfrm>
                              <a:prstGeom prst="rect">
                                <a:avLst/>
                              </a:prstGeom>
                              <a:noFill/>
                              <a:ln>
                                <a:noFill/>
                              </a:ln>
                            </wps:spPr>
                            <wps:txbx>
                              <w:txbxContent>
                                <w:p w14:paraId="3A850659">
                                  <w:pPr>
                                    <w:adjustRightInd w:val="0"/>
                                    <w:snapToGrid w:val="0"/>
                                    <w:jc w:val="center"/>
                                    <w:rPr>
                                      <w:b/>
                                      <w:bCs/>
                                      <w:color w:val="FF0000"/>
                                      <w:highlight w:val="yellow"/>
                                    </w:rPr>
                                  </w:pPr>
                                  <w:r>
                                    <w:rPr>
                                      <w:rFonts w:hint="eastAsia"/>
                                      <w:b/>
                                      <w:bCs/>
                                      <w:color w:val="FF0000"/>
                                      <w:highlight w:val="yellow"/>
                                      <w:lang w:val="en-US" w:eastAsia="zh-CN"/>
                                    </w:rPr>
                                    <w:t>36</w:t>
                                  </w:r>
                                  <w:r>
                                    <w:rPr>
                                      <w:rFonts w:hint="eastAsia"/>
                                      <w:b/>
                                      <w:bCs/>
                                      <w:color w:val="FF0000"/>
                                      <w:highlight w:val="yellow"/>
                                    </w:rPr>
                                    <w:t>00m</w:t>
                                  </w:r>
                                </w:p>
                                <w:p w14:paraId="3A85065A">
                                  <w:pPr>
                                    <w:pStyle w:val="23"/>
                                  </w:pPr>
                                </w:p>
                              </w:txbxContent>
                            </wps:txbx>
                            <wps:bodyPr upright="1"/>
                          </wps:wsp>
                        </a:graphicData>
                      </a:graphic>
                    </wp:anchor>
                  </w:drawing>
                </mc:Choice>
                <mc:Fallback>
                  <w:pict>
                    <v:shape id="文本框 14" o:spid="_x0000_s1026" o:spt="202" type="#_x0000_t202" style="position:absolute;left:0pt;margin-left:174.9pt;margin-top:80.8pt;height:20.1pt;width:45.55pt;z-index:251659264;mso-width-relative:page;mso-height-relative:page;" filled="f" stroked="f" coordsize="21600,21600" o:gfxdata="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dv3TnY&#10;AAAACwEAAA8AAAAAAAAAAQAgAAAAIgAAAGRycy9kb3ducmV2LnhtbFBLAQIUABQAAAAIAIdO4kCs&#10;bw//rgEAAE4DAAAOAAAAAAAAAAEAIAAAACcBAABkcnMvZTJvRG9jLnhtbFBLBQYAAAAABgAGAFkB&#10;AABHBQAAAAA=&#10;">
                      <v:fill on="f" focussize="0,0"/>
                      <v:stroke on="f"/>
                      <v:imagedata o:title=""/>
                      <o:lock v:ext="edit" aspectratio="f"/>
                      <v:textbox>
                        <w:txbxContent>
                          <w:p w14:paraId="3A850659">
                            <w:pPr>
                              <w:adjustRightInd w:val="0"/>
                              <w:snapToGrid w:val="0"/>
                              <w:jc w:val="center"/>
                              <w:rPr>
                                <w:b/>
                                <w:bCs/>
                                <w:color w:val="FF0000"/>
                                <w:highlight w:val="yellow"/>
                              </w:rPr>
                            </w:pPr>
                            <w:r>
                              <w:rPr>
                                <w:rFonts w:hint="eastAsia"/>
                                <w:b/>
                                <w:bCs/>
                                <w:color w:val="FF0000"/>
                                <w:highlight w:val="yellow"/>
                                <w:lang w:val="en-US" w:eastAsia="zh-CN"/>
                              </w:rPr>
                              <w:t>36</w:t>
                            </w:r>
                            <w:r>
                              <w:rPr>
                                <w:rFonts w:hint="eastAsia"/>
                                <w:b/>
                                <w:bCs/>
                                <w:color w:val="FF0000"/>
                                <w:highlight w:val="yellow"/>
                              </w:rPr>
                              <w:t>00m</w:t>
                            </w:r>
                          </w:p>
                          <w:p w14:paraId="3A85065A">
                            <w:pPr>
                              <w:pStyle w:val="23"/>
                            </w:pPr>
                          </w:p>
                        </w:txbxContent>
                      </v:textbox>
                    </v:shape>
                  </w:pict>
                </mc:Fallback>
              </mc:AlternateContent>
            </w:r>
            <w:r>
              <w:rPr>
                <w:color w:val="auto"/>
                <w:sz w:val="21"/>
                <w:szCs w:val="21"/>
              </w:rPr>
              <w:drawing>
                <wp:anchor distT="0" distB="0" distL="114300" distR="114300" simplePos="0" relativeHeight="251662336" behindDoc="0" locked="0" layoutInCell="1" allowOverlap="1">
                  <wp:simplePos x="0" y="0"/>
                  <wp:positionH relativeFrom="column">
                    <wp:posOffset>5196205</wp:posOffset>
                  </wp:positionH>
                  <wp:positionV relativeFrom="paragraph">
                    <wp:posOffset>3810</wp:posOffset>
                  </wp:positionV>
                  <wp:extent cx="333375" cy="523875"/>
                  <wp:effectExtent l="0" t="0" r="9525" b="9525"/>
                  <wp:wrapNone/>
                  <wp:docPr id="13" name="图片 7"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指北针"/>
                          <pic:cNvPicPr>
                            <a:picLocks noChangeAspect="1"/>
                          </pic:cNvPicPr>
                        </pic:nvPicPr>
                        <pic:blipFill>
                          <a:blip r:embed="rId70"/>
                          <a:stretch>
                            <a:fillRect/>
                          </a:stretch>
                        </pic:blipFill>
                        <pic:spPr>
                          <a:xfrm>
                            <a:off x="0" y="0"/>
                            <a:ext cx="333375" cy="523875"/>
                          </a:xfrm>
                          <a:prstGeom prst="rect">
                            <a:avLst/>
                          </a:prstGeom>
                          <a:noFill/>
                          <a:ln>
                            <a:noFill/>
                          </a:ln>
                        </pic:spPr>
                      </pic:pic>
                    </a:graphicData>
                  </a:graphic>
                </wp:anchor>
              </w:drawing>
            </w:r>
            <w:r>
              <w:rPr>
                <w:color w:val="auto"/>
                <w:sz w:val="21"/>
                <w:szCs w:val="21"/>
              </w:rPr>
              <mc:AlternateContent>
                <mc:Choice Requires="wps">
                  <w:drawing>
                    <wp:anchor distT="0" distB="0" distL="114300" distR="114300" simplePos="0" relativeHeight="251663360" behindDoc="0" locked="0" layoutInCell="1" allowOverlap="1">
                      <wp:simplePos x="0" y="0"/>
                      <wp:positionH relativeFrom="column">
                        <wp:posOffset>1200150</wp:posOffset>
                      </wp:positionH>
                      <wp:positionV relativeFrom="paragraph">
                        <wp:posOffset>706120</wp:posOffset>
                      </wp:positionV>
                      <wp:extent cx="2743200" cy="1171575"/>
                      <wp:effectExtent l="0" t="5080" r="0" b="23495"/>
                      <wp:wrapNone/>
                      <wp:docPr id="14" name="直线 13"/>
                      <wp:cNvGraphicFramePr/>
                      <a:graphic xmlns:a="http://schemas.openxmlformats.org/drawingml/2006/main">
                        <a:graphicData uri="http://schemas.microsoft.com/office/word/2010/wordprocessingShape">
                          <wps:wsp>
                            <wps:cNvCnPr/>
                            <wps:spPr>
                              <a:xfrm flipV="1">
                                <a:off x="0" y="0"/>
                                <a:ext cx="2743200" cy="1171575"/>
                              </a:xfrm>
                              <a:prstGeom prst="line">
                                <a:avLst/>
                              </a:prstGeom>
                              <a:ln w="19050" cap="flat" cmpd="sng">
                                <a:solidFill>
                                  <a:srgbClr val="FF0000"/>
                                </a:solidFill>
                                <a:prstDash val="solid"/>
                                <a:headEnd type="triangle" w="med" len="med"/>
                                <a:tailEnd type="triangle" w="med" len="med"/>
                              </a:ln>
                            </wps:spPr>
                            <wps:bodyPr upright="1"/>
                          </wps:wsp>
                        </a:graphicData>
                      </a:graphic>
                    </wp:anchor>
                  </w:drawing>
                </mc:Choice>
                <mc:Fallback>
                  <w:pict>
                    <v:line id="直线 13" o:spid="_x0000_s1026" o:spt="20" style="position:absolute;left:0pt;flip:y;margin-left:94.5pt;margin-top:55.6pt;height:92.25pt;width:216pt;z-index:251663360;mso-width-relative:page;mso-height-relative:page;" filled="f" stroked="t" coordsize="21600,21600" o:gfxdata="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2dzLzWAAAACwEAAA8AAAAAAAAAAQAgAAAAIgAAAGRycy9kb3ducmV2LnhtbFBL&#10;AQIUABQAAAAIAIdO4kB9Qf+z+AEAAPYDAAAOAAAAAAAAAAEAIAAAACUBAABkcnMvZTJvRG9jLnht&#10;bFBLBQYAAAAABgAGAFkBAACPBQAAAAA=&#10;">
                      <v:fill on="f" focussize="0,0"/>
                      <v:stroke weight="1.5pt" color="#FF0000" joinstyle="round" startarrow="block" endarrow="block"/>
                      <v:imagedata o:title=""/>
                      <o:lock v:ext="edit" aspectratio="f"/>
                    </v:line>
                  </w:pict>
                </mc:Fallback>
              </mc:AlternateContent>
            </w:r>
            <w:r>
              <w:rPr>
                <w:color w:val="auto"/>
              </w:rPr>
              <w:drawing>
                <wp:inline distT="0" distB="0" distL="114300" distR="114300">
                  <wp:extent cx="5539105" cy="2800350"/>
                  <wp:effectExtent l="0" t="0" r="4445" b="0"/>
                  <wp:docPr id="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2"/>
                          <pic:cNvPicPr>
                            <a:picLocks noChangeAspect="1"/>
                          </pic:cNvPicPr>
                        </pic:nvPicPr>
                        <pic:blipFill>
                          <a:blip r:embed="rId71"/>
                          <a:stretch>
                            <a:fillRect/>
                          </a:stretch>
                        </pic:blipFill>
                        <pic:spPr>
                          <a:xfrm>
                            <a:off x="0" y="0"/>
                            <a:ext cx="5539105" cy="2800350"/>
                          </a:xfrm>
                          <a:prstGeom prst="rect">
                            <a:avLst/>
                          </a:prstGeom>
                          <a:noFill/>
                          <a:ln>
                            <a:noFill/>
                          </a:ln>
                        </pic:spPr>
                      </pic:pic>
                    </a:graphicData>
                  </a:graphic>
                </wp:inline>
              </w:drawing>
            </w:r>
          </w:p>
          <w:p w14:paraId="3A84FA19">
            <w:pPr>
              <w:pStyle w:val="663"/>
              <w:spacing w:line="360" w:lineRule="auto"/>
              <w:rPr>
                <w:color w:val="auto"/>
              </w:rPr>
            </w:pPr>
            <w:r>
              <w:rPr>
                <w:color w:val="auto"/>
              </w:rPr>
              <w:t xml:space="preserve">图3-1  </w:t>
            </w:r>
            <w:r>
              <w:rPr>
                <w:rFonts w:hint="eastAsia"/>
                <w:color w:val="auto"/>
              </w:rPr>
              <w:t xml:space="preserve"> </w:t>
            </w:r>
            <w:r>
              <w:rPr>
                <w:color w:val="auto"/>
              </w:rPr>
              <w:t>环境</w:t>
            </w:r>
            <w:r>
              <w:rPr>
                <w:rFonts w:hint="eastAsia"/>
                <w:color w:val="auto"/>
              </w:rPr>
              <w:t>空气</w:t>
            </w:r>
            <w:r>
              <w:rPr>
                <w:color w:val="auto"/>
              </w:rPr>
              <w:t>质量现状监测</w:t>
            </w:r>
            <w:r>
              <w:rPr>
                <w:rFonts w:hint="eastAsia"/>
                <w:color w:val="auto"/>
              </w:rPr>
              <w:t>引用</w:t>
            </w:r>
            <w:r>
              <w:rPr>
                <w:color w:val="auto"/>
              </w:rPr>
              <w:t>点位图</w:t>
            </w:r>
          </w:p>
          <w:p w14:paraId="3A84FA1A">
            <w:pPr>
              <w:widowControl/>
              <w:adjustRightInd w:val="0"/>
              <w:snapToGrid w:val="0"/>
              <w:spacing w:line="360" w:lineRule="auto"/>
              <w:ind w:firstLine="420" w:firstLineChars="200"/>
              <w:jc w:val="left"/>
              <w:rPr>
                <w:rFonts w:cs="宋体"/>
                <w:color w:val="auto"/>
                <w:kern w:val="0"/>
                <w:lang w:bidi="ar"/>
              </w:rPr>
            </w:pPr>
            <w:r>
              <w:rPr>
                <w:rFonts w:hint="eastAsia" w:cs="宋体"/>
                <w:color w:val="auto"/>
                <w:kern w:val="0"/>
                <w:lang w:bidi="ar"/>
              </w:rPr>
              <w:t>本项目现状监测结果见表</w:t>
            </w:r>
            <w:r>
              <w:rPr>
                <w:color w:val="auto"/>
                <w:kern w:val="0"/>
                <w:lang w:bidi="ar"/>
              </w:rPr>
              <w:t>3-</w:t>
            </w:r>
            <w:r>
              <w:rPr>
                <w:rFonts w:hint="eastAsia"/>
                <w:color w:val="auto"/>
                <w:kern w:val="0"/>
                <w:lang w:bidi="ar"/>
              </w:rPr>
              <w:t>2</w:t>
            </w:r>
            <w:r>
              <w:rPr>
                <w:rFonts w:hint="eastAsia" w:cs="宋体"/>
                <w:color w:val="auto"/>
                <w:kern w:val="0"/>
                <w:lang w:bidi="ar"/>
              </w:rPr>
              <w:t>。</w:t>
            </w:r>
          </w:p>
          <w:p w14:paraId="3A84FA1B">
            <w:pPr>
              <w:pStyle w:val="23"/>
              <w:spacing w:line="240" w:lineRule="auto"/>
              <w:jc w:val="center"/>
              <w:rPr>
                <w:b/>
                <w:bCs/>
                <w:color w:val="auto"/>
                <w:sz w:val="21"/>
                <w:szCs w:val="21"/>
              </w:rPr>
            </w:pPr>
            <w:r>
              <w:rPr>
                <w:rFonts w:hint="eastAsia"/>
                <w:b/>
                <w:bCs/>
                <w:color w:val="auto"/>
                <w:sz w:val="21"/>
                <w:szCs w:val="21"/>
              </w:rPr>
              <w:t>表3-2   大气监测结果分析表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9"/>
              <w:gridCol w:w="870"/>
              <w:gridCol w:w="899"/>
              <w:gridCol w:w="1320"/>
              <w:gridCol w:w="1125"/>
              <w:gridCol w:w="845"/>
              <w:gridCol w:w="1123"/>
              <w:gridCol w:w="804"/>
            </w:tblGrid>
            <w:tr w14:paraId="3A84FA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996" w:type="pct"/>
                  <w:vAlign w:val="center"/>
                </w:tcPr>
                <w:p w14:paraId="3A84FA1C">
                  <w:pPr>
                    <w:adjustRightInd w:val="0"/>
                    <w:snapToGrid w:val="0"/>
                    <w:jc w:val="center"/>
                    <w:rPr>
                      <w:b/>
                      <w:iCs/>
                      <w:color w:val="auto"/>
                    </w:rPr>
                  </w:pPr>
                  <w:r>
                    <w:rPr>
                      <w:b/>
                      <w:iCs/>
                      <w:color w:val="auto"/>
                    </w:rPr>
                    <w:t>监测点位</w:t>
                  </w:r>
                </w:p>
              </w:tc>
              <w:tc>
                <w:tcPr>
                  <w:tcW w:w="498" w:type="pct"/>
                  <w:vAlign w:val="center"/>
                </w:tcPr>
                <w:p w14:paraId="3A84FA1D">
                  <w:pPr>
                    <w:adjustRightInd w:val="0"/>
                    <w:snapToGrid w:val="0"/>
                    <w:jc w:val="center"/>
                    <w:rPr>
                      <w:b/>
                      <w:iCs/>
                      <w:color w:val="auto"/>
                    </w:rPr>
                  </w:pPr>
                  <w:r>
                    <w:rPr>
                      <w:rFonts w:hint="eastAsia"/>
                      <w:b/>
                      <w:iCs/>
                      <w:color w:val="auto"/>
                    </w:rPr>
                    <w:t>方位及距离</w:t>
                  </w:r>
                </w:p>
              </w:tc>
              <w:tc>
                <w:tcPr>
                  <w:tcW w:w="515" w:type="pct"/>
                  <w:vAlign w:val="center"/>
                </w:tcPr>
                <w:p w14:paraId="3A84FA1E">
                  <w:pPr>
                    <w:adjustRightInd w:val="0"/>
                    <w:snapToGrid w:val="0"/>
                    <w:jc w:val="center"/>
                    <w:rPr>
                      <w:b/>
                      <w:iCs/>
                      <w:color w:val="auto"/>
                    </w:rPr>
                  </w:pPr>
                  <w:r>
                    <w:rPr>
                      <w:rFonts w:hint="eastAsia"/>
                      <w:b/>
                      <w:iCs/>
                      <w:color w:val="auto"/>
                    </w:rPr>
                    <w:t>监测因子</w:t>
                  </w:r>
                </w:p>
              </w:tc>
              <w:tc>
                <w:tcPr>
                  <w:tcW w:w="756" w:type="pct"/>
                  <w:vAlign w:val="center"/>
                </w:tcPr>
                <w:p w14:paraId="3A84FA1F">
                  <w:pPr>
                    <w:adjustRightInd w:val="0"/>
                    <w:snapToGrid w:val="0"/>
                    <w:jc w:val="center"/>
                    <w:rPr>
                      <w:b/>
                      <w:iCs/>
                      <w:color w:val="auto"/>
                    </w:rPr>
                  </w:pPr>
                  <w:r>
                    <w:rPr>
                      <w:b/>
                      <w:iCs/>
                      <w:color w:val="auto"/>
                    </w:rPr>
                    <w:t>监测浓度范围</w:t>
                  </w:r>
                  <w:r>
                    <w:rPr>
                      <w:b/>
                      <w:color w:val="auto"/>
                    </w:rPr>
                    <w:t>mg/m</w:t>
                  </w:r>
                  <w:r>
                    <w:rPr>
                      <w:b/>
                      <w:color w:val="auto"/>
                      <w:vertAlign w:val="superscript"/>
                    </w:rPr>
                    <w:t>3</w:t>
                  </w:r>
                </w:p>
              </w:tc>
              <w:tc>
                <w:tcPr>
                  <w:tcW w:w="644" w:type="pct"/>
                  <w:vAlign w:val="center"/>
                </w:tcPr>
                <w:p w14:paraId="3A84FA20">
                  <w:pPr>
                    <w:adjustRightInd w:val="0"/>
                    <w:snapToGrid w:val="0"/>
                    <w:jc w:val="center"/>
                    <w:rPr>
                      <w:b/>
                      <w:iCs/>
                      <w:color w:val="auto"/>
                    </w:rPr>
                  </w:pPr>
                  <w:r>
                    <w:rPr>
                      <w:rFonts w:hint="eastAsia"/>
                      <w:b/>
                      <w:iCs/>
                      <w:color w:val="auto"/>
                    </w:rPr>
                    <w:t>最大浓度</w:t>
                  </w:r>
                  <w:r>
                    <w:rPr>
                      <w:b/>
                      <w:iCs/>
                      <w:color w:val="auto"/>
                    </w:rPr>
                    <w:t>占标率%</w:t>
                  </w:r>
                </w:p>
              </w:tc>
              <w:tc>
                <w:tcPr>
                  <w:tcW w:w="484" w:type="pct"/>
                  <w:vAlign w:val="center"/>
                </w:tcPr>
                <w:p w14:paraId="3A84FA21">
                  <w:pPr>
                    <w:adjustRightInd w:val="0"/>
                    <w:snapToGrid w:val="0"/>
                    <w:jc w:val="center"/>
                    <w:rPr>
                      <w:b/>
                      <w:iCs/>
                      <w:color w:val="auto"/>
                    </w:rPr>
                  </w:pPr>
                  <w:r>
                    <w:rPr>
                      <w:b/>
                      <w:iCs/>
                      <w:color w:val="auto"/>
                    </w:rPr>
                    <w:t>超标率%</w:t>
                  </w:r>
                </w:p>
              </w:tc>
              <w:tc>
                <w:tcPr>
                  <w:tcW w:w="643" w:type="pct"/>
                  <w:vAlign w:val="center"/>
                </w:tcPr>
                <w:p w14:paraId="3A84FA22">
                  <w:pPr>
                    <w:adjustRightInd w:val="0"/>
                    <w:snapToGrid w:val="0"/>
                    <w:jc w:val="center"/>
                    <w:rPr>
                      <w:b/>
                      <w:iCs/>
                      <w:color w:val="auto"/>
                    </w:rPr>
                  </w:pPr>
                  <w:r>
                    <w:rPr>
                      <w:b/>
                      <w:iCs/>
                      <w:color w:val="auto"/>
                    </w:rPr>
                    <w:t>评价标准</w:t>
                  </w:r>
                  <w:r>
                    <w:rPr>
                      <w:b/>
                      <w:color w:val="auto"/>
                    </w:rPr>
                    <w:t>mg/m</w:t>
                  </w:r>
                  <w:r>
                    <w:rPr>
                      <w:b/>
                      <w:color w:val="auto"/>
                      <w:vertAlign w:val="superscript"/>
                    </w:rPr>
                    <w:t>3</w:t>
                  </w:r>
                </w:p>
              </w:tc>
              <w:tc>
                <w:tcPr>
                  <w:tcW w:w="460" w:type="pct"/>
                  <w:vAlign w:val="center"/>
                </w:tcPr>
                <w:p w14:paraId="3A84FA23">
                  <w:pPr>
                    <w:adjustRightInd w:val="0"/>
                    <w:snapToGrid w:val="0"/>
                    <w:jc w:val="center"/>
                    <w:rPr>
                      <w:b/>
                      <w:iCs/>
                      <w:color w:val="auto"/>
                    </w:rPr>
                  </w:pPr>
                  <w:r>
                    <w:rPr>
                      <w:b/>
                      <w:iCs/>
                      <w:color w:val="auto"/>
                    </w:rPr>
                    <w:t>达标情况</w:t>
                  </w:r>
                </w:p>
              </w:tc>
            </w:tr>
            <w:tr w14:paraId="3A84F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vAlign w:val="center"/>
                </w:tcPr>
                <w:p w14:paraId="3A84FA25">
                  <w:pPr>
                    <w:adjustRightInd w:val="0"/>
                    <w:snapToGrid w:val="0"/>
                    <w:jc w:val="center"/>
                    <w:rPr>
                      <w:iCs/>
                      <w:color w:val="auto"/>
                    </w:rPr>
                  </w:pPr>
                  <w:r>
                    <w:rPr>
                      <w:rFonts w:hint="eastAsia"/>
                      <w:color w:val="auto"/>
                      <w:szCs w:val="21"/>
                    </w:rPr>
                    <w:t>江苏众成四氟防腐科技有限公司项目所在地</w:t>
                  </w:r>
                </w:p>
              </w:tc>
              <w:tc>
                <w:tcPr>
                  <w:tcW w:w="498" w:type="pct"/>
                  <w:vAlign w:val="center"/>
                </w:tcPr>
                <w:p w14:paraId="3A84FA26">
                  <w:pPr>
                    <w:adjustRightInd w:val="0"/>
                    <w:snapToGrid w:val="0"/>
                    <w:jc w:val="center"/>
                    <w:rPr>
                      <w:color w:val="auto"/>
                    </w:rPr>
                  </w:pPr>
                  <w:r>
                    <w:rPr>
                      <w:rFonts w:hint="eastAsia"/>
                      <w:color w:val="auto"/>
                      <w:lang w:val="en-US" w:eastAsia="zh-CN"/>
                    </w:rPr>
                    <w:t>东北侧3600</w:t>
                  </w:r>
                  <w:r>
                    <w:rPr>
                      <w:color w:val="auto"/>
                    </w:rPr>
                    <w:t>m</w:t>
                  </w:r>
                </w:p>
              </w:tc>
              <w:tc>
                <w:tcPr>
                  <w:tcW w:w="515" w:type="pct"/>
                  <w:vAlign w:val="center"/>
                </w:tcPr>
                <w:p w14:paraId="3A84FA27">
                  <w:pPr>
                    <w:adjustRightInd w:val="0"/>
                    <w:snapToGrid w:val="0"/>
                    <w:jc w:val="center"/>
                    <w:rPr>
                      <w:color w:val="auto"/>
                    </w:rPr>
                  </w:pPr>
                  <w:r>
                    <w:rPr>
                      <w:rFonts w:hint="eastAsia"/>
                      <w:color w:val="auto"/>
                    </w:rPr>
                    <w:t>非甲烷总烃</w:t>
                  </w:r>
                </w:p>
              </w:tc>
              <w:tc>
                <w:tcPr>
                  <w:tcW w:w="756" w:type="pct"/>
                  <w:vAlign w:val="center"/>
                </w:tcPr>
                <w:p w14:paraId="3A84FA28">
                  <w:pPr>
                    <w:adjustRightInd w:val="0"/>
                    <w:snapToGrid w:val="0"/>
                    <w:jc w:val="center"/>
                    <w:rPr>
                      <w:color w:val="auto"/>
                    </w:rPr>
                  </w:pPr>
                  <w:r>
                    <w:rPr>
                      <w:rFonts w:hint="eastAsia"/>
                      <w:color w:val="auto"/>
                    </w:rPr>
                    <w:t>0.5</w:t>
                  </w:r>
                  <w:r>
                    <w:rPr>
                      <w:rFonts w:hint="eastAsia"/>
                      <w:color w:val="auto"/>
                      <w:lang w:val="en-US" w:eastAsia="zh-CN"/>
                    </w:rPr>
                    <w:t>4</w:t>
                  </w:r>
                  <w:r>
                    <w:rPr>
                      <w:color w:val="auto"/>
                    </w:rPr>
                    <w:t>-</w:t>
                  </w:r>
                  <w:r>
                    <w:rPr>
                      <w:rFonts w:hint="eastAsia"/>
                      <w:color w:val="auto"/>
                    </w:rPr>
                    <w:t>0.68</w:t>
                  </w:r>
                </w:p>
              </w:tc>
              <w:tc>
                <w:tcPr>
                  <w:tcW w:w="644" w:type="pct"/>
                  <w:vAlign w:val="center"/>
                </w:tcPr>
                <w:p w14:paraId="3A84FA29">
                  <w:pPr>
                    <w:adjustRightInd w:val="0"/>
                    <w:snapToGrid w:val="0"/>
                    <w:jc w:val="center"/>
                    <w:rPr>
                      <w:color w:val="auto"/>
                    </w:rPr>
                  </w:pPr>
                  <w:r>
                    <w:rPr>
                      <w:rFonts w:hint="eastAsia"/>
                      <w:color w:val="auto"/>
                    </w:rPr>
                    <w:t>34</w:t>
                  </w:r>
                </w:p>
              </w:tc>
              <w:tc>
                <w:tcPr>
                  <w:tcW w:w="484" w:type="pct"/>
                  <w:vAlign w:val="center"/>
                </w:tcPr>
                <w:p w14:paraId="3A84FA2A">
                  <w:pPr>
                    <w:adjustRightInd w:val="0"/>
                    <w:snapToGrid w:val="0"/>
                    <w:jc w:val="center"/>
                    <w:rPr>
                      <w:color w:val="auto"/>
                    </w:rPr>
                  </w:pPr>
                  <w:r>
                    <w:rPr>
                      <w:color w:val="auto"/>
                    </w:rPr>
                    <w:t>0</w:t>
                  </w:r>
                </w:p>
              </w:tc>
              <w:tc>
                <w:tcPr>
                  <w:tcW w:w="643" w:type="pct"/>
                  <w:vAlign w:val="center"/>
                </w:tcPr>
                <w:p w14:paraId="3A84FA2B">
                  <w:pPr>
                    <w:adjustRightInd w:val="0"/>
                    <w:snapToGrid w:val="0"/>
                    <w:jc w:val="center"/>
                    <w:rPr>
                      <w:color w:val="auto"/>
                    </w:rPr>
                  </w:pPr>
                  <w:r>
                    <w:rPr>
                      <w:color w:val="auto"/>
                    </w:rPr>
                    <w:t>2.0</w:t>
                  </w:r>
                </w:p>
              </w:tc>
              <w:tc>
                <w:tcPr>
                  <w:tcW w:w="460" w:type="pct"/>
                  <w:vAlign w:val="center"/>
                </w:tcPr>
                <w:p w14:paraId="3A84FA2C">
                  <w:pPr>
                    <w:adjustRightInd w:val="0"/>
                    <w:snapToGrid w:val="0"/>
                    <w:jc w:val="center"/>
                    <w:rPr>
                      <w:color w:val="auto"/>
                    </w:rPr>
                  </w:pPr>
                  <w:r>
                    <w:rPr>
                      <w:color w:val="auto"/>
                    </w:rPr>
                    <w:t>达标</w:t>
                  </w:r>
                </w:p>
              </w:tc>
            </w:tr>
          </w:tbl>
          <w:p w14:paraId="3A84FA2E">
            <w:pPr>
              <w:adjustRightInd w:val="0"/>
              <w:snapToGrid w:val="0"/>
              <w:spacing w:line="360" w:lineRule="auto"/>
              <w:ind w:firstLine="420" w:firstLineChars="200"/>
              <w:rPr>
                <w:b/>
                <w:color w:val="auto"/>
                <w:kern w:val="0"/>
              </w:rPr>
            </w:pPr>
            <w:r>
              <w:rPr>
                <w:rFonts w:hint="eastAsia" w:cs="宋体"/>
                <w:color w:val="auto"/>
                <w:kern w:val="0"/>
                <w:lang w:bidi="ar"/>
              </w:rPr>
              <w:t>从上表可知，评价区内监测点位非甲烷总烃的小时浓度值能达到《大气污染物综合排放标准详解》（中国环境科学出版社</w:t>
            </w:r>
            <w:r>
              <w:rPr>
                <w:color w:val="auto"/>
                <w:kern w:val="0"/>
                <w:lang w:bidi="ar"/>
              </w:rPr>
              <w:t>1996</w:t>
            </w:r>
            <w:r>
              <w:rPr>
                <w:rFonts w:hint="eastAsia" w:cs="宋体"/>
                <w:color w:val="auto"/>
                <w:kern w:val="0"/>
                <w:lang w:bidi="ar"/>
              </w:rPr>
              <w:t>年）中</w:t>
            </w:r>
            <w:r>
              <w:rPr>
                <w:color w:val="auto"/>
                <w:kern w:val="0"/>
                <w:lang w:bidi="ar"/>
              </w:rPr>
              <w:t>2.0</w:t>
            </w:r>
            <w:r>
              <w:rPr>
                <w:rFonts w:hint="eastAsia"/>
                <w:color w:val="auto"/>
                <w:kern w:val="0"/>
                <w:lang w:bidi="ar"/>
              </w:rPr>
              <w:t>mg/m</w:t>
            </w:r>
            <w:r>
              <w:rPr>
                <w:color w:val="auto"/>
                <w:kern w:val="0"/>
                <w:lang w:bidi="ar"/>
              </w:rPr>
              <w:t>³</w:t>
            </w:r>
            <w:r>
              <w:rPr>
                <w:rFonts w:hint="eastAsia" w:cs="宋体"/>
                <w:color w:val="auto"/>
                <w:kern w:val="0"/>
                <w:lang w:bidi="ar"/>
              </w:rPr>
              <w:t>标准限值。</w:t>
            </w:r>
          </w:p>
          <w:p w14:paraId="3A84FA2F">
            <w:pPr>
              <w:spacing w:line="360" w:lineRule="auto"/>
              <w:ind w:firstLine="413" w:firstLineChars="196"/>
              <w:rPr>
                <w:b/>
                <w:bCs/>
                <w:color w:val="auto"/>
                <w:kern w:val="0"/>
              </w:rPr>
            </w:pPr>
            <w:r>
              <w:rPr>
                <w:rFonts w:hint="eastAsia"/>
                <w:b/>
                <w:bCs/>
                <w:color w:val="auto"/>
                <w:kern w:val="0"/>
              </w:rPr>
              <w:t>（3）大气污染防治行动方案</w:t>
            </w:r>
          </w:p>
          <w:p w14:paraId="3A84FA30">
            <w:pPr>
              <w:spacing w:line="360" w:lineRule="auto"/>
              <w:ind w:firstLine="411" w:firstLineChars="196"/>
              <w:rPr>
                <w:color w:val="auto"/>
                <w:kern w:val="0"/>
              </w:rPr>
            </w:pPr>
            <w:r>
              <w:rPr>
                <w:rFonts w:hint="eastAsia"/>
                <w:color w:val="auto"/>
                <w:kern w:val="0"/>
              </w:rPr>
              <w:t>常州市目前尚未制定大气环境质量限期达标规划，为深入打好蓝天保卫战，持续改善全市环境空气质量，依据《中共江苏省委江苏省人民政府关于深入打好污染防治攻坚战的实施意见》《关于打造长三角生态中轴建设人与自然和谐共生的现代化常州的实施意见》《常州市生态文明建设十大专项行动方案》以及省下达的《常州市2023年深入打好污染防治攻坚战目标任务书》等文件，常州市制定了《2023年常州市生态文明建设工作方案》。明确工作目标为全市PM</w:t>
            </w:r>
            <w:r>
              <w:rPr>
                <w:rFonts w:hint="eastAsia"/>
                <w:color w:val="auto"/>
                <w:kern w:val="0"/>
                <w:vertAlign w:val="subscript"/>
              </w:rPr>
              <w:t>2.5</w:t>
            </w:r>
            <w:r>
              <w:rPr>
                <w:rFonts w:hint="eastAsia"/>
                <w:color w:val="auto"/>
                <w:kern w:val="0"/>
              </w:rPr>
              <w:t>浓度不超过31微克/立方米，优良天数比率不低于80.0%，臭氧污染得到初步遏制。</w:t>
            </w:r>
          </w:p>
          <w:p w14:paraId="3A84FA31">
            <w:pPr>
              <w:spacing w:line="360" w:lineRule="auto"/>
              <w:ind w:firstLine="411" w:firstLineChars="196"/>
              <w:rPr>
                <w:color w:val="auto"/>
                <w:kern w:val="0"/>
              </w:rPr>
            </w:pPr>
            <w:r>
              <w:rPr>
                <w:rFonts w:hint="eastAsia"/>
                <w:color w:val="auto"/>
                <w:kern w:val="0"/>
              </w:rPr>
              <w:t>重点任务如下：</w:t>
            </w:r>
          </w:p>
          <w:p w14:paraId="3A84FA32">
            <w:pPr>
              <w:spacing w:line="360" w:lineRule="auto"/>
              <w:ind w:firstLine="411" w:firstLineChars="196"/>
              <w:rPr>
                <w:color w:val="auto"/>
                <w:kern w:val="0"/>
              </w:rPr>
            </w:pPr>
            <w:r>
              <w:rPr>
                <w:rFonts w:hint="eastAsia"/>
                <w:color w:val="auto"/>
                <w:kern w:val="0"/>
              </w:rPr>
              <w:t>①推进固定源深度治理</w:t>
            </w:r>
          </w:p>
          <w:p w14:paraId="3A84FA33">
            <w:pPr>
              <w:spacing w:line="360" w:lineRule="auto"/>
              <w:ind w:firstLine="411" w:firstLineChars="196"/>
              <w:rPr>
                <w:color w:val="auto"/>
                <w:kern w:val="0"/>
              </w:rPr>
            </w:pPr>
            <w:r>
              <w:rPr>
                <w:rFonts w:hint="eastAsia"/>
                <w:color w:val="auto"/>
                <w:kern w:val="0"/>
              </w:rPr>
              <w:t>持续推进钢铁、水泥、电力企业超低排放改造，推进建材、有色金属等工业窑炉重点行业大气污染深度治理或清洁能源替代。完成金峰水泥、天山水泥SCR超低排放改造及清洁运输整治。完成国能发电、富春江环保热电、加怡热电、大唐热电4家电力企业和润恒能源1家垃圾焚烧企业的深度脱硝改造。完成中天钢铁、东方特钢全流程超低排放改造和评估监测工作。2023年6月底前，按照“淘汰取缔一批、清洁替代一批、超低改造一批”的要求完成对全市所有102台生物质锅炉开展集中排查，并对其中44台生物质锅炉完成提标改造或清洁原料替代，确保保留的生物质锅炉达到规定排放标准要求。</w:t>
            </w:r>
          </w:p>
          <w:p w14:paraId="3A84FA34">
            <w:pPr>
              <w:spacing w:line="360" w:lineRule="auto"/>
              <w:ind w:firstLine="411" w:firstLineChars="196"/>
              <w:rPr>
                <w:color w:val="auto"/>
                <w:kern w:val="0"/>
              </w:rPr>
            </w:pPr>
            <w:r>
              <w:rPr>
                <w:rFonts w:hint="eastAsia"/>
                <w:color w:val="auto"/>
                <w:kern w:val="0"/>
              </w:rPr>
              <w:t>②着力打好臭氧污染防治攻坚战</w:t>
            </w:r>
          </w:p>
          <w:p w14:paraId="3A84FA35">
            <w:pPr>
              <w:spacing w:line="360" w:lineRule="auto"/>
              <w:ind w:firstLine="411" w:firstLineChars="196"/>
              <w:rPr>
                <w:color w:val="auto"/>
                <w:kern w:val="0"/>
              </w:rPr>
            </w:pPr>
            <w:r>
              <w:rPr>
                <w:rFonts w:hint="eastAsia"/>
                <w:color w:val="auto"/>
                <w:kern w:val="0"/>
              </w:rPr>
              <w:t>依托江苏省重点行业VOCs综合管理平台，加快完善VOCs清单。按《江苏省挥发性有机物清洁原料替代工作方案》要求，对首批182家企业、9家钢结构企业和375家包装印刷企业源头替代情况再核查；进一步排查核实2家船舶修造、46家家具制造企业清单，建立并及时更新管理台账，完成清洁原料替代工作；培育10家以上源头替代示范型企业；其他行业，重点对使用溶剂型原辅材料、污染治理设施低效的企业强化清洁原料替代，完成共计48家清洁原料替代工作，对替代技术不成熟的，推动开展论证，并加强现场监管。完成150项VOCs综合治理项目、183项VOCs无组织排放治理项目；对188家挥发性有机物重点监35管企业“一企一策”整治方案和深度治理情况进行评估。完成新华昌国际集装箱有限公司等5家企业VOCs治理设施提标改造。对中石油和中石化的汽油储罐开展综合整治，实现全市挥发性有机物储罐整治全覆盖。制定《孟河镇汽配产业专项整治工作方案》，对133家企业实施分类整治，大幅削减现有VOCs实际排放量。常州滨江经济开发区新材料产业园、金坛新材料科技产业园等2个园区应成立LDAR检测团队，自行开展LDAR工作或对第三方检测结果进行抽查，定期采用红外成像仪等对不可达密封点进行泄漏筛查，实行统一的LDAR管理制度，统一评估企业LDAR实施情况，评估频次不低于1次/年。5月底前，对44个企业集群完成一次“回头看”。打造减排示范项目，2个以上有机储罐综合治理示范项目、1个以上大气“绿岛”示范项目。</w:t>
            </w:r>
          </w:p>
          <w:p w14:paraId="3A84FA36">
            <w:pPr>
              <w:adjustRightInd w:val="0"/>
              <w:snapToGrid w:val="0"/>
              <w:spacing w:line="360" w:lineRule="auto"/>
              <w:ind w:firstLine="420" w:firstLineChars="200"/>
              <w:jc w:val="left"/>
              <w:rPr>
                <w:color w:val="auto"/>
                <w:kern w:val="0"/>
              </w:rPr>
            </w:pPr>
            <w:r>
              <w:rPr>
                <w:rFonts w:hint="eastAsia"/>
                <w:color w:val="auto"/>
                <w:kern w:val="0"/>
              </w:rPr>
              <w:t>推动活性炭核查整治全覆盖。对照VOCs源清单，实现全市4504家活性炭吸附处理工艺企业核查全覆盖，系统、准确、如实录入核查信息；完成621家以上涉活性炭使用企业的整改工作。2023年底前，完成所有活性炭问题企业的初步整治；在常州经开区先行开展试点，按照“绿链”建设要求，探索建立活性炭集中更换、统一运维、整体推进的工作体系，并逐步向全市推广。</w:t>
            </w:r>
          </w:p>
          <w:p w14:paraId="3A84FA37">
            <w:pPr>
              <w:adjustRightInd w:val="0"/>
              <w:snapToGrid w:val="0"/>
              <w:spacing w:line="360" w:lineRule="auto"/>
              <w:ind w:firstLine="420" w:firstLineChars="200"/>
              <w:jc w:val="left"/>
              <w:rPr>
                <w:color w:val="auto"/>
                <w:kern w:val="0"/>
              </w:rPr>
            </w:pPr>
            <w:r>
              <w:rPr>
                <w:rFonts w:hint="eastAsia"/>
                <w:color w:val="auto"/>
                <w:kern w:val="0"/>
              </w:rPr>
              <w:t>③实施扬尘污染精细化治理</w:t>
            </w:r>
          </w:p>
          <w:p w14:paraId="3A84FA38">
            <w:pPr>
              <w:adjustRightInd w:val="0"/>
              <w:snapToGrid w:val="0"/>
              <w:spacing w:line="360" w:lineRule="auto"/>
              <w:ind w:firstLine="420" w:firstLineChars="200"/>
              <w:jc w:val="left"/>
              <w:rPr>
                <w:color w:val="auto"/>
                <w:kern w:val="0"/>
              </w:rPr>
            </w:pPr>
            <w:r>
              <w:rPr>
                <w:rFonts w:hint="eastAsia"/>
                <w:color w:val="auto"/>
                <w:kern w:val="0"/>
              </w:rPr>
              <w:t>加强扬尘污染防治，持续对全市63个镇（街道）园区实施降尘考核，全市降尘不得高于2.3吨/平方千米·月。加强工地、堆场、裸地扬尘污染控制。强化建筑工地扬尘管控，推进智慧工地建设，加大工地在线监控安装、联网的力度。按照省有关规定，完善天宁区施工扬尘环境保护税应税污染物排放量测算工作。规模以上干散货港口力争实现封闭式料仓和封闭式皮带廊道运输系统全覆盖。年内完成启凯德胜码头皮带机建设项目。对城市公共区域、长期未开发的建设裸地，以及废旧厂区、物流园、大型停车场等进行排查建档，并按要求采取防尘措施。落实工地、裸地和港口码头扬尘管控挂钩责任人制度。严格道路扬尘监管。强化渣土运输车辆全封闭运输管理，推进城市建成区使用新型环保智能渣土车。开展“清洁城市行动”，完善保洁作业质量标准，提高机械化作业比率，城市建成区道路机械化率达到95%以上。加快智慧港口建设，干散货码头全部配备综合抑尘设施，从事易起尘货种装卸的港口码头实现在线监测覆盖率100%。加强柴油货车路查路检和非道36路移动机械污染防治，强化集中使用和停放地的入户抽测。生态环境会同公安交管等定期开展柴油车排放路查路检，全年抽测数量不少于3000辆·次，秋冬季监督抽测柴油车数量不低于保有量的80%，对定期排放检验或日常监督抽测发现的超标车、运营5年以上的老旧柴油车年度核查率达到90%以上；每月至少开展一次机动车入户监督抽测，全年抽测数量不少于800辆·次；加强对进入禁止使用高排放非道路移动机械区域内作业的工程机械的监督检查，每月抽查率达到50%以上。禁止超标排放工程机械使用，消除冒黑烟现象。开展油气回收设施检查。加强对各类重点单位的入户监督抽测。全面实施汽车排放检测与维护（I/M）制度。</w:t>
            </w:r>
          </w:p>
          <w:p w14:paraId="3A84FA39">
            <w:pPr>
              <w:adjustRightInd w:val="0"/>
              <w:snapToGrid w:val="0"/>
              <w:spacing w:line="360" w:lineRule="auto"/>
              <w:ind w:firstLine="420" w:firstLineChars="200"/>
              <w:jc w:val="left"/>
              <w:rPr>
                <w:color w:val="auto"/>
                <w:kern w:val="0"/>
              </w:rPr>
            </w:pPr>
            <w:r>
              <w:rPr>
                <w:rFonts w:hint="eastAsia"/>
                <w:color w:val="auto"/>
                <w:kern w:val="0"/>
              </w:rPr>
              <w:t>④开展餐饮油烟、恶臭异味专项治理</w:t>
            </w:r>
          </w:p>
          <w:p w14:paraId="3A84FA3A">
            <w:pPr>
              <w:adjustRightInd w:val="0"/>
              <w:snapToGrid w:val="0"/>
              <w:spacing w:line="360" w:lineRule="auto"/>
              <w:ind w:firstLine="420" w:firstLineChars="200"/>
              <w:jc w:val="left"/>
              <w:rPr>
                <w:color w:val="auto"/>
                <w:kern w:val="0"/>
              </w:rPr>
            </w:pPr>
            <w:r>
              <w:rPr>
                <w:rFonts w:hint="eastAsia"/>
                <w:color w:val="auto"/>
                <w:kern w:val="0"/>
              </w:rPr>
              <w:t>推动产生油烟或异味的餐饮服务单位安装油烟净化装置并定期维护，推行餐饮业服务经营者定期实施烟道清洗工作。推动重点管控区域内面积100平方米以上餐饮店（无油烟排放餐饮店除外）和烧烤店以及城市综合体、美食街等区域的餐饮经营单位安装在线监控，推动治理设施第三方运维管理及运行状态监控。组织开展2500家以上餐饮油烟整治项目“回头看”。至少打造3个餐饮油烟治理示范项目。</w:t>
            </w:r>
          </w:p>
          <w:p w14:paraId="3A84FA3B">
            <w:pPr>
              <w:adjustRightInd w:val="0"/>
              <w:snapToGrid w:val="0"/>
              <w:spacing w:line="360" w:lineRule="auto"/>
              <w:ind w:firstLine="420" w:firstLineChars="200"/>
              <w:jc w:val="left"/>
              <w:rPr>
                <w:color w:val="auto"/>
                <w:kern w:val="0"/>
              </w:rPr>
            </w:pPr>
            <w:r>
              <w:rPr>
                <w:rFonts w:hint="eastAsia"/>
                <w:color w:val="auto"/>
                <w:kern w:val="0"/>
              </w:rPr>
              <w:t>⑤着力打好重污染天气消除攻坚战</w:t>
            </w:r>
          </w:p>
          <w:p w14:paraId="3A84FA3C">
            <w:pPr>
              <w:adjustRightInd w:val="0"/>
              <w:snapToGrid w:val="0"/>
              <w:spacing w:line="360" w:lineRule="auto"/>
              <w:ind w:firstLine="420" w:firstLineChars="200"/>
              <w:jc w:val="left"/>
              <w:rPr>
                <w:color w:val="auto"/>
                <w:kern w:val="0"/>
              </w:rPr>
            </w:pPr>
            <w:r>
              <w:rPr>
                <w:rFonts w:hint="eastAsia"/>
                <w:color w:val="auto"/>
                <w:kern w:val="0"/>
              </w:rPr>
              <w:t>加强遥感、视频监控、无人机等手段在秸秆禁烧管理中的应用，实施“定点、定时、定人、定责”管控，建立全覆盖网格化监管体系，在现有基础上新增不少于50个“蓝天卫士”视频监控。</w:t>
            </w:r>
          </w:p>
          <w:p w14:paraId="3A84FA3D">
            <w:pPr>
              <w:adjustRightInd w:val="0"/>
              <w:snapToGrid w:val="0"/>
              <w:spacing w:line="360" w:lineRule="auto"/>
              <w:ind w:firstLine="420" w:firstLineChars="200"/>
              <w:jc w:val="left"/>
              <w:rPr>
                <w:color w:val="auto"/>
                <w:kern w:val="0"/>
              </w:rPr>
            </w:pPr>
            <w:r>
              <w:rPr>
                <w:rFonts w:hint="eastAsia"/>
                <w:color w:val="auto"/>
                <w:kern w:val="0"/>
              </w:rPr>
              <w:t>强化烟花爆竹燃放管控，各地根据本行政区域的实际情况，确定限制或者禁止燃放烟花爆竹的时间、地点和种类。禁止违规燃放烟花爆竹。</w:t>
            </w:r>
          </w:p>
          <w:p w14:paraId="3A84FA3E">
            <w:pPr>
              <w:adjustRightInd w:val="0"/>
              <w:snapToGrid w:val="0"/>
              <w:spacing w:line="360" w:lineRule="auto"/>
              <w:ind w:firstLine="420" w:firstLineChars="200"/>
              <w:jc w:val="left"/>
              <w:rPr>
                <w:color w:val="auto"/>
                <w:kern w:val="0"/>
              </w:rPr>
            </w:pPr>
            <w:r>
              <w:rPr>
                <w:rFonts w:hint="eastAsia"/>
                <w:color w:val="auto"/>
                <w:kern w:val="0"/>
              </w:rPr>
              <w:t>采取以上措施后，常州市环境空气质量将得到持续改善。</w:t>
            </w:r>
          </w:p>
          <w:p w14:paraId="3A84FA3F">
            <w:pPr>
              <w:adjustRightInd w:val="0"/>
              <w:snapToGrid w:val="0"/>
              <w:spacing w:line="360" w:lineRule="auto"/>
              <w:ind w:firstLine="420" w:firstLineChars="200"/>
              <w:jc w:val="left"/>
              <w:rPr>
                <w:color w:val="auto"/>
                <w:kern w:val="0"/>
              </w:rPr>
            </w:pPr>
            <w:r>
              <w:rPr>
                <w:rFonts w:hint="eastAsia"/>
                <w:color w:val="auto"/>
                <w:kern w:val="0"/>
              </w:rPr>
              <w:t>因此，通过上述工作的不断推进实施，常州市与金坛区环境空气质量将得到持续改善。</w:t>
            </w:r>
          </w:p>
          <w:p w14:paraId="3A84FA40">
            <w:pPr>
              <w:adjustRightInd w:val="0"/>
              <w:snapToGrid w:val="0"/>
              <w:spacing w:line="360" w:lineRule="auto"/>
              <w:ind w:firstLine="422" w:firstLineChars="200"/>
              <w:jc w:val="left"/>
              <w:rPr>
                <w:b/>
                <w:color w:val="auto"/>
                <w:kern w:val="0"/>
              </w:rPr>
            </w:pPr>
            <w:r>
              <w:rPr>
                <w:rFonts w:hint="eastAsia"/>
                <w:b/>
                <w:color w:val="auto"/>
                <w:kern w:val="0"/>
              </w:rPr>
              <w:t>2.地表水</w:t>
            </w:r>
          </w:p>
          <w:p w14:paraId="3A84FA41">
            <w:pPr>
              <w:autoSpaceDE w:val="0"/>
              <w:autoSpaceDN w:val="0"/>
              <w:adjustRightInd w:val="0"/>
              <w:snapToGrid w:val="0"/>
              <w:spacing w:line="360" w:lineRule="auto"/>
              <w:ind w:firstLine="420" w:firstLineChars="200"/>
              <w:rPr>
                <w:color w:val="auto"/>
                <w:kern w:val="0"/>
              </w:rPr>
            </w:pPr>
            <w:r>
              <w:rPr>
                <w:color w:val="auto"/>
                <w:kern w:val="0"/>
              </w:rPr>
              <w:t>根据《</w:t>
            </w:r>
            <w:r>
              <w:rPr>
                <w:bCs/>
                <w:color w:val="auto"/>
                <w:kern w:val="0"/>
              </w:rPr>
              <w:t>202</w:t>
            </w:r>
            <w:r>
              <w:rPr>
                <w:rFonts w:hint="eastAsia"/>
                <w:bCs/>
                <w:color w:val="auto"/>
                <w:kern w:val="0"/>
              </w:rPr>
              <w:t>3</w:t>
            </w:r>
            <w:r>
              <w:rPr>
                <w:bCs/>
                <w:color w:val="auto"/>
                <w:kern w:val="0"/>
              </w:rPr>
              <w:t>年常州市生态环境状况公报</w:t>
            </w:r>
            <w:r>
              <w:rPr>
                <w:color w:val="auto"/>
                <w:kern w:val="0"/>
              </w:rPr>
              <w:t>》，2023年</w:t>
            </w:r>
            <w:r>
              <w:rPr>
                <w:rFonts w:hint="eastAsia"/>
                <w:color w:val="auto"/>
                <w:kern w:val="0"/>
              </w:rPr>
              <w:t>，</w:t>
            </w:r>
            <w:r>
              <w:rPr>
                <w:color w:val="auto"/>
                <w:kern w:val="0"/>
              </w:rPr>
              <w:t>常州市纳入</w:t>
            </w:r>
            <w:r>
              <w:rPr>
                <w:rFonts w:hint="eastAsia"/>
                <w:color w:val="auto"/>
                <w:kern w:val="0"/>
              </w:rPr>
              <w:t>“</w:t>
            </w:r>
            <w:r>
              <w:rPr>
                <w:color w:val="auto"/>
                <w:kern w:val="0"/>
              </w:rPr>
              <w:t>十四五</w:t>
            </w:r>
            <w:r>
              <w:rPr>
                <w:rFonts w:hint="eastAsia"/>
                <w:color w:val="auto"/>
                <w:kern w:val="0"/>
              </w:rPr>
              <w:t>”</w:t>
            </w:r>
            <w:r>
              <w:rPr>
                <w:color w:val="auto"/>
                <w:kern w:val="0"/>
              </w:rPr>
              <w:t>国家地表水环境质量考核的20个断面中</w:t>
            </w:r>
            <w:r>
              <w:rPr>
                <w:rFonts w:hint="eastAsia"/>
                <w:color w:val="auto"/>
                <w:kern w:val="0"/>
              </w:rPr>
              <w:t>，</w:t>
            </w:r>
            <w:r>
              <w:rPr>
                <w:color w:val="auto"/>
                <w:kern w:val="0"/>
              </w:rPr>
              <w:t>年均水质达到或好于《地表水环境质量标准》</w:t>
            </w:r>
            <w:r>
              <w:rPr>
                <w:rFonts w:hint="eastAsia"/>
                <w:color w:val="auto"/>
                <w:kern w:val="0"/>
              </w:rPr>
              <w:t>（</w:t>
            </w:r>
            <w:r>
              <w:rPr>
                <w:color w:val="auto"/>
                <w:kern w:val="0"/>
              </w:rPr>
              <w:t>GB 3838-2002</w:t>
            </w:r>
            <w:r>
              <w:rPr>
                <w:rFonts w:hint="eastAsia"/>
                <w:color w:val="auto"/>
                <w:kern w:val="0"/>
              </w:rPr>
              <w:t>）III</w:t>
            </w:r>
            <w:r>
              <w:rPr>
                <w:color w:val="auto"/>
                <w:kern w:val="0"/>
              </w:rPr>
              <w:t>类标准的断面比例为85%</w:t>
            </w:r>
            <w:r>
              <w:rPr>
                <w:rFonts w:hint="eastAsia"/>
                <w:color w:val="auto"/>
                <w:kern w:val="0"/>
              </w:rPr>
              <w:t>，</w:t>
            </w:r>
            <w:r>
              <w:rPr>
                <w:color w:val="auto"/>
                <w:kern w:val="0"/>
              </w:rPr>
              <w:t>无劣V类断面。纳入江苏省</w:t>
            </w:r>
            <w:r>
              <w:rPr>
                <w:rFonts w:hint="eastAsia"/>
                <w:color w:val="auto"/>
                <w:kern w:val="0"/>
              </w:rPr>
              <w:t>“</w:t>
            </w:r>
            <w:r>
              <w:rPr>
                <w:color w:val="auto"/>
                <w:kern w:val="0"/>
              </w:rPr>
              <w:t>十四五</w:t>
            </w:r>
            <w:r>
              <w:rPr>
                <w:rFonts w:hint="eastAsia"/>
                <w:color w:val="auto"/>
                <w:kern w:val="0"/>
              </w:rPr>
              <w:t>”</w:t>
            </w:r>
            <w:r>
              <w:rPr>
                <w:color w:val="auto"/>
                <w:kern w:val="0"/>
              </w:rPr>
              <w:t>水环境质量目标考核51个断面</w:t>
            </w:r>
            <w:r>
              <w:rPr>
                <w:rFonts w:hint="eastAsia"/>
                <w:color w:val="auto"/>
                <w:kern w:val="0"/>
              </w:rPr>
              <w:t>，</w:t>
            </w:r>
            <w:r>
              <w:rPr>
                <w:color w:val="auto"/>
                <w:kern w:val="0"/>
              </w:rPr>
              <w:t>年均水质达到或好于</w:t>
            </w:r>
            <w:r>
              <w:rPr>
                <w:rFonts w:hint="eastAsia"/>
                <w:color w:val="auto"/>
                <w:kern w:val="0"/>
              </w:rPr>
              <w:t>III</w:t>
            </w:r>
            <w:r>
              <w:rPr>
                <w:color w:val="auto"/>
                <w:kern w:val="0"/>
              </w:rPr>
              <w:t>类的比例为94.1%</w:t>
            </w:r>
            <w:r>
              <w:rPr>
                <w:rFonts w:hint="eastAsia"/>
                <w:color w:val="auto"/>
                <w:kern w:val="0"/>
              </w:rPr>
              <w:t>，</w:t>
            </w:r>
            <w:r>
              <w:rPr>
                <w:color w:val="auto"/>
                <w:kern w:val="0"/>
              </w:rPr>
              <w:t>无劣V类断面。</w:t>
            </w:r>
          </w:p>
          <w:p w14:paraId="3A84FA42">
            <w:pPr>
              <w:adjustRightInd w:val="0"/>
              <w:snapToGrid w:val="0"/>
              <w:spacing w:line="360" w:lineRule="auto"/>
              <w:ind w:firstLine="411" w:firstLineChars="196"/>
              <w:rPr>
                <w:color w:val="auto"/>
              </w:rPr>
            </w:pPr>
            <w:r>
              <w:rPr>
                <w:color w:val="auto"/>
              </w:rPr>
              <w:t>国、省考断面水质优Ⅲ比例分别为85%、94.1%，均超额完成省定目标</w:t>
            </w:r>
            <w:r>
              <w:rPr>
                <w:rFonts w:hint="eastAsia"/>
                <w:color w:val="auto"/>
              </w:rPr>
              <w:t>；</w:t>
            </w:r>
            <w:r>
              <w:rPr>
                <w:color w:val="auto"/>
              </w:rPr>
              <w:t>太湖湖心区、西部区总磷分别同比下降21.9%、16.9%，其中太湖湖心区断面首次达到Ⅲ类</w:t>
            </w:r>
            <w:r>
              <w:rPr>
                <w:rFonts w:hint="eastAsia"/>
                <w:color w:val="auto"/>
              </w:rPr>
              <w:t>；</w:t>
            </w:r>
            <w:r>
              <w:rPr>
                <w:color w:val="auto"/>
              </w:rPr>
              <w:t>长荡湖富营养化等级由中度富营养降至轻度富营养</w:t>
            </w:r>
            <w:r>
              <w:rPr>
                <w:rFonts w:hint="eastAsia"/>
                <w:color w:val="auto"/>
              </w:rPr>
              <w:t>；</w:t>
            </w:r>
            <w:r>
              <w:rPr>
                <w:color w:val="auto"/>
              </w:rPr>
              <w:t>滆湖水生态系统持续改善，水生动物物种类群显著增加</w:t>
            </w:r>
            <w:r>
              <w:rPr>
                <w:rFonts w:hint="eastAsia"/>
                <w:color w:val="auto"/>
              </w:rPr>
              <w:t>；</w:t>
            </w:r>
            <w:r>
              <w:rPr>
                <w:color w:val="auto"/>
              </w:rPr>
              <w:t>长江干流</w:t>
            </w:r>
            <w:r>
              <w:rPr>
                <w:rFonts w:hint="eastAsia"/>
                <w:color w:val="auto"/>
              </w:rPr>
              <w:t>（</w:t>
            </w:r>
            <w:r>
              <w:rPr>
                <w:color w:val="auto"/>
              </w:rPr>
              <w:t>常州段</w:t>
            </w:r>
            <w:r>
              <w:rPr>
                <w:rFonts w:hint="eastAsia"/>
                <w:color w:val="auto"/>
              </w:rPr>
              <w:t>）</w:t>
            </w:r>
            <w:r>
              <w:rPr>
                <w:color w:val="auto"/>
              </w:rPr>
              <w:t>水质连续6年稳定Ⅱ类水平，主要入湖河道、集中式饮用水源地水质达到省定考核目标。</w:t>
            </w:r>
          </w:p>
          <w:p w14:paraId="3A84FA43">
            <w:pPr>
              <w:adjustRightInd w:val="0"/>
              <w:snapToGrid w:val="0"/>
              <w:spacing w:line="360" w:lineRule="auto"/>
              <w:ind w:firstLine="411" w:firstLineChars="196"/>
              <w:rPr>
                <w:b/>
                <w:bCs/>
                <w:color w:val="auto"/>
              </w:rPr>
            </w:pPr>
            <w:r>
              <w:rPr>
                <w:rFonts w:hint="eastAsia"/>
                <w:color w:val="auto"/>
              </w:rPr>
              <w:t>本项目</w:t>
            </w:r>
            <w:r>
              <w:rPr>
                <w:color w:val="auto"/>
              </w:rPr>
              <w:t>纳污水体为</w:t>
            </w:r>
            <w:r>
              <w:rPr>
                <w:rFonts w:hint="eastAsia"/>
                <w:color w:val="auto"/>
              </w:rPr>
              <w:t>薛埠河</w:t>
            </w:r>
            <w:r>
              <w:rPr>
                <w:color w:val="auto"/>
              </w:rPr>
              <w:t>，引用</w:t>
            </w:r>
            <w:r>
              <w:rPr>
                <w:color w:val="auto"/>
                <w:szCs w:val="21"/>
              </w:rPr>
              <w:t>《</w:t>
            </w:r>
            <w:r>
              <w:rPr>
                <w:rFonts w:hint="eastAsia"/>
                <w:color w:val="auto"/>
                <w:szCs w:val="21"/>
              </w:rPr>
              <w:t>狄拉克材料科技江苏有限公司</w:t>
            </w:r>
            <w:r>
              <w:rPr>
                <w:color w:val="auto"/>
                <w:szCs w:val="21"/>
              </w:rPr>
              <w:t>》在</w:t>
            </w:r>
            <w:r>
              <w:rPr>
                <w:rFonts w:hint="eastAsia"/>
                <w:color w:val="auto"/>
                <w:szCs w:val="21"/>
              </w:rPr>
              <w:t>“W1薛埠河茅东污水处理厂排口上游500m、W2薛埠河茅东污水处理厂排口下游2000m”pH值、化学需氧量、氨氮、总磷、水温</w:t>
            </w:r>
            <w:r>
              <w:rPr>
                <w:color w:val="auto"/>
                <w:szCs w:val="21"/>
              </w:rPr>
              <w:t>的历史数据，采样时间为202</w:t>
            </w:r>
            <w:r>
              <w:rPr>
                <w:rFonts w:hint="eastAsia"/>
                <w:color w:val="auto"/>
                <w:szCs w:val="21"/>
              </w:rPr>
              <w:t>2</w:t>
            </w:r>
            <w:r>
              <w:rPr>
                <w:color w:val="auto"/>
                <w:szCs w:val="21"/>
              </w:rPr>
              <w:t>年</w:t>
            </w:r>
            <w:r>
              <w:rPr>
                <w:rFonts w:hint="eastAsia"/>
                <w:color w:val="auto"/>
                <w:szCs w:val="21"/>
              </w:rPr>
              <w:t>11</w:t>
            </w:r>
            <w:r>
              <w:rPr>
                <w:color w:val="auto"/>
                <w:szCs w:val="21"/>
              </w:rPr>
              <w:t>月</w:t>
            </w:r>
            <w:r>
              <w:rPr>
                <w:rFonts w:hint="eastAsia"/>
                <w:color w:val="auto"/>
                <w:szCs w:val="21"/>
              </w:rPr>
              <w:t>24</w:t>
            </w:r>
            <w:r>
              <w:rPr>
                <w:color w:val="auto"/>
                <w:szCs w:val="21"/>
              </w:rPr>
              <w:t>日</w:t>
            </w:r>
            <w:r>
              <w:rPr>
                <w:rFonts w:hint="eastAsia"/>
                <w:color w:val="auto"/>
                <w:szCs w:val="21"/>
              </w:rPr>
              <w:t>-11</w:t>
            </w:r>
            <w:r>
              <w:rPr>
                <w:color w:val="auto"/>
                <w:szCs w:val="21"/>
              </w:rPr>
              <w:t>月</w:t>
            </w:r>
            <w:r>
              <w:rPr>
                <w:rFonts w:hint="eastAsia"/>
                <w:color w:val="auto"/>
                <w:szCs w:val="21"/>
              </w:rPr>
              <w:t>26</w:t>
            </w:r>
            <w:r>
              <w:rPr>
                <w:color w:val="auto"/>
                <w:szCs w:val="21"/>
              </w:rPr>
              <w:t>日，检测报告编号</w:t>
            </w:r>
            <w:r>
              <w:rPr>
                <w:rFonts w:hint="eastAsia"/>
                <w:color w:val="auto"/>
                <w:szCs w:val="21"/>
              </w:rPr>
              <w:t>JCH20220880</w:t>
            </w:r>
            <w:r>
              <w:rPr>
                <w:color w:val="auto"/>
              </w:rPr>
              <w:t>，监测数据详见表3-</w:t>
            </w:r>
            <w:r>
              <w:rPr>
                <w:rFonts w:hint="eastAsia"/>
                <w:color w:val="auto"/>
              </w:rPr>
              <w:t>3</w:t>
            </w:r>
            <w:r>
              <w:rPr>
                <w:color w:val="auto"/>
              </w:rPr>
              <w:t>：</w:t>
            </w:r>
          </w:p>
          <w:p w14:paraId="3A84FA44">
            <w:pPr>
              <w:adjustRightInd w:val="0"/>
              <w:snapToGrid w:val="0"/>
              <w:jc w:val="center"/>
              <w:rPr>
                <w:b/>
                <w:color w:val="auto"/>
              </w:rPr>
            </w:pPr>
            <w:r>
              <w:rPr>
                <w:b/>
                <w:color w:val="auto"/>
              </w:rPr>
              <w:t>表3-3   水质监测结果 单位：mg/L，pH无量纲</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715"/>
              <w:gridCol w:w="1288"/>
              <w:gridCol w:w="1735"/>
              <w:gridCol w:w="1247"/>
              <w:gridCol w:w="1247"/>
              <w:gridCol w:w="1247"/>
              <w:gridCol w:w="1248"/>
            </w:tblGrid>
            <w:tr w14:paraId="40CBC0C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10" w:type="pct"/>
                  <w:vMerge w:val="restart"/>
                  <w:tcBorders>
                    <w:tl2br w:val="nil"/>
                    <w:tr2bl w:val="nil"/>
                  </w:tcBorders>
                  <w:noWrap w:val="0"/>
                  <w:vAlign w:val="center"/>
                </w:tcPr>
                <w:p w14:paraId="4C70ECA4">
                  <w:pPr>
                    <w:jc w:val="center"/>
                    <w:rPr>
                      <w:b/>
                      <w:bCs/>
                      <w:color w:val="auto"/>
                      <w:szCs w:val="21"/>
                    </w:rPr>
                  </w:pPr>
                  <w:r>
                    <w:rPr>
                      <w:rFonts w:hint="eastAsia"/>
                      <w:b/>
                      <w:bCs/>
                      <w:color w:val="auto"/>
                      <w:szCs w:val="21"/>
                    </w:rPr>
                    <w:t>河流名称</w:t>
                  </w:r>
                </w:p>
              </w:tc>
              <w:tc>
                <w:tcPr>
                  <w:tcW w:w="738" w:type="pct"/>
                  <w:vMerge w:val="restart"/>
                  <w:tcBorders>
                    <w:tl2br w:val="nil"/>
                    <w:tr2bl w:val="nil"/>
                  </w:tcBorders>
                  <w:noWrap w:val="0"/>
                  <w:vAlign w:val="center"/>
                </w:tcPr>
                <w:p w14:paraId="52CD5547">
                  <w:pPr>
                    <w:jc w:val="center"/>
                    <w:rPr>
                      <w:b/>
                      <w:bCs/>
                      <w:color w:val="auto"/>
                      <w:szCs w:val="21"/>
                    </w:rPr>
                  </w:pPr>
                  <w:r>
                    <w:rPr>
                      <w:rFonts w:hint="eastAsia"/>
                      <w:b/>
                      <w:bCs/>
                      <w:color w:val="auto"/>
                      <w:szCs w:val="21"/>
                    </w:rPr>
                    <w:t>采样断面</w:t>
                  </w:r>
                </w:p>
              </w:tc>
              <w:tc>
                <w:tcPr>
                  <w:tcW w:w="993" w:type="pct"/>
                  <w:vMerge w:val="restart"/>
                  <w:tcBorders>
                    <w:tl2br w:val="nil"/>
                    <w:tr2bl w:val="nil"/>
                  </w:tcBorders>
                  <w:noWrap w:val="0"/>
                  <w:vAlign w:val="center"/>
                </w:tcPr>
                <w:p w14:paraId="66825183">
                  <w:pPr>
                    <w:jc w:val="center"/>
                    <w:rPr>
                      <w:rFonts w:hint="eastAsia"/>
                      <w:b/>
                      <w:bCs/>
                      <w:color w:val="auto"/>
                      <w:szCs w:val="21"/>
                    </w:rPr>
                  </w:pPr>
                  <w:r>
                    <w:rPr>
                      <w:rFonts w:hint="eastAsia"/>
                      <w:b/>
                      <w:bCs/>
                      <w:color w:val="auto"/>
                      <w:szCs w:val="21"/>
                    </w:rPr>
                    <w:t>项目</w:t>
                  </w:r>
                </w:p>
              </w:tc>
              <w:tc>
                <w:tcPr>
                  <w:tcW w:w="2857" w:type="pct"/>
                  <w:gridSpan w:val="4"/>
                  <w:tcBorders>
                    <w:tl2br w:val="nil"/>
                    <w:tr2bl w:val="nil"/>
                  </w:tcBorders>
                  <w:noWrap w:val="0"/>
                  <w:vAlign w:val="center"/>
                </w:tcPr>
                <w:p w14:paraId="401B0EB3">
                  <w:pPr>
                    <w:jc w:val="center"/>
                    <w:rPr>
                      <w:b/>
                      <w:bCs/>
                      <w:color w:val="auto"/>
                      <w:szCs w:val="21"/>
                    </w:rPr>
                  </w:pPr>
                  <w:r>
                    <w:rPr>
                      <w:rFonts w:hint="eastAsia"/>
                      <w:b/>
                      <w:bCs/>
                      <w:color w:val="auto"/>
                      <w:szCs w:val="21"/>
                    </w:rPr>
                    <w:t>监测结果</w:t>
                  </w:r>
                </w:p>
              </w:tc>
            </w:tr>
            <w:tr w14:paraId="3111C81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10" w:type="pct"/>
                  <w:vMerge w:val="continue"/>
                  <w:tcBorders>
                    <w:tl2br w:val="nil"/>
                    <w:tr2bl w:val="nil"/>
                  </w:tcBorders>
                  <w:noWrap w:val="0"/>
                  <w:vAlign w:val="center"/>
                </w:tcPr>
                <w:p w14:paraId="7EA791D4">
                  <w:pPr>
                    <w:jc w:val="center"/>
                    <w:rPr>
                      <w:color w:val="auto"/>
                      <w:szCs w:val="21"/>
                    </w:rPr>
                  </w:pPr>
                </w:p>
              </w:tc>
              <w:tc>
                <w:tcPr>
                  <w:tcW w:w="738" w:type="pct"/>
                  <w:vMerge w:val="continue"/>
                  <w:tcBorders>
                    <w:tl2br w:val="nil"/>
                    <w:tr2bl w:val="nil"/>
                  </w:tcBorders>
                  <w:noWrap w:val="0"/>
                  <w:vAlign w:val="center"/>
                </w:tcPr>
                <w:p w14:paraId="2B408DAE">
                  <w:pPr>
                    <w:jc w:val="center"/>
                    <w:rPr>
                      <w:color w:val="auto"/>
                      <w:szCs w:val="21"/>
                    </w:rPr>
                  </w:pPr>
                </w:p>
              </w:tc>
              <w:tc>
                <w:tcPr>
                  <w:tcW w:w="993" w:type="pct"/>
                  <w:vMerge w:val="continue"/>
                  <w:tcBorders>
                    <w:tl2br w:val="nil"/>
                    <w:tr2bl w:val="nil"/>
                  </w:tcBorders>
                  <w:noWrap w:val="0"/>
                  <w:vAlign w:val="center"/>
                </w:tcPr>
                <w:p w14:paraId="291DBDAD">
                  <w:pPr>
                    <w:jc w:val="center"/>
                    <w:rPr>
                      <w:color w:val="auto"/>
                      <w:szCs w:val="21"/>
                    </w:rPr>
                  </w:pPr>
                </w:p>
              </w:tc>
              <w:tc>
                <w:tcPr>
                  <w:tcW w:w="714" w:type="pct"/>
                  <w:tcBorders>
                    <w:tl2br w:val="nil"/>
                    <w:tr2bl w:val="nil"/>
                  </w:tcBorders>
                  <w:noWrap w:val="0"/>
                  <w:vAlign w:val="center"/>
                </w:tcPr>
                <w:p w14:paraId="24C382AD">
                  <w:pPr>
                    <w:jc w:val="center"/>
                    <w:rPr>
                      <w:b/>
                      <w:bCs/>
                      <w:color w:val="auto"/>
                      <w:szCs w:val="21"/>
                    </w:rPr>
                  </w:pPr>
                  <w:r>
                    <w:rPr>
                      <w:rFonts w:hint="eastAsia"/>
                      <w:b/>
                      <w:bCs/>
                      <w:color w:val="auto"/>
                      <w:szCs w:val="21"/>
                    </w:rPr>
                    <w:t>pH</w:t>
                  </w:r>
                </w:p>
              </w:tc>
              <w:tc>
                <w:tcPr>
                  <w:tcW w:w="714" w:type="pct"/>
                  <w:tcBorders>
                    <w:tl2br w:val="nil"/>
                    <w:tr2bl w:val="nil"/>
                  </w:tcBorders>
                  <w:noWrap w:val="0"/>
                  <w:vAlign w:val="center"/>
                </w:tcPr>
                <w:p w14:paraId="20DEBE08">
                  <w:pPr>
                    <w:jc w:val="center"/>
                    <w:rPr>
                      <w:b/>
                      <w:bCs/>
                      <w:color w:val="auto"/>
                      <w:szCs w:val="21"/>
                    </w:rPr>
                  </w:pPr>
                  <w:r>
                    <w:rPr>
                      <w:rFonts w:hint="eastAsia"/>
                      <w:b/>
                      <w:bCs/>
                      <w:color w:val="auto"/>
                      <w:szCs w:val="21"/>
                    </w:rPr>
                    <w:t>COD</w:t>
                  </w:r>
                </w:p>
              </w:tc>
              <w:tc>
                <w:tcPr>
                  <w:tcW w:w="714" w:type="pct"/>
                  <w:tcBorders>
                    <w:tl2br w:val="nil"/>
                    <w:tr2bl w:val="nil"/>
                  </w:tcBorders>
                  <w:noWrap w:val="0"/>
                  <w:vAlign w:val="center"/>
                </w:tcPr>
                <w:p w14:paraId="4E0F60F8">
                  <w:pPr>
                    <w:jc w:val="center"/>
                    <w:rPr>
                      <w:b/>
                      <w:bCs/>
                      <w:color w:val="auto"/>
                      <w:szCs w:val="21"/>
                    </w:rPr>
                  </w:pPr>
                  <w:r>
                    <w:rPr>
                      <w:rFonts w:hint="eastAsia"/>
                      <w:b/>
                      <w:bCs/>
                      <w:color w:val="auto"/>
                      <w:szCs w:val="21"/>
                    </w:rPr>
                    <w:t>NH</w:t>
                  </w:r>
                  <w:r>
                    <w:rPr>
                      <w:rFonts w:hint="eastAsia"/>
                      <w:b/>
                      <w:bCs/>
                      <w:color w:val="auto"/>
                      <w:szCs w:val="21"/>
                      <w:vertAlign w:val="subscript"/>
                    </w:rPr>
                    <w:t>3</w:t>
                  </w:r>
                  <w:r>
                    <w:rPr>
                      <w:rFonts w:hint="eastAsia"/>
                      <w:b/>
                      <w:bCs/>
                      <w:color w:val="auto"/>
                      <w:szCs w:val="21"/>
                    </w:rPr>
                    <w:t>-N</w:t>
                  </w:r>
                </w:p>
              </w:tc>
              <w:tc>
                <w:tcPr>
                  <w:tcW w:w="714" w:type="pct"/>
                  <w:tcBorders>
                    <w:tl2br w:val="nil"/>
                    <w:tr2bl w:val="nil"/>
                  </w:tcBorders>
                  <w:noWrap w:val="0"/>
                  <w:vAlign w:val="center"/>
                </w:tcPr>
                <w:p w14:paraId="7CF56655">
                  <w:pPr>
                    <w:jc w:val="center"/>
                    <w:rPr>
                      <w:b/>
                      <w:bCs/>
                      <w:color w:val="auto"/>
                      <w:szCs w:val="21"/>
                    </w:rPr>
                  </w:pPr>
                  <w:r>
                    <w:rPr>
                      <w:rFonts w:hint="eastAsia"/>
                      <w:b/>
                      <w:bCs/>
                      <w:color w:val="auto"/>
                      <w:szCs w:val="21"/>
                    </w:rPr>
                    <w:t>TP</w:t>
                  </w:r>
                </w:p>
              </w:tc>
            </w:tr>
            <w:tr w14:paraId="42328A7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10" w:type="pct"/>
                  <w:vMerge w:val="restart"/>
                  <w:tcBorders>
                    <w:tl2br w:val="nil"/>
                    <w:tr2bl w:val="nil"/>
                  </w:tcBorders>
                  <w:noWrap w:val="0"/>
                  <w:vAlign w:val="center"/>
                </w:tcPr>
                <w:p w14:paraId="47EFB3CB">
                  <w:pPr>
                    <w:jc w:val="center"/>
                    <w:rPr>
                      <w:rFonts w:hint="eastAsia"/>
                      <w:color w:val="auto"/>
                      <w:szCs w:val="21"/>
                    </w:rPr>
                  </w:pPr>
                  <w:r>
                    <w:rPr>
                      <w:rFonts w:hint="eastAsia"/>
                      <w:color w:val="auto"/>
                      <w:szCs w:val="21"/>
                    </w:rPr>
                    <w:t>薛埠河</w:t>
                  </w:r>
                </w:p>
              </w:tc>
              <w:tc>
                <w:tcPr>
                  <w:tcW w:w="738" w:type="pct"/>
                  <w:vMerge w:val="restart"/>
                  <w:tcBorders>
                    <w:tl2br w:val="nil"/>
                    <w:tr2bl w:val="nil"/>
                  </w:tcBorders>
                  <w:noWrap w:val="0"/>
                  <w:vAlign w:val="center"/>
                </w:tcPr>
                <w:p w14:paraId="58348A36">
                  <w:pPr>
                    <w:jc w:val="center"/>
                    <w:rPr>
                      <w:color w:val="auto"/>
                      <w:szCs w:val="21"/>
                    </w:rPr>
                  </w:pPr>
                  <w:r>
                    <w:rPr>
                      <w:rFonts w:hint="eastAsia"/>
                      <w:color w:val="auto"/>
                      <w:szCs w:val="21"/>
                    </w:rPr>
                    <w:t>W1薛埠河茅东污水处理厂排口上游500m</w:t>
                  </w:r>
                </w:p>
              </w:tc>
              <w:tc>
                <w:tcPr>
                  <w:tcW w:w="993" w:type="pct"/>
                  <w:tcBorders>
                    <w:tl2br w:val="nil"/>
                    <w:tr2bl w:val="nil"/>
                  </w:tcBorders>
                  <w:noWrap w:val="0"/>
                  <w:vAlign w:val="center"/>
                </w:tcPr>
                <w:p w14:paraId="2AF34E3D">
                  <w:pPr>
                    <w:jc w:val="center"/>
                    <w:rPr>
                      <w:rFonts w:hint="eastAsia"/>
                      <w:color w:val="auto"/>
                      <w:szCs w:val="21"/>
                    </w:rPr>
                  </w:pPr>
                  <w:r>
                    <w:rPr>
                      <w:rFonts w:hint="eastAsia"/>
                      <w:color w:val="auto"/>
                      <w:szCs w:val="21"/>
                    </w:rPr>
                    <w:t>最大值</w:t>
                  </w:r>
                </w:p>
              </w:tc>
              <w:tc>
                <w:tcPr>
                  <w:tcW w:w="714" w:type="pct"/>
                  <w:tcBorders>
                    <w:tl2br w:val="nil"/>
                    <w:tr2bl w:val="nil"/>
                  </w:tcBorders>
                  <w:noWrap w:val="0"/>
                  <w:vAlign w:val="center"/>
                </w:tcPr>
                <w:p w14:paraId="5A59B926">
                  <w:pPr>
                    <w:jc w:val="center"/>
                    <w:rPr>
                      <w:color w:val="auto"/>
                      <w:szCs w:val="21"/>
                    </w:rPr>
                  </w:pPr>
                  <w:r>
                    <w:rPr>
                      <w:rFonts w:hint="eastAsia"/>
                      <w:color w:val="auto"/>
                      <w:szCs w:val="21"/>
                    </w:rPr>
                    <w:t>7.3</w:t>
                  </w:r>
                </w:p>
              </w:tc>
              <w:tc>
                <w:tcPr>
                  <w:tcW w:w="714" w:type="pct"/>
                  <w:tcBorders>
                    <w:tl2br w:val="nil"/>
                    <w:tr2bl w:val="nil"/>
                  </w:tcBorders>
                  <w:noWrap w:val="0"/>
                  <w:vAlign w:val="center"/>
                </w:tcPr>
                <w:p w14:paraId="786DB383">
                  <w:pPr>
                    <w:jc w:val="center"/>
                    <w:rPr>
                      <w:color w:val="auto"/>
                      <w:szCs w:val="21"/>
                    </w:rPr>
                  </w:pPr>
                  <w:r>
                    <w:rPr>
                      <w:rFonts w:hint="eastAsia"/>
                      <w:color w:val="auto"/>
                      <w:szCs w:val="21"/>
                    </w:rPr>
                    <w:t>13</w:t>
                  </w:r>
                </w:p>
              </w:tc>
              <w:tc>
                <w:tcPr>
                  <w:tcW w:w="714" w:type="pct"/>
                  <w:tcBorders>
                    <w:tl2br w:val="nil"/>
                    <w:tr2bl w:val="nil"/>
                  </w:tcBorders>
                  <w:noWrap w:val="0"/>
                  <w:vAlign w:val="center"/>
                </w:tcPr>
                <w:p w14:paraId="20FAB2D5">
                  <w:pPr>
                    <w:jc w:val="center"/>
                    <w:rPr>
                      <w:color w:val="auto"/>
                      <w:szCs w:val="21"/>
                    </w:rPr>
                  </w:pPr>
                  <w:r>
                    <w:rPr>
                      <w:rFonts w:hint="eastAsia"/>
                      <w:color w:val="auto"/>
                      <w:szCs w:val="21"/>
                    </w:rPr>
                    <w:t>0.448</w:t>
                  </w:r>
                </w:p>
              </w:tc>
              <w:tc>
                <w:tcPr>
                  <w:tcW w:w="714" w:type="pct"/>
                  <w:tcBorders>
                    <w:tl2br w:val="nil"/>
                    <w:tr2bl w:val="nil"/>
                  </w:tcBorders>
                  <w:noWrap w:val="0"/>
                  <w:vAlign w:val="center"/>
                </w:tcPr>
                <w:p w14:paraId="3F0651F3">
                  <w:pPr>
                    <w:jc w:val="center"/>
                    <w:rPr>
                      <w:color w:val="auto"/>
                      <w:szCs w:val="21"/>
                    </w:rPr>
                  </w:pPr>
                  <w:r>
                    <w:rPr>
                      <w:rFonts w:hint="eastAsia"/>
                      <w:color w:val="auto"/>
                      <w:szCs w:val="21"/>
                    </w:rPr>
                    <w:t>0.13</w:t>
                  </w:r>
                </w:p>
              </w:tc>
            </w:tr>
            <w:tr w14:paraId="3806057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10" w:type="pct"/>
                  <w:vMerge w:val="continue"/>
                  <w:tcBorders>
                    <w:tl2br w:val="nil"/>
                    <w:tr2bl w:val="nil"/>
                  </w:tcBorders>
                  <w:noWrap w:val="0"/>
                  <w:vAlign w:val="center"/>
                </w:tcPr>
                <w:p w14:paraId="06FD109E">
                  <w:pPr>
                    <w:jc w:val="center"/>
                    <w:rPr>
                      <w:color w:val="auto"/>
                      <w:szCs w:val="21"/>
                    </w:rPr>
                  </w:pPr>
                </w:p>
              </w:tc>
              <w:tc>
                <w:tcPr>
                  <w:tcW w:w="738" w:type="pct"/>
                  <w:vMerge w:val="continue"/>
                  <w:tcBorders>
                    <w:tl2br w:val="nil"/>
                    <w:tr2bl w:val="nil"/>
                  </w:tcBorders>
                  <w:noWrap w:val="0"/>
                  <w:vAlign w:val="center"/>
                </w:tcPr>
                <w:p w14:paraId="243FA6EC">
                  <w:pPr>
                    <w:jc w:val="center"/>
                    <w:rPr>
                      <w:color w:val="auto"/>
                      <w:szCs w:val="21"/>
                    </w:rPr>
                  </w:pPr>
                </w:p>
              </w:tc>
              <w:tc>
                <w:tcPr>
                  <w:tcW w:w="993" w:type="pct"/>
                  <w:tcBorders>
                    <w:tl2br w:val="nil"/>
                    <w:tr2bl w:val="nil"/>
                  </w:tcBorders>
                  <w:noWrap w:val="0"/>
                  <w:vAlign w:val="center"/>
                </w:tcPr>
                <w:p w14:paraId="301DA603">
                  <w:pPr>
                    <w:jc w:val="center"/>
                    <w:rPr>
                      <w:rFonts w:hint="eastAsia"/>
                      <w:color w:val="auto"/>
                      <w:szCs w:val="21"/>
                    </w:rPr>
                  </w:pPr>
                  <w:r>
                    <w:rPr>
                      <w:rFonts w:hint="eastAsia"/>
                      <w:color w:val="auto"/>
                      <w:szCs w:val="21"/>
                    </w:rPr>
                    <w:t>最小值</w:t>
                  </w:r>
                </w:p>
              </w:tc>
              <w:tc>
                <w:tcPr>
                  <w:tcW w:w="714" w:type="pct"/>
                  <w:tcBorders>
                    <w:tl2br w:val="nil"/>
                    <w:tr2bl w:val="nil"/>
                  </w:tcBorders>
                  <w:noWrap w:val="0"/>
                  <w:vAlign w:val="center"/>
                </w:tcPr>
                <w:p w14:paraId="29182808">
                  <w:pPr>
                    <w:jc w:val="center"/>
                    <w:rPr>
                      <w:color w:val="auto"/>
                      <w:szCs w:val="21"/>
                    </w:rPr>
                  </w:pPr>
                  <w:r>
                    <w:rPr>
                      <w:rFonts w:hint="eastAsia"/>
                      <w:color w:val="auto"/>
                      <w:szCs w:val="21"/>
                    </w:rPr>
                    <w:t>7.2</w:t>
                  </w:r>
                </w:p>
              </w:tc>
              <w:tc>
                <w:tcPr>
                  <w:tcW w:w="714" w:type="pct"/>
                  <w:tcBorders>
                    <w:tl2br w:val="nil"/>
                    <w:tr2bl w:val="nil"/>
                  </w:tcBorders>
                  <w:noWrap w:val="0"/>
                  <w:vAlign w:val="center"/>
                </w:tcPr>
                <w:p w14:paraId="40496085">
                  <w:pPr>
                    <w:jc w:val="center"/>
                    <w:rPr>
                      <w:color w:val="auto"/>
                      <w:szCs w:val="21"/>
                    </w:rPr>
                  </w:pPr>
                  <w:r>
                    <w:rPr>
                      <w:rFonts w:hint="eastAsia"/>
                      <w:color w:val="auto"/>
                      <w:szCs w:val="21"/>
                    </w:rPr>
                    <w:t>12</w:t>
                  </w:r>
                </w:p>
              </w:tc>
              <w:tc>
                <w:tcPr>
                  <w:tcW w:w="714" w:type="pct"/>
                  <w:tcBorders>
                    <w:tl2br w:val="nil"/>
                    <w:tr2bl w:val="nil"/>
                  </w:tcBorders>
                  <w:noWrap w:val="0"/>
                  <w:vAlign w:val="center"/>
                </w:tcPr>
                <w:p w14:paraId="58D4BBCA">
                  <w:pPr>
                    <w:jc w:val="center"/>
                    <w:rPr>
                      <w:color w:val="auto"/>
                      <w:szCs w:val="21"/>
                    </w:rPr>
                  </w:pPr>
                  <w:r>
                    <w:rPr>
                      <w:rFonts w:hint="eastAsia"/>
                      <w:color w:val="auto"/>
                      <w:szCs w:val="21"/>
                    </w:rPr>
                    <w:t>0.412</w:t>
                  </w:r>
                </w:p>
              </w:tc>
              <w:tc>
                <w:tcPr>
                  <w:tcW w:w="714" w:type="pct"/>
                  <w:tcBorders>
                    <w:tl2br w:val="nil"/>
                    <w:tr2bl w:val="nil"/>
                  </w:tcBorders>
                  <w:noWrap w:val="0"/>
                  <w:vAlign w:val="center"/>
                </w:tcPr>
                <w:p w14:paraId="09BD5453">
                  <w:pPr>
                    <w:jc w:val="center"/>
                    <w:rPr>
                      <w:color w:val="auto"/>
                      <w:szCs w:val="21"/>
                    </w:rPr>
                  </w:pPr>
                  <w:r>
                    <w:rPr>
                      <w:rFonts w:hint="eastAsia"/>
                      <w:color w:val="auto"/>
                      <w:szCs w:val="21"/>
                    </w:rPr>
                    <w:t>0.11</w:t>
                  </w:r>
                </w:p>
              </w:tc>
            </w:tr>
            <w:tr w14:paraId="661EF17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10" w:type="pct"/>
                  <w:vMerge w:val="continue"/>
                  <w:tcBorders>
                    <w:tl2br w:val="nil"/>
                    <w:tr2bl w:val="nil"/>
                  </w:tcBorders>
                  <w:noWrap w:val="0"/>
                  <w:vAlign w:val="center"/>
                </w:tcPr>
                <w:p w14:paraId="526E9CBD">
                  <w:pPr>
                    <w:jc w:val="center"/>
                    <w:rPr>
                      <w:color w:val="auto"/>
                      <w:szCs w:val="21"/>
                    </w:rPr>
                  </w:pPr>
                </w:p>
              </w:tc>
              <w:tc>
                <w:tcPr>
                  <w:tcW w:w="738" w:type="pct"/>
                  <w:vMerge w:val="continue"/>
                  <w:tcBorders>
                    <w:tl2br w:val="nil"/>
                    <w:tr2bl w:val="nil"/>
                  </w:tcBorders>
                  <w:noWrap w:val="0"/>
                  <w:vAlign w:val="center"/>
                </w:tcPr>
                <w:p w14:paraId="57E10E49">
                  <w:pPr>
                    <w:jc w:val="center"/>
                    <w:rPr>
                      <w:color w:val="auto"/>
                      <w:szCs w:val="21"/>
                    </w:rPr>
                  </w:pPr>
                </w:p>
              </w:tc>
              <w:tc>
                <w:tcPr>
                  <w:tcW w:w="993" w:type="pct"/>
                  <w:tcBorders>
                    <w:tl2br w:val="nil"/>
                    <w:tr2bl w:val="nil"/>
                  </w:tcBorders>
                  <w:noWrap w:val="0"/>
                  <w:vAlign w:val="center"/>
                </w:tcPr>
                <w:p w14:paraId="365649D2">
                  <w:pPr>
                    <w:jc w:val="center"/>
                    <w:rPr>
                      <w:rFonts w:hint="eastAsia"/>
                      <w:color w:val="auto"/>
                      <w:szCs w:val="21"/>
                    </w:rPr>
                  </w:pPr>
                  <w:r>
                    <w:rPr>
                      <w:rFonts w:hint="eastAsia"/>
                      <w:color w:val="auto"/>
                      <w:szCs w:val="21"/>
                    </w:rPr>
                    <w:t>平均值</w:t>
                  </w:r>
                </w:p>
              </w:tc>
              <w:tc>
                <w:tcPr>
                  <w:tcW w:w="714" w:type="pct"/>
                  <w:tcBorders>
                    <w:tl2br w:val="nil"/>
                    <w:tr2bl w:val="nil"/>
                  </w:tcBorders>
                  <w:noWrap w:val="0"/>
                  <w:vAlign w:val="center"/>
                </w:tcPr>
                <w:p w14:paraId="48F4AB75">
                  <w:pPr>
                    <w:jc w:val="center"/>
                    <w:rPr>
                      <w:color w:val="auto"/>
                      <w:szCs w:val="21"/>
                    </w:rPr>
                  </w:pPr>
                  <w:r>
                    <w:rPr>
                      <w:rFonts w:hint="eastAsia"/>
                      <w:color w:val="auto"/>
                      <w:szCs w:val="21"/>
                    </w:rPr>
                    <w:t>7.25</w:t>
                  </w:r>
                </w:p>
              </w:tc>
              <w:tc>
                <w:tcPr>
                  <w:tcW w:w="714" w:type="pct"/>
                  <w:tcBorders>
                    <w:tl2br w:val="nil"/>
                    <w:tr2bl w:val="nil"/>
                  </w:tcBorders>
                  <w:noWrap w:val="0"/>
                  <w:vAlign w:val="center"/>
                </w:tcPr>
                <w:p w14:paraId="5190DBCA">
                  <w:pPr>
                    <w:jc w:val="center"/>
                    <w:rPr>
                      <w:color w:val="auto"/>
                      <w:szCs w:val="21"/>
                    </w:rPr>
                  </w:pPr>
                  <w:r>
                    <w:rPr>
                      <w:rFonts w:hint="eastAsia"/>
                      <w:color w:val="auto"/>
                      <w:szCs w:val="21"/>
                    </w:rPr>
                    <w:t>12.5</w:t>
                  </w:r>
                </w:p>
              </w:tc>
              <w:tc>
                <w:tcPr>
                  <w:tcW w:w="714" w:type="pct"/>
                  <w:tcBorders>
                    <w:tl2br w:val="nil"/>
                    <w:tr2bl w:val="nil"/>
                  </w:tcBorders>
                  <w:noWrap w:val="0"/>
                  <w:vAlign w:val="center"/>
                </w:tcPr>
                <w:p w14:paraId="1A9FA276">
                  <w:pPr>
                    <w:jc w:val="center"/>
                    <w:rPr>
                      <w:color w:val="auto"/>
                      <w:szCs w:val="21"/>
                    </w:rPr>
                  </w:pPr>
                  <w:r>
                    <w:rPr>
                      <w:rFonts w:hint="eastAsia"/>
                      <w:color w:val="auto"/>
                      <w:szCs w:val="21"/>
                    </w:rPr>
                    <w:t>0.43</w:t>
                  </w:r>
                </w:p>
              </w:tc>
              <w:tc>
                <w:tcPr>
                  <w:tcW w:w="714" w:type="pct"/>
                  <w:tcBorders>
                    <w:tl2br w:val="nil"/>
                    <w:tr2bl w:val="nil"/>
                  </w:tcBorders>
                  <w:noWrap w:val="0"/>
                  <w:vAlign w:val="center"/>
                </w:tcPr>
                <w:p w14:paraId="2A334C1A">
                  <w:pPr>
                    <w:jc w:val="center"/>
                    <w:rPr>
                      <w:color w:val="auto"/>
                      <w:szCs w:val="21"/>
                    </w:rPr>
                  </w:pPr>
                  <w:r>
                    <w:rPr>
                      <w:rFonts w:hint="eastAsia"/>
                      <w:color w:val="auto"/>
                      <w:szCs w:val="21"/>
                    </w:rPr>
                    <w:t>0.12</w:t>
                  </w:r>
                </w:p>
              </w:tc>
            </w:tr>
            <w:tr w14:paraId="0455F55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10" w:type="pct"/>
                  <w:vMerge w:val="continue"/>
                  <w:tcBorders>
                    <w:tl2br w:val="nil"/>
                    <w:tr2bl w:val="nil"/>
                  </w:tcBorders>
                  <w:noWrap w:val="0"/>
                  <w:vAlign w:val="center"/>
                </w:tcPr>
                <w:p w14:paraId="23A0BB0F">
                  <w:pPr>
                    <w:jc w:val="center"/>
                    <w:rPr>
                      <w:color w:val="auto"/>
                      <w:szCs w:val="21"/>
                    </w:rPr>
                  </w:pPr>
                </w:p>
              </w:tc>
              <w:tc>
                <w:tcPr>
                  <w:tcW w:w="738" w:type="pct"/>
                  <w:vMerge w:val="continue"/>
                  <w:tcBorders>
                    <w:tl2br w:val="nil"/>
                    <w:tr2bl w:val="nil"/>
                  </w:tcBorders>
                  <w:noWrap w:val="0"/>
                  <w:vAlign w:val="center"/>
                </w:tcPr>
                <w:p w14:paraId="1857D3C6">
                  <w:pPr>
                    <w:jc w:val="center"/>
                    <w:rPr>
                      <w:color w:val="auto"/>
                      <w:szCs w:val="21"/>
                    </w:rPr>
                  </w:pPr>
                </w:p>
              </w:tc>
              <w:tc>
                <w:tcPr>
                  <w:tcW w:w="993" w:type="pct"/>
                  <w:tcBorders>
                    <w:tl2br w:val="nil"/>
                    <w:tr2bl w:val="nil"/>
                  </w:tcBorders>
                  <w:noWrap w:val="0"/>
                  <w:vAlign w:val="center"/>
                </w:tcPr>
                <w:p w14:paraId="2D36A148">
                  <w:pPr>
                    <w:jc w:val="center"/>
                    <w:rPr>
                      <w:color w:val="auto"/>
                      <w:szCs w:val="21"/>
                    </w:rPr>
                  </w:pPr>
                  <w:r>
                    <w:rPr>
                      <w:rFonts w:hint="eastAsia"/>
                      <w:color w:val="auto"/>
                      <w:szCs w:val="21"/>
                    </w:rPr>
                    <w:t>超标率%</w:t>
                  </w:r>
                </w:p>
              </w:tc>
              <w:tc>
                <w:tcPr>
                  <w:tcW w:w="714" w:type="pct"/>
                  <w:tcBorders>
                    <w:tl2br w:val="nil"/>
                    <w:tr2bl w:val="nil"/>
                  </w:tcBorders>
                  <w:noWrap w:val="0"/>
                  <w:vAlign w:val="center"/>
                </w:tcPr>
                <w:p w14:paraId="10373051">
                  <w:pPr>
                    <w:jc w:val="center"/>
                    <w:rPr>
                      <w:rFonts w:hint="eastAsia"/>
                      <w:color w:val="auto"/>
                      <w:szCs w:val="21"/>
                    </w:rPr>
                  </w:pPr>
                  <w:r>
                    <w:rPr>
                      <w:rFonts w:hint="eastAsia"/>
                      <w:color w:val="auto"/>
                      <w:szCs w:val="21"/>
                    </w:rPr>
                    <w:t>/</w:t>
                  </w:r>
                </w:p>
              </w:tc>
              <w:tc>
                <w:tcPr>
                  <w:tcW w:w="714" w:type="pct"/>
                  <w:tcBorders>
                    <w:tl2br w:val="nil"/>
                    <w:tr2bl w:val="nil"/>
                  </w:tcBorders>
                  <w:noWrap w:val="0"/>
                  <w:vAlign w:val="center"/>
                </w:tcPr>
                <w:p w14:paraId="3C0A2C58">
                  <w:pPr>
                    <w:jc w:val="center"/>
                    <w:rPr>
                      <w:color w:val="auto"/>
                      <w:szCs w:val="21"/>
                    </w:rPr>
                  </w:pPr>
                  <w:r>
                    <w:rPr>
                      <w:rFonts w:hint="eastAsia"/>
                      <w:color w:val="auto"/>
                      <w:szCs w:val="21"/>
                    </w:rPr>
                    <w:t>/</w:t>
                  </w:r>
                </w:p>
              </w:tc>
              <w:tc>
                <w:tcPr>
                  <w:tcW w:w="714" w:type="pct"/>
                  <w:tcBorders>
                    <w:tl2br w:val="nil"/>
                    <w:tr2bl w:val="nil"/>
                  </w:tcBorders>
                  <w:noWrap w:val="0"/>
                  <w:vAlign w:val="center"/>
                </w:tcPr>
                <w:p w14:paraId="076765BE">
                  <w:pPr>
                    <w:jc w:val="center"/>
                    <w:rPr>
                      <w:color w:val="auto"/>
                      <w:szCs w:val="21"/>
                    </w:rPr>
                  </w:pPr>
                  <w:r>
                    <w:rPr>
                      <w:rFonts w:hint="eastAsia"/>
                      <w:color w:val="auto"/>
                      <w:szCs w:val="21"/>
                    </w:rPr>
                    <w:t>/</w:t>
                  </w:r>
                </w:p>
              </w:tc>
              <w:tc>
                <w:tcPr>
                  <w:tcW w:w="714" w:type="pct"/>
                  <w:tcBorders>
                    <w:tl2br w:val="nil"/>
                    <w:tr2bl w:val="nil"/>
                  </w:tcBorders>
                  <w:noWrap w:val="0"/>
                  <w:vAlign w:val="center"/>
                </w:tcPr>
                <w:p w14:paraId="3632F107">
                  <w:pPr>
                    <w:jc w:val="center"/>
                    <w:rPr>
                      <w:color w:val="auto"/>
                      <w:szCs w:val="21"/>
                    </w:rPr>
                  </w:pPr>
                  <w:r>
                    <w:rPr>
                      <w:rFonts w:hint="eastAsia"/>
                      <w:color w:val="auto"/>
                      <w:szCs w:val="21"/>
                    </w:rPr>
                    <w:t>/</w:t>
                  </w:r>
                </w:p>
              </w:tc>
            </w:tr>
            <w:tr w14:paraId="5183FF0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10" w:type="pct"/>
                  <w:vMerge w:val="continue"/>
                  <w:tcBorders>
                    <w:tl2br w:val="nil"/>
                    <w:tr2bl w:val="nil"/>
                  </w:tcBorders>
                  <w:noWrap w:val="0"/>
                  <w:vAlign w:val="center"/>
                </w:tcPr>
                <w:p w14:paraId="268A874B">
                  <w:pPr>
                    <w:jc w:val="center"/>
                    <w:rPr>
                      <w:color w:val="auto"/>
                      <w:szCs w:val="21"/>
                    </w:rPr>
                  </w:pPr>
                </w:p>
              </w:tc>
              <w:tc>
                <w:tcPr>
                  <w:tcW w:w="738" w:type="pct"/>
                  <w:vMerge w:val="continue"/>
                  <w:tcBorders>
                    <w:tl2br w:val="nil"/>
                    <w:tr2bl w:val="nil"/>
                  </w:tcBorders>
                  <w:noWrap w:val="0"/>
                  <w:vAlign w:val="center"/>
                </w:tcPr>
                <w:p w14:paraId="65FF0F3A">
                  <w:pPr>
                    <w:jc w:val="center"/>
                    <w:rPr>
                      <w:color w:val="auto"/>
                      <w:szCs w:val="21"/>
                    </w:rPr>
                  </w:pPr>
                </w:p>
              </w:tc>
              <w:tc>
                <w:tcPr>
                  <w:tcW w:w="993" w:type="pct"/>
                  <w:tcBorders>
                    <w:tl2br w:val="nil"/>
                    <w:tr2bl w:val="nil"/>
                  </w:tcBorders>
                  <w:noWrap w:val="0"/>
                  <w:vAlign w:val="center"/>
                </w:tcPr>
                <w:p w14:paraId="41A0E982">
                  <w:pPr>
                    <w:jc w:val="center"/>
                    <w:rPr>
                      <w:color w:val="auto"/>
                      <w:szCs w:val="21"/>
                    </w:rPr>
                  </w:pPr>
                  <w:r>
                    <w:rPr>
                      <w:rFonts w:hint="eastAsia"/>
                      <w:color w:val="auto"/>
                      <w:szCs w:val="21"/>
                    </w:rPr>
                    <w:t>最大超标倍数</w:t>
                  </w:r>
                </w:p>
              </w:tc>
              <w:tc>
                <w:tcPr>
                  <w:tcW w:w="714" w:type="pct"/>
                  <w:tcBorders>
                    <w:tl2br w:val="nil"/>
                    <w:tr2bl w:val="nil"/>
                  </w:tcBorders>
                  <w:noWrap w:val="0"/>
                  <w:vAlign w:val="center"/>
                </w:tcPr>
                <w:p w14:paraId="08643BB7">
                  <w:pPr>
                    <w:jc w:val="center"/>
                    <w:rPr>
                      <w:color w:val="auto"/>
                      <w:szCs w:val="21"/>
                    </w:rPr>
                  </w:pPr>
                  <w:r>
                    <w:rPr>
                      <w:rFonts w:hint="eastAsia"/>
                      <w:color w:val="auto"/>
                      <w:szCs w:val="21"/>
                    </w:rPr>
                    <w:t>/</w:t>
                  </w:r>
                </w:p>
              </w:tc>
              <w:tc>
                <w:tcPr>
                  <w:tcW w:w="714" w:type="pct"/>
                  <w:tcBorders>
                    <w:tl2br w:val="nil"/>
                    <w:tr2bl w:val="nil"/>
                  </w:tcBorders>
                  <w:noWrap w:val="0"/>
                  <w:vAlign w:val="center"/>
                </w:tcPr>
                <w:p w14:paraId="1AF5A675">
                  <w:pPr>
                    <w:jc w:val="center"/>
                    <w:rPr>
                      <w:color w:val="auto"/>
                      <w:szCs w:val="21"/>
                    </w:rPr>
                  </w:pPr>
                  <w:r>
                    <w:rPr>
                      <w:rFonts w:hint="eastAsia"/>
                      <w:color w:val="auto"/>
                      <w:szCs w:val="21"/>
                    </w:rPr>
                    <w:t>/</w:t>
                  </w:r>
                </w:p>
              </w:tc>
              <w:tc>
                <w:tcPr>
                  <w:tcW w:w="714" w:type="pct"/>
                  <w:tcBorders>
                    <w:tl2br w:val="nil"/>
                    <w:tr2bl w:val="nil"/>
                  </w:tcBorders>
                  <w:noWrap w:val="0"/>
                  <w:vAlign w:val="center"/>
                </w:tcPr>
                <w:p w14:paraId="0B7C7C8B">
                  <w:pPr>
                    <w:jc w:val="center"/>
                    <w:rPr>
                      <w:color w:val="auto"/>
                      <w:szCs w:val="21"/>
                    </w:rPr>
                  </w:pPr>
                  <w:r>
                    <w:rPr>
                      <w:rFonts w:hint="eastAsia"/>
                      <w:color w:val="auto"/>
                      <w:szCs w:val="21"/>
                    </w:rPr>
                    <w:t>/</w:t>
                  </w:r>
                </w:p>
              </w:tc>
              <w:tc>
                <w:tcPr>
                  <w:tcW w:w="714" w:type="pct"/>
                  <w:tcBorders>
                    <w:tl2br w:val="nil"/>
                    <w:tr2bl w:val="nil"/>
                  </w:tcBorders>
                  <w:noWrap w:val="0"/>
                  <w:vAlign w:val="center"/>
                </w:tcPr>
                <w:p w14:paraId="45583A0C">
                  <w:pPr>
                    <w:jc w:val="center"/>
                    <w:rPr>
                      <w:color w:val="auto"/>
                      <w:szCs w:val="21"/>
                    </w:rPr>
                  </w:pPr>
                  <w:r>
                    <w:rPr>
                      <w:rFonts w:hint="eastAsia"/>
                      <w:color w:val="auto"/>
                      <w:szCs w:val="21"/>
                    </w:rPr>
                    <w:t>/</w:t>
                  </w:r>
                </w:p>
              </w:tc>
            </w:tr>
            <w:tr w14:paraId="33AD9FA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10" w:type="pct"/>
                  <w:vMerge w:val="continue"/>
                  <w:tcBorders>
                    <w:tl2br w:val="nil"/>
                    <w:tr2bl w:val="nil"/>
                  </w:tcBorders>
                  <w:noWrap w:val="0"/>
                  <w:vAlign w:val="center"/>
                </w:tcPr>
                <w:p w14:paraId="0C55AD53">
                  <w:pPr>
                    <w:jc w:val="center"/>
                    <w:rPr>
                      <w:color w:val="auto"/>
                      <w:szCs w:val="21"/>
                    </w:rPr>
                  </w:pPr>
                </w:p>
              </w:tc>
              <w:tc>
                <w:tcPr>
                  <w:tcW w:w="738" w:type="pct"/>
                  <w:vMerge w:val="restart"/>
                  <w:tcBorders>
                    <w:tl2br w:val="nil"/>
                    <w:tr2bl w:val="nil"/>
                  </w:tcBorders>
                  <w:noWrap w:val="0"/>
                  <w:vAlign w:val="center"/>
                </w:tcPr>
                <w:p w14:paraId="4B767ED9">
                  <w:pPr>
                    <w:jc w:val="center"/>
                    <w:rPr>
                      <w:color w:val="auto"/>
                      <w:szCs w:val="21"/>
                    </w:rPr>
                  </w:pPr>
                  <w:r>
                    <w:rPr>
                      <w:rFonts w:hint="eastAsia"/>
                      <w:color w:val="auto"/>
                      <w:szCs w:val="21"/>
                    </w:rPr>
                    <w:t>W2薛埠河茅东污水处理厂排口下游2000m</w:t>
                  </w:r>
                </w:p>
              </w:tc>
              <w:tc>
                <w:tcPr>
                  <w:tcW w:w="993" w:type="pct"/>
                  <w:tcBorders>
                    <w:tl2br w:val="nil"/>
                    <w:tr2bl w:val="nil"/>
                  </w:tcBorders>
                  <w:noWrap w:val="0"/>
                  <w:vAlign w:val="center"/>
                </w:tcPr>
                <w:p w14:paraId="31048D45">
                  <w:pPr>
                    <w:jc w:val="center"/>
                    <w:rPr>
                      <w:rFonts w:hint="eastAsia"/>
                      <w:color w:val="auto"/>
                      <w:szCs w:val="21"/>
                    </w:rPr>
                  </w:pPr>
                  <w:r>
                    <w:rPr>
                      <w:rFonts w:hint="eastAsia"/>
                      <w:color w:val="auto"/>
                      <w:szCs w:val="21"/>
                    </w:rPr>
                    <w:t>最大值</w:t>
                  </w:r>
                </w:p>
              </w:tc>
              <w:tc>
                <w:tcPr>
                  <w:tcW w:w="714" w:type="pct"/>
                  <w:tcBorders>
                    <w:tl2br w:val="nil"/>
                    <w:tr2bl w:val="nil"/>
                  </w:tcBorders>
                  <w:noWrap w:val="0"/>
                  <w:vAlign w:val="center"/>
                </w:tcPr>
                <w:p w14:paraId="431F3B05">
                  <w:pPr>
                    <w:jc w:val="center"/>
                    <w:rPr>
                      <w:color w:val="auto"/>
                      <w:szCs w:val="21"/>
                    </w:rPr>
                  </w:pPr>
                  <w:r>
                    <w:rPr>
                      <w:rFonts w:hint="eastAsia"/>
                      <w:color w:val="auto"/>
                      <w:szCs w:val="21"/>
                    </w:rPr>
                    <w:t>7.2</w:t>
                  </w:r>
                </w:p>
              </w:tc>
              <w:tc>
                <w:tcPr>
                  <w:tcW w:w="714" w:type="pct"/>
                  <w:tcBorders>
                    <w:tl2br w:val="nil"/>
                    <w:tr2bl w:val="nil"/>
                  </w:tcBorders>
                  <w:noWrap w:val="0"/>
                  <w:vAlign w:val="center"/>
                </w:tcPr>
                <w:p w14:paraId="055500CD">
                  <w:pPr>
                    <w:jc w:val="center"/>
                    <w:rPr>
                      <w:color w:val="auto"/>
                      <w:szCs w:val="21"/>
                    </w:rPr>
                  </w:pPr>
                  <w:r>
                    <w:rPr>
                      <w:rFonts w:hint="eastAsia"/>
                      <w:color w:val="auto"/>
                      <w:szCs w:val="21"/>
                    </w:rPr>
                    <w:t>17</w:t>
                  </w:r>
                </w:p>
              </w:tc>
              <w:tc>
                <w:tcPr>
                  <w:tcW w:w="714" w:type="pct"/>
                  <w:tcBorders>
                    <w:tl2br w:val="nil"/>
                    <w:tr2bl w:val="nil"/>
                  </w:tcBorders>
                  <w:noWrap w:val="0"/>
                  <w:vAlign w:val="center"/>
                </w:tcPr>
                <w:p w14:paraId="10E62D4A">
                  <w:pPr>
                    <w:jc w:val="center"/>
                    <w:rPr>
                      <w:color w:val="auto"/>
                      <w:szCs w:val="21"/>
                    </w:rPr>
                  </w:pPr>
                  <w:r>
                    <w:rPr>
                      <w:rFonts w:hint="eastAsia"/>
                      <w:color w:val="auto"/>
                      <w:szCs w:val="21"/>
                    </w:rPr>
                    <w:t>0.464</w:t>
                  </w:r>
                </w:p>
              </w:tc>
              <w:tc>
                <w:tcPr>
                  <w:tcW w:w="714" w:type="pct"/>
                  <w:tcBorders>
                    <w:tl2br w:val="nil"/>
                    <w:tr2bl w:val="nil"/>
                  </w:tcBorders>
                  <w:noWrap w:val="0"/>
                  <w:vAlign w:val="center"/>
                </w:tcPr>
                <w:p w14:paraId="4F408C40">
                  <w:pPr>
                    <w:jc w:val="center"/>
                    <w:rPr>
                      <w:color w:val="auto"/>
                      <w:szCs w:val="21"/>
                    </w:rPr>
                  </w:pPr>
                  <w:r>
                    <w:rPr>
                      <w:rFonts w:hint="eastAsia"/>
                      <w:color w:val="auto"/>
                      <w:szCs w:val="21"/>
                    </w:rPr>
                    <w:t>0.14</w:t>
                  </w:r>
                </w:p>
              </w:tc>
            </w:tr>
            <w:tr w14:paraId="60509C3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10" w:type="pct"/>
                  <w:vMerge w:val="continue"/>
                  <w:tcBorders>
                    <w:tl2br w:val="nil"/>
                    <w:tr2bl w:val="nil"/>
                  </w:tcBorders>
                  <w:noWrap w:val="0"/>
                  <w:vAlign w:val="center"/>
                </w:tcPr>
                <w:p w14:paraId="7A8B431B">
                  <w:pPr>
                    <w:jc w:val="center"/>
                    <w:rPr>
                      <w:color w:val="auto"/>
                      <w:szCs w:val="21"/>
                    </w:rPr>
                  </w:pPr>
                </w:p>
              </w:tc>
              <w:tc>
                <w:tcPr>
                  <w:tcW w:w="738" w:type="pct"/>
                  <w:vMerge w:val="continue"/>
                  <w:tcBorders>
                    <w:tl2br w:val="nil"/>
                    <w:tr2bl w:val="nil"/>
                  </w:tcBorders>
                  <w:noWrap w:val="0"/>
                  <w:vAlign w:val="center"/>
                </w:tcPr>
                <w:p w14:paraId="2AEFAFB1">
                  <w:pPr>
                    <w:jc w:val="center"/>
                    <w:rPr>
                      <w:color w:val="auto"/>
                      <w:szCs w:val="21"/>
                    </w:rPr>
                  </w:pPr>
                </w:p>
              </w:tc>
              <w:tc>
                <w:tcPr>
                  <w:tcW w:w="993" w:type="pct"/>
                  <w:tcBorders>
                    <w:tl2br w:val="nil"/>
                    <w:tr2bl w:val="nil"/>
                  </w:tcBorders>
                  <w:noWrap w:val="0"/>
                  <w:vAlign w:val="center"/>
                </w:tcPr>
                <w:p w14:paraId="74DB040A">
                  <w:pPr>
                    <w:jc w:val="center"/>
                    <w:rPr>
                      <w:rFonts w:hint="eastAsia"/>
                      <w:color w:val="auto"/>
                      <w:szCs w:val="21"/>
                    </w:rPr>
                  </w:pPr>
                  <w:r>
                    <w:rPr>
                      <w:rFonts w:hint="eastAsia"/>
                      <w:color w:val="auto"/>
                      <w:szCs w:val="21"/>
                    </w:rPr>
                    <w:t>最小值</w:t>
                  </w:r>
                </w:p>
              </w:tc>
              <w:tc>
                <w:tcPr>
                  <w:tcW w:w="714" w:type="pct"/>
                  <w:tcBorders>
                    <w:tl2br w:val="nil"/>
                    <w:tr2bl w:val="nil"/>
                  </w:tcBorders>
                  <w:noWrap w:val="0"/>
                  <w:vAlign w:val="center"/>
                </w:tcPr>
                <w:p w14:paraId="3097B08A">
                  <w:pPr>
                    <w:jc w:val="center"/>
                    <w:rPr>
                      <w:color w:val="auto"/>
                      <w:szCs w:val="21"/>
                    </w:rPr>
                  </w:pPr>
                  <w:r>
                    <w:rPr>
                      <w:rFonts w:hint="eastAsia"/>
                      <w:color w:val="auto"/>
                      <w:szCs w:val="21"/>
                    </w:rPr>
                    <w:t>7.1</w:t>
                  </w:r>
                </w:p>
              </w:tc>
              <w:tc>
                <w:tcPr>
                  <w:tcW w:w="714" w:type="pct"/>
                  <w:tcBorders>
                    <w:tl2br w:val="nil"/>
                    <w:tr2bl w:val="nil"/>
                  </w:tcBorders>
                  <w:noWrap w:val="0"/>
                  <w:vAlign w:val="center"/>
                </w:tcPr>
                <w:p w14:paraId="576D435A">
                  <w:pPr>
                    <w:jc w:val="center"/>
                    <w:rPr>
                      <w:color w:val="auto"/>
                      <w:szCs w:val="21"/>
                    </w:rPr>
                  </w:pPr>
                  <w:r>
                    <w:rPr>
                      <w:rFonts w:hint="eastAsia"/>
                      <w:color w:val="auto"/>
                      <w:szCs w:val="21"/>
                    </w:rPr>
                    <w:t>16</w:t>
                  </w:r>
                </w:p>
              </w:tc>
              <w:tc>
                <w:tcPr>
                  <w:tcW w:w="714" w:type="pct"/>
                  <w:tcBorders>
                    <w:tl2br w:val="nil"/>
                    <w:tr2bl w:val="nil"/>
                  </w:tcBorders>
                  <w:noWrap w:val="0"/>
                  <w:vAlign w:val="center"/>
                </w:tcPr>
                <w:p w14:paraId="29C89539">
                  <w:pPr>
                    <w:jc w:val="center"/>
                    <w:rPr>
                      <w:color w:val="auto"/>
                      <w:szCs w:val="21"/>
                    </w:rPr>
                  </w:pPr>
                  <w:r>
                    <w:rPr>
                      <w:rFonts w:hint="eastAsia"/>
                      <w:color w:val="auto"/>
                      <w:szCs w:val="21"/>
                    </w:rPr>
                    <w:t>0.440</w:t>
                  </w:r>
                </w:p>
              </w:tc>
              <w:tc>
                <w:tcPr>
                  <w:tcW w:w="714" w:type="pct"/>
                  <w:tcBorders>
                    <w:tl2br w:val="nil"/>
                    <w:tr2bl w:val="nil"/>
                  </w:tcBorders>
                  <w:noWrap w:val="0"/>
                  <w:vAlign w:val="center"/>
                </w:tcPr>
                <w:p w14:paraId="31EC8B3A">
                  <w:pPr>
                    <w:jc w:val="center"/>
                    <w:rPr>
                      <w:color w:val="auto"/>
                      <w:szCs w:val="21"/>
                    </w:rPr>
                  </w:pPr>
                  <w:r>
                    <w:rPr>
                      <w:rFonts w:hint="eastAsia"/>
                      <w:color w:val="auto"/>
                      <w:szCs w:val="21"/>
                    </w:rPr>
                    <w:t>0.10</w:t>
                  </w:r>
                </w:p>
              </w:tc>
            </w:tr>
            <w:tr w14:paraId="0A4C3B1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10" w:type="pct"/>
                  <w:vMerge w:val="continue"/>
                  <w:tcBorders>
                    <w:tl2br w:val="nil"/>
                    <w:tr2bl w:val="nil"/>
                  </w:tcBorders>
                  <w:noWrap w:val="0"/>
                  <w:vAlign w:val="center"/>
                </w:tcPr>
                <w:p w14:paraId="173B8AAA">
                  <w:pPr>
                    <w:jc w:val="center"/>
                    <w:rPr>
                      <w:color w:val="auto"/>
                      <w:szCs w:val="21"/>
                    </w:rPr>
                  </w:pPr>
                </w:p>
              </w:tc>
              <w:tc>
                <w:tcPr>
                  <w:tcW w:w="738" w:type="pct"/>
                  <w:vMerge w:val="continue"/>
                  <w:tcBorders>
                    <w:tl2br w:val="nil"/>
                    <w:tr2bl w:val="nil"/>
                  </w:tcBorders>
                  <w:noWrap w:val="0"/>
                  <w:vAlign w:val="center"/>
                </w:tcPr>
                <w:p w14:paraId="428D2C44">
                  <w:pPr>
                    <w:jc w:val="center"/>
                    <w:rPr>
                      <w:color w:val="auto"/>
                      <w:szCs w:val="21"/>
                    </w:rPr>
                  </w:pPr>
                </w:p>
              </w:tc>
              <w:tc>
                <w:tcPr>
                  <w:tcW w:w="993" w:type="pct"/>
                  <w:tcBorders>
                    <w:tl2br w:val="nil"/>
                    <w:tr2bl w:val="nil"/>
                  </w:tcBorders>
                  <w:noWrap w:val="0"/>
                  <w:vAlign w:val="center"/>
                </w:tcPr>
                <w:p w14:paraId="1C4CC7CB">
                  <w:pPr>
                    <w:jc w:val="center"/>
                    <w:rPr>
                      <w:rFonts w:hint="eastAsia"/>
                      <w:color w:val="auto"/>
                      <w:szCs w:val="21"/>
                    </w:rPr>
                  </w:pPr>
                  <w:r>
                    <w:rPr>
                      <w:rFonts w:hint="eastAsia"/>
                      <w:color w:val="auto"/>
                      <w:szCs w:val="21"/>
                    </w:rPr>
                    <w:t>平均值</w:t>
                  </w:r>
                </w:p>
              </w:tc>
              <w:tc>
                <w:tcPr>
                  <w:tcW w:w="714" w:type="pct"/>
                  <w:tcBorders>
                    <w:tl2br w:val="nil"/>
                    <w:tr2bl w:val="nil"/>
                  </w:tcBorders>
                  <w:noWrap w:val="0"/>
                  <w:vAlign w:val="center"/>
                </w:tcPr>
                <w:p w14:paraId="74AADDED">
                  <w:pPr>
                    <w:jc w:val="center"/>
                    <w:rPr>
                      <w:color w:val="auto"/>
                      <w:szCs w:val="21"/>
                    </w:rPr>
                  </w:pPr>
                  <w:r>
                    <w:rPr>
                      <w:rFonts w:hint="eastAsia"/>
                      <w:color w:val="auto"/>
                      <w:szCs w:val="21"/>
                    </w:rPr>
                    <w:t>7.15</w:t>
                  </w:r>
                </w:p>
              </w:tc>
              <w:tc>
                <w:tcPr>
                  <w:tcW w:w="714" w:type="pct"/>
                  <w:tcBorders>
                    <w:tl2br w:val="nil"/>
                    <w:tr2bl w:val="nil"/>
                  </w:tcBorders>
                  <w:noWrap w:val="0"/>
                  <w:vAlign w:val="center"/>
                </w:tcPr>
                <w:p w14:paraId="18A5A272">
                  <w:pPr>
                    <w:jc w:val="center"/>
                    <w:rPr>
                      <w:color w:val="auto"/>
                      <w:szCs w:val="21"/>
                    </w:rPr>
                  </w:pPr>
                  <w:r>
                    <w:rPr>
                      <w:rFonts w:hint="eastAsia"/>
                      <w:color w:val="auto"/>
                      <w:szCs w:val="21"/>
                    </w:rPr>
                    <w:t>16.5</w:t>
                  </w:r>
                </w:p>
              </w:tc>
              <w:tc>
                <w:tcPr>
                  <w:tcW w:w="714" w:type="pct"/>
                  <w:tcBorders>
                    <w:tl2br w:val="nil"/>
                    <w:tr2bl w:val="nil"/>
                  </w:tcBorders>
                  <w:noWrap w:val="0"/>
                  <w:vAlign w:val="center"/>
                </w:tcPr>
                <w:p w14:paraId="022E2526">
                  <w:pPr>
                    <w:jc w:val="center"/>
                    <w:rPr>
                      <w:color w:val="auto"/>
                      <w:szCs w:val="21"/>
                    </w:rPr>
                  </w:pPr>
                  <w:r>
                    <w:rPr>
                      <w:rFonts w:hint="eastAsia"/>
                      <w:color w:val="auto"/>
                      <w:szCs w:val="21"/>
                    </w:rPr>
                    <w:t>0.452</w:t>
                  </w:r>
                </w:p>
              </w:tc>
              <w:tc>
                <w:tcPr>
                  <w:tcW w:w="714" w:type="pct"/>
                  <w:tcBorders>
                    <w:tl2br w:val="nil"/>
                    <w:tr2bl w:val="nil"/>
                  </w:tcBorders>
                  <w:noWrap w:val="0"/>
                  <w:vAlign w:val="center"/>
                </w:tcPr>
                <w:p w14:paraId="494726BE">
                  <w:pPr>
                    <w:jc w:val="center"/>
                    <w:rPr>
                      <w:color w:val="auto"/>
                      <w:szCs w:val="21"/>
                    </w:rPr>
                  </w:pPr>
                  <w:r>
                    <w:rPr>
                      <w:rFonts w:hint="eastAsia"/>
                      <w:color w:val="auto"/>
                      <w:szCs w:val="21"/>
                    </w:rPr>
                    <w:t>0.12</w:t>
                  </w:r>
                </w:p>
              </w:tc>
            </w:tr>
            <w:tr w14:paraId="3BA7BF7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10" w:type="pct"/>
                  <w:vMerge w:val="continue"/>
                  <w:tcBorders>
                    <w:tl2br w:val="nil"/>
                    <w:tr2bl w:val="nil"/>
                  </w:tcBorders>
                  <w:noWrap w:val="0"/>
                  <w:vAlign w:val="center"/>
                </w:tcPr>
                <w:p w14:paraId="5EDCFE53">
                  <w:pPr>
                    <w:jc w:val="center"/>
                    <w:rPr>
                      <w:color w:val="auto"/>
                      <w:szCs w:val="21"/>
                    </w:rPr>
                  </w:pPr>
                </w:p>
              </w:tc>
              <w:tc>
                <w:tcPr>
                  <w:tcW w:w="738" w:type="pct"/>
                  <w:vMerge w:val="continue"/>
                  <w:tcBorders>
                    <w:tl2br w:val="nil"/>
                    <w:tr2bl w:val="nil"/>
                  </w:tcBorders>
                  <w:noWrap w:val="0"/>
                  <w:vAlign w:val="center"/>
                </w:tcPr>
                <w:p w14:paraId="528B540C">
                  <w:pPr>
                    <w:jc w:val="center"/>
                    <w:rPr>
                      <w:color w:val="auto"/>
                      <w:szCs w:val="21"/>
                    </w:rPr>
                  </w:pPr>
                </w:p>
              </w:tc>
              <w:tc>
                <w:tcPr>
                  <w:tcW w:w="993" w:type="pct"/>
                  <w:tcBorders>
                    <w:tl2br w:val="nil"/>
                    <w:tr2bl w:val="nil"/>
                  </w:tcBorders>
                  <w:noWrap w:val="0"/>
                  <w:vAlign w:val="center"/>
                </w:tcPr>
                <w:p w14:paraId="41AB122E">
                  <w:pPr>
                    <w:jc w:val="center"/>
                    <w:rPr>
                      <w:color w:val="auto"/>
                      <w:szCs w:val="21"/>
                    </w:rPr>
                  </w:pPr>
                  <w:r>
                    <w:rPr>
                      <w:rFonts w:hint="eastAsia"/>
                      <w:color w:val="auto"/>
                      <w:szCs w:val="21"/>
                    </w:rPr>
                    <w:t>超标率%</w:t>
                  </w:r>
                </w:p>
              </w:tc>
              <w:tc>
                <w:tcPr>
                  <w:tcW w:w="714" w:type="pct"/>
                  <w:tcBorders>
                    <w:tl2br w:val="nil"/>
                    <w:tr2bl w:val="nil"/>
                  </w:tcBorders>
                  <w:noWrap w:val="0"/>
                  <w:vAlign w:val="center"/>
                </w:tcPr>
                <w:p w14:paraId="2A6C1014">
                  <w:pPr>
                    <w:jc w:val="center"/>
                    <w:rPr>
                      <w:rFonts w:hint="eastAsia"/>
                      <w:color w:val="auto"/>
                      <w:szCs w:val="21"/>
                    </w:rPr>
                  </w:pPr>
                  <w:r>
                    <w:rPr>
                      <w:rFonts w:hint="eastAsia"/>
                      <w:color w:val="auto"/>
                      <w:szCs w:val="21"/>
                    </w:rPr>
                    <w:t>/</w:t>
                  </w:r>
                </w:p>
              </w:tc>
              <w:tc>
                <w:tcPr>
                  <w:tcW w:w="714" w:type="pct"/>
                  <w:tcBorders>
                    <w:tl2br w:val="nil"/>
                    <w:tr2bl w:val="nil"/>
                  </w:tcBorders>
                  <w:noWrap w:val="0"/>
                  <w:vAlign w:val="center"/>
                </w:tcPr>
                <w:p w14:paraId="460CD09E">
                  <w:pPr>
                    <w:jc w:val="center"/>
                    <w:rPr>
                      <w:color w:val="auto"/>
                      <w:szCs w:val="21"/>
                    </w:rPr>
                  </w:pPr>
                  <w:r>
                    <w:rPr>
                      <w:rFonts w:hint="eastAsia"/>
                      <w:color w:val="auto"/>
                      <w:szCs w:val="21"/>
                    </w:rPr>
                    <w:t>/</w:t>
                  </w:r>
                </w:p>
              </w:tc>
              <w:tc>
                <w:tcPr>
                  <w:tcW w:w="714" w:type="pct"/>
                  <w:tcBorders>
                    <w:tl2br w:val="nil"/>
                    <w:tr2bl w:val="nil"/>
                  </w:tcBorders>
                  <w:noWrap w:val="0"/>
                  <w:vAlign w:val="center"/>
                </w:tcPr>
                <w:p w14:paraId="29FF6EF5">
                  <w:pPr>
                    <w:jc w:val="center"/>
                    <w:rPr>
                      <w:color w:val="auto"/>
                      <w:szCs w:val="21"/>
                    </w:rPr>
                  </w:pPr>
                  <w:r>
                    <w:rPr>
                      <w:rFonts w:hint="eastAsia"/>
                      <w:color w:val="auto"/>
                      <w:szCs w:val="21"/>
                    </w:rPr>
                    <w:t>/</w:t>
                  </w:r>
                </w:p>
              </w:tc>
              <w:tc>
                <w:tcPr>
                  <w:tcW w:w="714" w:type="pct"/>
                  <w:tcBorders>
                    <w:tl2br w:val="nil"/>
                    <w:tr2bl w:val="nil"/>
                  </w:tcBorders>
                  <w:noWrap w:val="0"/>
                  <w:vAlign w:val="center"/>
                </w:tcPr>
                <w:p w14:paraId="768653AE">
                  <w:pPr>
                    <w:jc w:val="center"/>
                    <w:rPr>
                      <w:color w:val="auto"/>
                      <w:szCs w:val="21"/>
                    </w:rPr>
                  </w:pPr>
                  <w:r>
                    <w:rPr>
                      <w:rFonts w:hint="eastAsia"/>
                      <w:color w:val="auto"/>
                      <w:szCs w:val="21"/>
                    </w:rPr>
                    <w:t>/</w:t>
                  </w:r>
                </w:p>
              </w:tc>
            </w:tr>
            <w:tr w14:paraId="3EC29BE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10" w:type="pct"/>
                  <w:vMerge w:val="continue"/>
                  <w:tcBorders>
                    <w:tl2br w:val="nil"/>
                    <w:tr2bl w:val="nil"/>
                  </w:tcBorders>
                  <w:noWrap w:val="0"/>
                  <w:vAlign w:val="center"/>
                </w:tcPr>
                <w:p w14:paraId="1D841404">
                  <w:pPr>
                    <w:jc w:val="center"/>
                    <w:rPr>
                      <w:color w:val="auto"/>
                      <w:szCs w:val="21"/>
                    </w:rPr>
                  </w:pPr>
                </w:p>
              </w:tc>
              <w:tc>
                <w:tcPr>
                  <w:tcW w:w="738" w:type="pct"/>
                  <w:vMerge w:val="continue"/>
                  <w:tcBorders>
                    <w:tl2br w:val="nil"/>
                    <w:tr2bl w:val="nil"/>
                  </w:tcBorders>
                  <w:noWrap w:val="0"/>
                  <w:vAlign w:val="center"/>
                </w:tcPr>
                <w:p w14:paraId="2C306FD9">
                  <w:pPr>
                    <w:jc w:val="center"/>
                    <w:rPr>
                      <w:color w:val="auto"/>
                      <w:szCs w:val="21"/>
                    </w:rPr>
                  </w:pPr>
                </w:p>
              </w:tc>
              <w:tc>
                <w:tcPr>
                  <w:tcW w:w="993" w:type="pct"/>
                  <w:tcBorders>
                    <w:tl2br w:val="nil"/>
                    <w:tr2bl w:val="nil"/>
                  </w:tcBorders>
                  <w:noWrap w:val="0"/>
                  <w:vAlign w:val="center"/>
                </w:tcPr>
                <w:p w14:paraId="18B2AF54">
                  <w:pPr>
                    <w:jc w:val="center"/>
                    <w:rPr>
                      <w:color w:val="auto"/>
                      <w:szCs w:val="21"/>
                    </w:rPr>
                  </w:pPr>
                  <w:r>
                    <w:rPr>
                      <w:rFonts w:hint="eastAsia"/>
                      <w:color w:val="auto"/>
                      <w:szCs w:val="21"/>
                    </w:rPr>
                    <w:t>最大超标倍数</w:t>
                  </w:r>
                </w:p>
              </w:tc>
              <w:tc>
                <w:tcPr>
                  <w:tcW w:w="714" w:type="pct"/>
                  <w:tcBorders>
                    <w:tl2br w:val="nil"/>
                    <w:tr2bl w:val="nil"/>
                  </w:tcBorders>
                  <w:noWrap w:val="0"/>
                  <w:vAlign w:val="center"/>
                </w:tcPr>
                <w:p w14:paraId="641C8246">
                  <w:pPr>
                    <w:jc w:val="center"/>
                    <w:rPr>
                      <w:color w:val="auto"/>
                      <w:szCs w:val="21"/>
                    </w:rPr>
                  </w:pPr>
                  <w:r>
                    <w:rPr>
                      <w:rFonts w:hint="eastAsia"/>
                      <w:color w:val="auto"/>
                      <w:szCs w:val="21"/>
                    </w:rPr>
                    <w:t>/</w:t>
                  </w:r>
                </w:p>
              </w:tc>
              <w:tc>
                <w:tcPr>
                  <w:tcW w:w="714" w:type="pct"/>
                  <w:tcBorders>
                    <w:tl2br w:val="nil"/>
                    <w:tr2bl w:val="nil"/>
                  </w:tcBorders>
                  <w:noWrap w:val="0"/>
                  <w:vAlign w:val="center"/>
                </w:tcPr>
                <w:p w14:paraId="3F0232C8">
                  <w:pPr>
                    <w:jc w:val="center"/>
                    <w:rPr>
                      <w:color w:val="auto"/>
                      <w:szCs w:val="21"/>
                    </w:rPr>
                  </w:pPr>
                  <w:r>
                    <w:rPr>
                      <w:rFonts w:hint="eastAsia"/>
                      <w:color w:val="auto"/>
                      <w:szCs w:val="21"/>
                    </w:rPr>
                    <w:t>/</w:t>
                  </w:r>
                </w:p>
              </w:tc>
              <w:tc>
                <w:tcPr>
                  <w:tcW w:w="714" w:type="pct"/>
                  <w:tcBorders>
                    <w:tl2br w:val="nil"/>
                    <w:tr2bl w:val="nil"/>
                  </w:tcBorders>
                  <w:noWrap w:val="0"/>
                  <w:vAlign w:val="center"/>
                </w:tcPr>
                <w:p w14:paraId="67017528">
                  <w:pPr>
                    <w:jc w:val="center"/>
                    <w:rPr>
                      <w:color w:val="auto"/>
                      <w:szCs w:val="21"/>
                    </w:rPr>
                  </w:pPr>
                  <w:r>
                    <w:rPr>
                      <w:rFonts w:hint="eastAsia"/>
                      <w:color w:val="auto"/>
                      <w:szCs w:val="21"/>
                    </w:rPr>
                    <w:t>/</w:t>
                  </w:r>
                </w:p>
              </w:tc>
              <w:tc>
                <w:tcPr>
                  <w:tcW w:w="714" w:type="pct"/>
                  <w:tcBorders>
                    <w:tl2br w:val="nil"/>
                    <w:tr2bl w:val="nil"/>
                  </w:tcBorders>
                  <w:noWrap w:val="0"/>
                  <w:vAlign w:val="center"/>
                </w:tcPr>
                <w:p w14:paraId="178586A9">
                  <w:pPr>
                    <w:jc w:val="center"/>
                    <w:rPr>
                      <w:color w:val="auto"/>
                      <w:szCs w:val="21"/>
                    </w:rPr>
                  </w:pPr>
                  <w:r>
                    <w:rPr>
                      <w:rFonts w:hint="eastAsia"/>
                      <w:color w:val="auto"/>
                      <w:szCs w:val="21"/>
                    </w:rPr>
                    <w:t>/</w:t>
                  </w:r>
                </w:p>
              </w:tc>
            </w:tr>
            <w:tr w14:paraId="1C1DAED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2142" w:type="pct"/>
                  <w:gridSpan w:val="3"/>
                  <w:tcBorders>
                    <w:tl2br w:val="nil"/>
                    <w:tr2bl w:val="nil"/>
                  </w:tcBorders>
                  <w:noWrap w:val="0"/>
                  <w:vAlign w:val="center"/>
                </w:tcPr>
                <w:p w14:paraId="2F3FBE53">
                  <w:pPr>
                    <w:jc w:val="center"/>
                    <w:rPr>
                      <w:color w:val="auto"/>
                      <w:szCs w:val="21"/>
                    </w:rPr>
                  </w:pPr>
                  <w:r>
                    <w:rPr>
                      <w:color w:val="auto"/>
                      <w:szCs w:val="21"/>
                    </w:rPr>
                    <w:t>III类标准</w:t>
                  </w:r>
                </w:p>
              </w:tc>
              <w:tc>
                <w:tcPr>
                  <w:tcW w:w="714" w:type="pct"/>
                  <w:tcBorders>
                    <w:tl2br w:val="nil"/>
                    <w:tr2bl w:val="nil"/>
                  </w:tcBorders>
                  <w:noWrap w:val="0"/>
                  <w:vAlign w:val="center"/>
                </w:tcPr>
                <w:p w14:paraId="75B89390">
                  <w:pPr>
                    <w:jc w:val="center"/>
                    <w:rPr>
                      <w:color w:val="auto"/>
                      <w:szCs w:val="21"/>
                    </w:rPr>
                  </w:pPr>
                  <w:r>
                    <w:rPr>
                      <w:rFonts w:hint="eastAsia"/>
                      <w:color w:val="auto"/>
                      <w:szCs w:val="21"/>
                    </w:rPr>
                    <w:t>6-9</w:t>
                  </w:r>
                </w:p>
              </w:tc>
              <w:tc>
                <w:tcPr>
                  <w:tcW w:w="714" w:type="pct"/>
                  <w:tcBorders>
                    <w:tl2br w:val="nil"/>
                    <w:tr2bl w:val="nil"/>
                  </w:tcBorders>
                  <w:noWrap w:val="0"/>
                  <w:vAlign w:val="center"/>
                </w:tcPr>
                <w:p w14:paraId="648200C0">
                  <w:pPr>
                    <w:jc w:val="center"/>
                    <w:rPr>
                      <w:color w:val="auto"/>
                      <w:szCs w:val="21"/>
                    </w:rPr>
                  </w:pPr>
                  <w:r>
                    <w:rPr>
                      <w:color w:val="auto"/>
                      <w:szCs w:val="21"/>
                    </w:rPr>
                    <w:t>≤20</w:t>
                  </w:r>
                </w:p>
              </w:tc>
              <w:tc>
                <w:tcPr>
                  <w:tcW w:w="714" w:type="pct"/>
                  <w:tcBorders>
                    <w:tl2br w:val="nil"/>
                    <w:tr2bl w:val="nil"/>
                  </w:tcBorders>
                  <w:noWrap w:val="0"/>
                  <w:vAlign w:val="center"/>
                </w:tcPr>
                <w:p w14:paraId="3C83B196">
                  <w:pPr>
                    <w:jc w:val="center"/>
                    <w:rPr>
                      <w:color w:val="auto"/>
                      <w:szCs w:val="21"/>
                    </w:rPr>
                  </w:pPr>
                  <w:r>
                    <w:rPr>
                      <w:color w:val="auto"/>
                      <w:szCs w:val="21"/>
                    </w:rPr>
                    <w:t>≤1.0</w:t>
                  </w:r>
                </w:p>
              </w:tc>
              <w:tc>
                <w:tcPr>
                  <w:tcW w:w="714" w:type="pct"/>
                  <w:tcBorders>
                    <w:tl2br w:val="nil"/>
                    <w:tr2bl w:val="nil"/>
                  </w:tcBorders>
                  <w:noWrap w:val="0"/>
                  <w:vAlign w:val="center"/>
                </w:tcPr>
                <w:p w14:paraId="780D79CE">
                  <w:pPr>
                    <w:jc w:val="center"/>
                    <w:rPr>
                      <w:color w:val="auto"/>
                      <w:szCs w:val="21"/>
                    </w:rPr>
                  </w:pPr>
                  <w:r>
                    <w:rPr>
                      <w:color w:val="auto"/>
                      <w:szCs w:val="21"/>
                    </w:rPr>
                    <w:t>≤0.2</w:t>
                  </w:r>
                </w:p>
              </w:tc>
            </w:tr>
          </w:tbl>
          <w:p w14:paraId="3A84FB18">
            <w:pPr>
              <w:adjustRightInd w:val="0"/>
              <w:snapToGrid w:val="0"/>
              <w:spacing w:line="360" w:lineRule="auto"/>
              <w:ind w:firstLine="420" w:firstLineChars="200"/>
              <w:rPr>
                <w:b/>
                <w:color w:val="auto"/>
              </w:rPr>
            </w:pPr>
            <w:r>
              <w:rPr>
                <w:color w:val="auto"/>
              </w:rPr>
              <w:t>监测数据表明，</w:t>
            </w:r>
            <w:r>
              <w:rPr>
                <w:rFonts w:hint="eastAsia"/>
                <w:color w:val="auto"/>
              </w:rPr>
              <w:t>薛埠河</w:t>
            </w:r>
            <w:r>
              <w:rPr>
                <w:color w:val="auto"/>
              </w:rPr>
              <w:t>现状监测因子均能满足《地表水环境质量标准》（GB3838-2002）中</w:t>
            </w:r>
            <w:r>
              <w:rPr>
                <w:color w:val="auto"/>
              </w:rPr>
              <w:fldChar w:fldCharType="begin"/>
            </w:r>
            <w:r>
              <w:rPr>
                <w:color w:val="auto"/>
              </w:rPr>
              <w:instrText xml:space="preserve"> = 3 \* ROMAN \* MERGEFORMAT </w:instrText>
            </w:r>
            <w:r>
              <w:rPr>
                <w:color w:val="auto"/>
              </w:rPr>
              <w:fldChar w:fldCharType="separate"/>
            </w:r>
            <w:r>
              <w:rPr>
                <w:color w:val="auto"/>
              </w:rPr>
              <w:t>III</w:t>
            </w:r>
            <w:r>
              <w:rPr>
                <w:color w:val="auto"/>
              </w:rPr>
              <w:fldChar w:fldCharType="end"/>
            </w:r>
            <w:r>
              <w:rPr>
                <w:color w:val="auto"/>
              </w:rPr>
              <w:t>类标准。因此，项目地表水评价范围水环境水质良好，达</w:t>
            </w:r>
            <w:r>
              <w:rPr>
                <w:color w:val="auto"/>
              </w:rPr>
              <w:fldChar w:fldCharType="begin"/>
            </w:r>
            <w:r>
              <w:rPr>
                <w:color w:val="auto"/>
              </w:rPr>
              <w:instrText xml:space="preserve"> = 3 \* ROMAN \* MERGEFORMAT </w:instrText>
            </w:r>
            <w:r>
              <w:rPr>
                <w:color w:val="auto"/>
              </w:rPr>
              <w:fldChar w:fldCharType="separate"/>
            </w:r>
            <w:r>
              <w:rPr>
                <w:color w:val="auto"/>
              </w:rPr>
              <w:t>III</w:t>
            </w:r>
            <w:r>
              <w:rPr>
                <w:color w:val="auto"/>
              </w:rPr>
              <w:fldChar w:fldCharType="end"/>
            </w:r>
            <w:r>
              <w:rPr>
                <w:color w:val="auto"/>
              </w:rPr>
              <w:t>类功能区要求。</w:t>
            </w:r>
          </w:p>
          <w:p w14:paraId="3A84FB19">
            <w:pPr>
              <w:adjustRightInd w:val="0"/>
              <w:spacing w:line="360" w:lineRule="auto"/>
              <w:ind w:firstLine="422" w:firstLineChars="200"/>
              <w:rPr>
                <w:b/>
                <w:color w:val="auto"/>
              </w:rPr>
            </w:pPr>
            <w:r>
              <w:rPr>
                <w:b/>
                <w:color w:val="auto"/>
              </w:rPr>
              <w:t>3.</w:t>
            </w:r>
            <w:r>
              <w:rPr>
                <w:rFonts w:hint="eastAsia"/>
                <w:b/>
                <w:color w:val="auto"/>
              </w:rPr>
              <w:t>噪声</w:t>
            </w:r>
          </w:p>
          <w:p w14:paraId="3A84FB1A">
            <w:pPr>
              <w:pStyle w:val="23"/>
              <w:widowControl w:val="0"/>
              <w:autoSpaceDE w:val="0"/>
              <w:autoSpaceDN w:val="0"/>
              <w:ind w:firstLine="420" w:firstLineChars="200"/>
              <w:rPr>
                <w:color w:val="auto"/>
                <w:sz w:val="21"/>
                <w:szCs w:val="21"/>
                <w:lang w:bidi="zh-CN"/>
              </w:rPr>
            </w:pPr>
            <w:r>
              <w:rPr>
                <w:color w:val="auto"/>
                <w:sz w:val="21"/>
                <w:szCs w:val="21"/>
              </w:rPr>
              <w:t>根据《</w:t>
            </w:r>
            <w:r>
              <w:rPr>
                <w:bCs/>
                <w:color w:val="auto"/>
                <w:sz w:val="21"/>
                <w:szCs w:val="21"/>
              </w:rPr>
              <w:t>202</w:t>
            </w:r>
            <w:r>
              <w:rPr>
                <w:rFonts w:hint="eastAsia"/>
                <w:bCs/>
                <w:color w:val="auto"/>
                <w:sz w:val="21"/>
                <w:szCs w:val="21"/>
              </w:rPr>
              <w:t>3</w:t>
            </w:r>
            <w:r>
              <w:rPr>
                <w:bCs/>
                <w:color w:val="auto"/>
                <w:sz w:val="21"/>
                <w:szCs w:val="21"/>
              </w:rPr>
              <w:t>年常州市生态环境状况公报</w:t>
            </w:r>
            <w:r>
              <w:rPr>
                <w:color w:val="auto"/>
                <w:sz w:val="21"/>
                <w:szCs w:val="21"/>
              </w:rPr>
              <w:t>》中相关内容，</w:t>
            </w:r>
            <w:r>
              <w:rPr>
                <w:color w:val="auto"/>
                <w:sz w:val="21"/>
                <w:szCs w:val="21"/>
                <w:lang w:bidi="zh-CN"/>
              </w:rPr>
              <w:t>2023年</w:t>
            </w:r>
            <w:r>
              <w:rPr>
                <w:rFonts w:hint="eastAsia"/>
                <w:color w:val="auto"/>
                <w:sz w:val="21"/>
                <w:szCs w:val="21"/>
                <w:lang w:bidi="zh-CN"/>
              </w:rPr>
              <w:t>，</w:t>
            </w:r>
            <w:r>
              <w:rPr>
                <w:color w:val="auto"/>
                <w:sz w:val="21"/>
                <w:szCs w:val="21"/>
                <w:lang w:bidi="zh-CN"/>
              </w:rPr>
              <w:t>全市区域环境噪声昼间平均值为53.7dB</w:t>
            </w:r>
            <w:r>
              <w:rPr>
                <w:rFonts w:hint="eastAsia"/>
                <w:color w:val="auto"/>
                <w:sz w:val="21"/>
                <w:szCs w:val="21"/>
                <w:lang w:bidi="zh-CN"/>
              </w:rPr>
              <w:t>（</w:t>
            </w:r>
            <w:r>
              <w:rPr>
                <w:color w:val="auto"/>
                <w:sz w:val="21"/>
                <w:szCs w:val="21"/>
                <w:lang w:bidi="zh-CN"/>
              </w:rPr>
              <w:t>A</w:t>
            </w:r>
            <w:r>
              <w:rPr>
                <w:rFonts w:hint="eastAsia"/>
                <w:color w:val="auto"/>
                <w:sz w:val="21"/>
                <w:szCs w:val="21"/>
                <w:lang w:bidi="zh-CN"/>
              </w:rPr>
              <w:t>），</w:t>
            </w:r>
            <w:r>
              <w:rPr>
                <w:color w:val="auto"/>
                <w:sz w:val="21"/>
                <w:szCs w:val="21"/>
                <w:lang w:bidi="zh-CN"/>
              </w:rPr>
              <w:t>较上年下降1.6dB</w:t>
            </w:r>
            <w:r>
              <w:rPr>
                <w:rFonts w:hint="eastAsia"/>
                <w:color w:val="auto"/>
                <w:sz w:val="21"/>
                <w:szCs w:val="21"/>
                <w:lang w:bidi="zh-CN"/>
              </w:rPr>
              <w:t>（A）；</w:t>
            </w:r>
            <w:r>
              <w:rPr>
                <w:color w:val="auto"/>
                <w:sz w:val="21"/>
                <w:szCs w:val="21"/>
                <w:lang w:bidi="zh-CN"/>
              </w:rPr>
              <w:t>全市区域环境噪声夜间平均值为44.8dB</w:t>
            </w:r>
            <w:r>
              <w:rPr>
                <w:rFonts w:hint="eastAsia"/>
                <w:color w:val="auto"/>
                <w:sz w:val="21"/>
                <w:szCs w:val="21"/>
                <w:lang w:bidi="zh-CN"/>
              </w:rPr>
              <w:t>（A）</w:t>
            </w:r>
            <w:r>
              <w:rPr>
                <w:color w:val="auto"/>
                <w:sz w:val="21"/>
                <w:szCs w:val="21"/>
                <w:lang w:bidi="zh-CN"/>
              </w:rPr>
              <w:t>。按照《环境噪声监测技术规范城市声环境常规监测》</w:t>
            </w:r>
            <w:r>
              <w:rPr>
                <w:rFonts w:hint="eastAsia"/>
                <w:color w:val="auto"/>
                <w:sz w:val="21"/>
                <w:szCs w:val="21"/>
                <w:lang w:bidi="zh-CN"/>
              </w:rPr>
              <w:t>（</w:t>
            </w:r>
            <w:r>
              <w:rPr>
                <w:color w:val="auto"/>
                <w:sz w:val="21"/>
                <w:szCs w:val="21"/>
                <w:lang w:bidi="zh-CN"/>
              </w:rPr>
              <w:t>HJ640-2012</w:t>
            </w:r>
            <w:r>
              <w:rPr>
                <w:rFonts w:hint="eastAsia"/>
                <w:color w:val="auto"/>
                <w:sz w:val="21"/>
                <w:szCs w:val="21"/>
                <w:lang w:bidi="zh-CN"/>
              </w:rPr>
              <w:t>），</w:t>
            </w:r>
            <w:r>
              <w:rPr>
                <w:color w:val="auto"/>
                <w:sz w:val="21"/>
                <w:szCs w:val="21"/>
                <w:lang w:bidi="zh-CN"/>
              </w:rPr>
              <w:t>城市区域昼间和夜间环境噪声总体水平等级均为</w:t>
            </w:r>
            <w:r>
              <w:rPr>
                <w:rFonts w:hint="eastAsia"/>
                <w:color w:val="auto"/>
                <w:sz w:val="21"/>
                <w:szCs w:val="21"/>
                <w:lang w:bidi="zh-CN"/>
              </w:rPr>
              <w:t>“</w:t>
            </w:r>
            <w:r>
              <w:rPr>
                <w:color w:val="auto"/>
                <w:sz w:val="21"/>
                <w:szCs w:val="21"/>
                <w:lang w:bidi="zh-CN"/>
              </w:rPr>
              <w:t>二级</w:t>
            </w:r>
            <w:r>
              <w:rPr>
                <w:rFonts w:hint="eastAsia"/>
                <w:color w:val="auto"/>
                <w:sz w:val="21"/>
                <w:szCs w:val="21"/>
                <w:lang w:bidi="zh-CN"/>
              </w:rPr>
              <w:t>”，</w:t>
            </w:r>
            <w:r>
              <w:rPr>
                <w:color w:val="auto"/>
                <w:sz w:val="21"/>
                <w:szCs w:val="21"/>
                <w:lang w:bidi="zh-CN"/>
              </w:rPr>
              <w:t>属于</w:t>
            </w:r>
            <w:r>
              <w:rPr>
                <w:rFonts w:hint="eastAsia"/>
                <w:color w:val="auto"/>
                <w:sz w:val="21"/>
                <w:szCs w:val="21"/>
                <w:lang w:bidi="zh-CN"/>
              </w:rPr>
              <w:t>“</w:t>
            </w:r>
            <w:r>
              <w:rPr>
                <w:color w:val="auto"/>
                <w:sz w:val="21"/>
                <w:szCs w:val="21"/>
                <w:lang w:bidi="zh-CN"/>
              </w:rPr>
              <w:t>较好</w:t>
            </w:r>
            <w:r>
              <w:rPr>
                <w:rFonts w:hint="eastAsia"/>
                <w:color w:val="auto"/>
                <w:sz w:val="21"/>
                <w:szCs w:val="21"/>
                <w:lang w:bidi="zh-CN"/>
              </w:rPr>
              <w:t>”</w:t>
            </w:r>
            <w:r>
              <w:rPr>
                <w:color w:val="auto"/>
                <w:sz w:val="21"/>
                <w:szCs w:val="21"/>
                <w:lang w:bidi="zh-CN"/>
              </w:rPr>
              <w:t>水平。</w:t>
            </w:r>
          </w:p>
          <w:p w14:paraId="3A84FB1B">
            <w:pPr>
              <w:adjustRightInd w:val="0"/>
              <w:spacing w:line="360" w:lineRule="auto"/>
              <w:ind w:firstLine="420" w:firstLineChars="200"/>
              <w:rPr>
                <w:rFonts w:hint="eastAsia"/>
                <w:color w:val="auto"/>
              </w:rPr>
            </w:pPr>
            <w:r>
              <w:rPr>
                <w:rFonts w:hint="eastAsia"/>
                <w:color w:val="auto"/>
              </w:rPr>
              <w:t>本项目周边50米范围内无声环境保护目标，根据《建设项目环境影响报告表编制技术指南（污染影响类）（试行）》，不开展声环境质量现状调查。</w:t>
            </w:r>
          </w:p>
          <w:p w14:paraId="13EA9B12">
            <w:pPr>
              <w:pStyle w:val="23"/>
              <w:keepNext w:val="0"/>
              <w:keepLines w:val="0"/>
              <w:pageBreakBefore w:val="0"/>
              <w:kinsoku/>
              <w:wordWrap/>
              <w:overflowPunct/>
              <w:topLinePunct w:val="0"/>
              <w:autoSpaceDE/>
              <w:autoSpaceDN/>
              <w:bidi w:val="0"/>
              <w:adjustRightInd w:val="0"/>
              <w:snapToGrid w:val="0"/>
              <w:spacing w:line="360" w:lineRule="auto"/>
              <w:textAlignment w:val="auto"/>
              <w:rPr>
                <w:rFonts w:hint="eastAsia"/>
                <w:color w:val="auto"/>
              </w:rPr>
            </w:pPr>
          </w:p>
          <w:p w14:paraId="5C9BCD5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color w:val="auto"/>
              </w:rPr>
            </w:pPr>
          </w:p>
          <w:p w14:paraId="0BCC2F1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color w:val="auto"/>
              </w:rPr>
            </w:pPr>
          </w:p>
          <w:p w14:paraId="4643244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color w:val="auto"/>
              </w:rPr>
            </w:pPr>
          </w:p>
          <w:p w14:paraId="345A2635">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color w:val="auto"/>
              </w:rPr>
            </w:pPr>
          </w:p>
          <w:p w14:paraId="2568EEC7">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color w:val="auto"/>
              </w:rPr>
            </w:pPr>
          </w:p>
          <w:p w14:paraId="4CB0612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color w:val="auto"/>
              </w:rPr>
            </w:pPr>
          </w:p>
          <w:p w14:paraId="3C6CA45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color w:val="auto"/>
              </w:rPr>
            </w:pPr>
          </w:p>
          <w:p w14:paraId="6DEF4C2F">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color w:val="auto"/>
              </w:rPr>
            </w:pPr>
          </w:p>
          <w:p w14:paraId="0FAF01E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color w:val="auto"/>
              </w:rPr>
            </w:pPr>
          </w:p>
          <w:p w14:paraId="1DD2081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color w:val="auto"/>
              </w:rPr>
            </w:pPr>
          </w:p>
          <w:p w14:paraId="688D799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color w:val="auto"/>
              </w:rPr>
            </w:pPr>
          </w:p>
          <w:p w14:paraId="1ECB6AB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color w:val="auto"/>
              </w:rPr>
            </w:pPr>
          </w:p>
          <w:p w14:paraId="3F31714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color w:val="auto"/>
              </w:rPr>
            </w:pPr>
          </w:p>
          <w:p w14:paraId="61E4ADEA">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color w:val="auto"/>
              </w:rPr>
            </w:pPr>
          </w:p>
          <w:p w14:paraId="11E30D73">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color w:val="auto"/>
              </w:rPr>
            </w:pPr>
          </w:p>
          <w:p w14:paraId="1CECE723">
            <w:pPr>
              <w:pStyle w:val="33"/>
              <w:widowControl w:val="0"/>
              <w:numPr>
                <w:ilvl w:val="0"/>
                <w:numId w:val="0"/>
              </w:numPr>
              <w:jc w:val="both"/>
              <w:rPr>
                <w:rFonts w:hint="eastAsia"/>
                <w:color w:val="auto"/>
              </w:rPr>
            </w:pPr>
          </w:p>
        </w:tc>
      </w:tr>
      <w:tr w14:paraId="3A84FB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74" w:hRule="atLeast"/>
          <w:jc w:val="center"/>
        </w:trPr>
        <w:tc>
          <w:tcPr>
            <w:tcW w:w="456" w:type="dxa"/>
            <w:vAlign w:val="center"/>
          </w:tcPr>
          <w:p w14:paraId="3A84FB1D">
            <w:pPr>
              <w:adjustRightInd w:val="0"/>
              <w:snapToGrid w:val="0"/>
              <w:jc w:val="center"/>
              <w:rPr>
                <w:color w:val="auto"/>
                <w:kern w:val="0"/>
              </w:rPr>
            </w:pPr>
            <w:r>
              <w:rPr>
                <w:b/>
                <w:bCs/>
                <w:color w:val="auto"/>
                <w:kern w:val="0"/>
              </w:rPr>
              <w:t>环境保护目标</w:t>
            </w:r>
          </w:p>
        </w:tc>
        <w:tc>
          <w:tcPr>
            <w:tcW w:w="8945" w:type="dxa"/>
          </w:tcPr>
          <w:p w14:paraId="3A84FB1E">
            <w:pPr>
              <w:adjustRightInd w:val="0"/>
              <w:snapToGrid w:val="0"/>
              <w:spacing w:line="360" w:lineRule="auto"/>
              <w:ind w:firstLine="420" w:firstLineChars="200"/>
              <w:rPr>
                <w:b/>
                <w:bCs/>
                <w:color w:val="auto"/>
              </w:rPr>
            </w:pPr>
            <w:r>
              <w:rPr>
                <w:color w:val="auto"/>
                <w:kern w:val="0"/>
              </w:rPr>
              <w:t>项目位于</w:t>
            </w:r>
            <w:r>
              <w:rPr>
                <w:rFonts w:hint="eastAsia"/>
                <w:color w:val="auto"/>
              </w:rPr>
              <w:t>常州市金坛区</w:t>
            </w:r>
            <w:r>
              <w:rPr>
                <w:rFonts w:hint="eastAsia"/>
                <w:color w:val="auto"/>
                <w:lang w:val="en-US" w:eastAsia="zh-CN"/>
              </w:rPr>
              <w:t>薛埠镇奥托立夫大道1号</w:t>
            </w:r>
            <w:r>
              <w:rPr>
                <w:color w:val="auto"/>
                <w:kern w:val="0"/>
              </w:rPr>
              <w:t>，经实地勘查，</w:t>
            </w:r>
            <w:r>
              <w:rPr>
                <w:rFonts w:hint="eastAsia"/>
                <w:color w:val="auto"/>
                <w:kern w:val="0"/>
              </w:rPr>
              <w:t>项目周边500米范围内</w:t>
            </w:r>
            <w:r>
              <w:rPr>
                <w:rFonts w:hint="eastAsia"/>
                <w:color w:val="auto"/>
                <w:kern w:val="0"/>
                <w:lang w:val="en-US" w:eastAsia="zh-CN"/>
              </w:rPr>
              <w:t>存在</w:t>
            </w:r>
            <w:r>
              <w:rPr>
                <w:rFonts w:hint="eastAsia"/>
                <w:color w:val="auto"/>
                <w:kern w:val="0"/>
              </w:rPr>
              <w:t>居民</w:t>
            </w:r>
            <w:r>
              <w:rPr>
                <w:rFonts w:hint="eastAsia"/>
                <w:color w:val="auto"/>
              </w:rPr>
              <w:t>，</w:t>
            </w:r>
            <w:r>
              <w:rPr>
                <w:rFonts w:hint="eastAsia"/>
                <w:color w:val="auto"/>
                <w:kern w:val="0"/>
              </w:rPr>
              <w:t>根据项目周边情况，确定建设项目主要环境保护目标见下表。</w:t>
            </w:r>
          </w:p>
          <w:p w14:paraId="3A84FB1F">
            <w:pPr>
              <w:tabs>
                <w:tab w:val="left" w:pos="6510"/>
              </w:tabs>
              <w:adjustRightInd w:val="0"/>
              <w:snapToGrid w:val="0"/>
              <w:jc w:val="center"/>
              <w:rPr>
                <w:b/>
                <w:bCs/>
                <w:color w:val="auto"/>
              </w:rPr>
            </w:pPr>
            <w:r>
              <w:rPr>
                <w:b/>
                <w:bCs/>
                <w:color w:val="auto"/>
              </w:rPr>
              <w:t>表3-</w:t>
            </w:r>
            <w:r>
              <w:rPr>
                <w:rFonts w:hint="eastAsia"/>
                <w:b/>
                <w:bCs/>
                <w:color w:val="auto"/>
              </w:rPr>
              <w:t xml:space="preserve">4   </w:t>
            </w:r>
            <w:r>
              <w:rPr>
                <w:b/>
                <w:bCs/>
                <w:color w:val="auto"/>
              </w:rPr>
              <w:t>主要环境保护目标一览表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717"/>
              <w:gridCol w:w="1220"/>
              <w:gridCol w:w="1123"/>
              <w:gridCol w:w="1171"/>
              <w:gridCol w:w="785"/>
              <w:gridCol w:w="2249"/>
              <w:gridCol w:w="725"/>
              <w:gridCol w:w="740"/>
            </w:tblGrid>
            <w:tr w14:paraId="3A84FB2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11" w:type="pct"/>
                  <w:vMerge w:val="restart"/>
                  <w:tcBorders>
                    <w:tl2br w:val="nil"/>
                    <w:tr2bl w:val="nil"/>
                  </w:tcBorders>
                  <w:tcMar>
                    <w:top w:w="0" w:type="dxa"/>
                    <w:left w:w="0" w:type="dxa"/>
                    <w:bottom w:w="0" w:type="dxa"/>
                    <w:right w:w="0" w:type="dxa"/>
                  </w:tcMar>
                  <w:vAlign w:val="center"/>
                </w:tcPr>
                <w:p w14:paraId="3A84FB20">
                  <w:pPr>
                    <w:adjustRightInd w:val="0"/>
                    <w:snapToGrid w:val="0"/>
                    <w:jc w:val="center"/>
                    <w:rPr>
                      <w:b/>
                      <w:bCs/>
                      <w:color w:val="auto"/>
                    </w:rPr>
                  </w:pPr>
                  <w:r>
                    <w:rPr>
                      <w:b/>
                      <w:bCs/>
                      <w:color w:val="auto"/>
                    </w:rPr>
                    <w:t>保护项目</w:t>
                  </w:r>
                </w:p>
              </w:tc>
              <w:tc>
                <w:tcPr>
                  <w:tcW w:w="1341" w:type="pct"/>
                  <w:gridSpan w:val="2"/>
                  <w:tcBorders>
                    <w:tl2br w:val="nil"/>
                    <w:tr2bl w:val="nil"/>
                  </w:tcBorders>
                  <w:tcMar>
                    <w:top w:w="0" w:type="dxa"/>
                    <w:left w:w="0" w:type="dxa"/>
                    <w:bottom w:w="0" w:type="dxa"/>
                    <w:right w:w="0" w:type="dxa"/>
                  </w:tcMar>
                  <w:vAlign w:val="center"/>
                </w:tcPr>
                <w:p w14:paraId="3A84FB21">
                  <w:pPr>
                    <w:keepNext/>
                    <w:keepLines/>
                    <w:adjustRightInd w:val="0"/>
                    <w:snapToGrid w:val="0"/>
                    <w:jc w:val="center"/>
                    <w:rPr>
                      <w:b/>
                      <w:bCs/>
                      <w:color w:val="auto"/>
                    </w:rPr>
                  </w:pPr>
                  <w:r>
                    <w:rPr>
                      <w:b/>
                      <w:bCs/>
                      <w:color w:val="auto"/>
                    </w:rPr>
                    <w:t>坐标</w:t>
                  </w:r>
                </w:p>
              </w:tc>
              <w:tc>
                <w:tcPr>
                  <w:tcW w:w="671" w:type="pct"/>
                  <w:vMerge w:val="restart"/>
                  <w:tcBorders>
                    <w:tl2br w:val="nil"/>
                    <w:tr2bl w:val="nil"/>
                  </w:tcBorders>
                  <w:tcMar>
                    <w:top w:w="0" w:type="dxa"/>
                    <w:left w:w="0" w:type="dxa"/>
                    <w:bottom w:w="0" w:type="dxa"/>
                    <w:right w:w="0" w:type="dxa"/>
                  </w:tcMar>
                  <w:vAlign w:val="center"/>
                </w:tcPr>
                <w:p w14:paraId="3A84FB22">
                  <w:pPr>
                    <w:adjustRightInd w:val="0"/>
                    <w:snapToGrid w:val="0"/>
                    <w:jc w:val="center"/>
                    <w:rPr>
                      <w:b/>
                      <w:bCs/>
                      <w:color w:val="auto"/>
                    </w:rPr>
                  </w:pPr>
                  <w:r>
                    <w:rPr>
                      <w:b/>
                      <w:bCs/>
                      <w:color w:val="auto"/>
                    </w:rPr>
                    <w:t>保护对象</w:t>
                  </w:r>
                </w:p>
              </w:tc>
              <w:tc>
                <w:tcPr>
                  <w:tcW w:w="449" w:type="pct"/>
                  <w:vMerge w:val="restart"/>
                  <w:tcBorders>
                    <w:tl2br w:val="nil"/>
                    <w:tr2bl w:val="nil"/>
                  </w:tcBorders>
                  <w:tcMar>
                    <w:top w:w="0" w:type="dxa"/>
                    <w:left w:w="0" w:type="dxa"/>
                    <w:bottom w:w="0" w:type="dxa"/>
                    <w:right w:w="0" w:type="dxa"/>
                  </w:tcMar>
                  <w:vAlign w:val="center"/>
                </w:tcPr>
                <w:p w14:paraId="3A84FB23">
                  <w:pPr>
                    <w:adjustRightInd w:val="0"/>
                    <w:snapToGrid w:val="0"/>
                    <w:jc w:val="center"/>
                    <w:rPr>
                      <w:b/>
                      <w:bCs/>
                      <w:color w:val="auto"/>
                    </w:rPr>
                  </w:pPr>
                  <w:r>
                    <w:rPr>
                      <w:b/>
                      <w:bCs/>
                      <w:color w:val="auto"/>
                    </w:rPr>
                    <w:t>保护内容</w:t>
                  </w:r>
                </w:p>
              </w:tc>
              <w:tc>
                <w:tcPr>
                  <w:tcW w:w="1288" w:type="pct"/>
                  <w:vMerge w:val="restart"/>
                  <w:tcBorders>
                    <w:tl2br w:val="nil"/>
                    <w:tr2bl w:val="nil"/>
                  </w:tcBorders>
                  <w:tcMar>
                    <w:top w:w="0" w:type="dxa"/>
                    <w:left w:w="0" w:type="dxa"/>
                    <w:bottom w:w="0" w:type="dxa"/>
                    <w:right w:w="0" w:type="dxa"/>
                  </w:tcMar>
                  <w:vAlign w:val="center"/>
                </w:tcPr>
                <w:p w14:paraId="3A84FB24">
                  <w:pPr>
                    <w:adjustRightInd w:val="0"/>
                    <w:snapToGrid w:val="0"/>
                    <w:jc w:val="center"/>
                    <w:rPr>
                      <w:b/>
                      <w:bCs/>
                      <w:color w:val="auto"/>
                    </w:rPr>
                  </w:pPr>
                  <w:r>
                    <w:rPr>
                      <w:b/>
                      <w:bCs/>
                      <w:color w:val="auto"/>
                    </w:rPr>
                    <w:t>环境功能区</w:t>
                  </w:r>
                </w:p>
              </w:tc>
              <w:tc>
                <w:tcPr>
                  <w:tcW w:w="415" w:type="pct"/>
                  <w:vMerge w:val="restart"/>
                  <w:tcBorders>
                    <w:tl2br w:val="nil"/>
                    <w:tr2bl w:val="nil"/>
                  </w:tcBorders>
                  <w:tcMar>
                    <w:top w:w="0" w:type="dxa"/>
                    <w:left w:w="0" w:type="dxa"/>
                    <w:bottom w:w="0" w:type="dxa"/>
                    <w:right w:w="0" w:type="dxa"/>
                  </w:tcMar>
                  <w:vAlign w:val="center"/>
                </w:tcPr>
                <w:p w14:paraId="3A84FB25">
                  <w:pPr>
                    <w:adjustRightInd w:val="0"/>
                    <w:snapToGrid w:val="0"/>
                    <w:jc w:val="center"/>
                    <w:rPr>
                      <w:b/>
                      <w:bCs/>
                      <w:color w:val="auto"/>
                    </w:rPr>
                  </w:pPr>
                  <w:r>
                    <w:rPr>
                      <w:b/>
                      <w:bCs/>
                      <w:color w:val="auto"/>
                    </w:rPr>
                    <w:t>相对厂址方位</w:t>
                  </w:r>
                </w:p>
              </w:tc>
              <w:tc>
                <w:tcPr>
                  <w:tcW w:w="423" w:type="pct"/>
                  <w:vMerge w:val="restart"/>
                  <w:tcBorders>
                    <w:tl2br w:val="nil"/>
                    <w:tr2bl w:val="nil"/>
                  </w:tcBorders>
                  <w:tcMar>
                    <w:top w:w="0" w:type="dxa"/>
                    <w:left w:w="0" w:type="dxa"/>
                    <w:bottom w:w="0" w:type="dxa"/>
                    <w:right w:w="0" w:type="dxa"/>
                  </w:tcMar>
                  <w:vAlign w:val="center"/>
                </w:tcPr>
                <w:p w14:paraId="3A84FB26">
                  <w:pPr>
                    <w:adjustRightInd w:val="0"/>
                    <w:snapToGrid w:val="0"/>
                    <w:jc w:val="center"/>
                    <w:rPr>
                      <w:b/>
                      <w:bCs/>
                      <w:color w:val="auto"/>
                    </w:rPr>
                  </w:pPr>
                  <w:r>
                    <w:rPr>
                      <w:b/>
                      <w:bCs/>
                      <w:color w:val="auto"/>
                    </w:rPr>
                    <w:t>相对厂界最近距离/m</w:t>
                  </w:r>
                </w:p>
              </w:tc>
            </w:tr>
            <w:tr w14:paraId="3A84FB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11" w:type="pct"/>
                  <w:vMerge w:val="continue"/>
                  <w:tcBorders>
                    <w:tl2br w:val="nil"/>
                    <w:tr2bl w:val="nil"/>
                  </w:tcBorders>
                  <w:tcMar>
                    <w:top w:w="0" w:type="dxa"/>
                    <w:left w:w="0" w:type="dxa"/>
                    <w:bottom w:w="0" w:type="dxa"/>
                    <w:right w:w="0" w:type="dxa"/>
                  </w:tcMar>
                  <w:vAlign w:val="center"/>
                </w:tcPr>
                <w:p w14:paraId="3A84FB28">
                  <w:pPr>
                    <w:adjustRightInd w:val="0"/>
                    <w:snapToGrid w:val="0"/>
                    <w:jc w:val="center"/>
                    <w:rPr>
                      <w:color w:val="auto"/>
                    </w:rPr>
                  </w:pPr>
                </w:p>
              </w:tc>
              <w:tc>
                <w:tcPr>
                  <w:tcW w:w="698" w:type="pct"/>
                  <w:tcBorders>
                    <w:tl2br w:val="nil"/>
                    <w:tr2bl w:val="nil"/>
                  </w:tcBorders>
                  <w:tcMar>
                    <w:top w:w="0" w:type="dxa"/>
                    <w:left w:w="0" w:type="dxa"/>
                    <w:bottom w:w="0" w:type="dxa"/>
                    <w:right w:w="0" w:type="dxa"/>
                  </w:tcMar>
                  <w:vAlign w:val="center"/>
                </w:tcPr>
                <w:p w14:paraId="3A84FB29">
                  <w:pPr>
                    <w:keepNext/>
                    <w:keepLines/>
                    <w:adjustRightInd w:val="0"/>
                    <w:snapToGrid w:val="0"/>
                    <w:jc w:val="center"/>
                    <w:rPr>
                      <w:b/>
                      <w:bCs/>
                      <w:color w:val="auto"/>
                    </w:rPr>
                  </w:pPr>
                  <w:r>
                    <w:rPr>
                      <w:b/>
                      <w:bCs/>
                      <w:color w:val="auto"/>
                    </w:rPr>
                    <w:t>X</w:t>
                  </w:r>
                </w:p>
              </w:tc>
              <w:tc>
                <w:tcPr>
                  <w:tcW w:w="643" w:type="pct"/>
                  <w:tcBorders>
                    <w:tl2br w:val="nil"/>
                    <w:tr2bl w:val="nil"/>
                  </w:tcBorders>
                  <w:tcMar>
                    <w:top w:w="0" w:type="dxa"/>
                    <w:left w:w="0" w:type="dxa"/>
                    <w:bottom w:w="0" w:type="dxa"/>
                    <w:right w:w="0" w:type="dxa"/>
                  </w:tcMar>
                  <w:vAlign w:val="center"/>
                </w:tcPr>
                <w:p w14:paraId="3A84FB2A">
                  <w:pPr>
                    <w:keepNext/>
                    <w:keepLines/>
                    <w:adjustRightInd w:val="0"/>
                    <w:snapToGrid w:val="0"/>
                    <w:jc w:val="center"/>
                    <w:rPr>
                      <w:b/>
                      <w:bCs/>
                      <w:color w:val="auto"/>
                    </w:rPr>
                  </w:pPr>
                  <w:r>
                    <w:rPr>
                      <w:b/>
                      <w:bCs/>
                      <w:color w:val="auto"/>
                    </w:rPr>
                    <w:t>Y</w:t>
                  </w:r>
                </w:p>
              </w:tc>
              <w:tc>
                <w:tcPr>
                  <w:tcW w:w="671" w:type="pct"/>
                  <w:vMerge w:val="continue"/>
                  <w:tcBorders>
                    <w:tl2br w:val="nil"/>
                    <w:tr2bl w:val="nil"/>
                  </w:tcBorders>
                  <w:tcMar>
                    <w:top w:w="0" w:type="dxa"/>
                    <w:left w:w="0" w:type="dxa"/>
                    <w:bottom w:w="0" w:type="dxa"/>
                    <w:right w:w="0" w:type="dxa"/>
                  </w:tcMar>
                  <w:vAlign w:val="center"/>
                </w:tcPr>
                <w:p w14:paraId="3A84FB2B">
                  <w:pPr>
                    <w:adjustRightInd w:val="0"/>
                    <w:snapToGrid w:val="0"/>
                    <w:jc w:val="center"/>
                    <w:rPr>
                      <w:color w:val="auto"/>
                    </w:rPr>
                  </w:pPr>
                </w:p>
              </w:tc>
              <w:tc>
                <w:tcPr>
                  <w:tcW w:w="449" w:type="pct"/>
                  <w:vMerge w:val="continue"/>
                  <w:tcBorders>
                    <w:tl2br w:val="nil"/>
                    <w:tr2bl w:val="nil"/>
                  </w:tcBorders>
                  <w:tcMar>
                    <w:top w:w="0" w:type="dxa"/>
                    <w:left w:w="0" w:type="dxa"/>
                    <w:bottom w:w="0" w:type="dxa"/>
                    <w:right w:w="0" w:type="dxa"/>
                  </w:tcMar>
                  <w:vAlign w:val="center"/>
                </w:tcPr>
                <w:p w14:paraId="3A84FB2C">
                  <w:pPr>
                    <w:adjustRightInd w:val="0"/>
                    <w:snapToGrid w:val="0"/>
                    <w:jc w:val="center"/>
                    <w:rPr>
                      <w:color w:val="auto"/>
                    </w:rPr>
                  </w:pPr>
                </w:p>
              </w:tc>
              <w:tc>
                <w:tcPr>
                  <w:tcW w:w="1288" w:type="pct"/>
                  <w:vMerge w:val="continue"/>
                  <w:tcBorders>
                    <w:tl2br w:val="nil"/>
                    <w:tr2bl w:val="nil"/>
                  </w:tcBorders>
                  <w:tcMar>
                    <w:top w:w="0" w:type="dxa"/>
                    <w:left w:w="0" w:type="dxa"/>
                    <w:bottom w:w="0" w:type="dxa"/>
                    <w:right w:w="0" w:type="dxa"/>
                  </w:tcMar>
                  <w:vAlign w:val="center"/>
                </w:tcPr>
                <w:p w14:paraId="3A84FB2D">
                  <w:pPr>
                    <w:adjustRightInd w:val="0"/>
                    <w:snapToGrid w:val="0"/>
                    <w:jc w:val="center"/>
                    <w:rPr>
                      <w:color w:val="auto"/>
                    </w:rPr>
                  </w:pPr>
                </w:p>
              </w:tc>
              <w:tc>
                <w:tcPr>
                  <w:tcW w:w="415" w:type="pct"/>
                  <w:vMerge w:val="continue"/>
                  <w:tcBorders>
                    <w:tl2br w:val="nil"/>
                    <w:tr2bl w:val="nil"/>
                  </w:tcBorders>
                  <w:tcMar>
                    <w:top w:w="0" w:type="dxa"/>
                    <w:left w:w="0" w:type="dxa"/>
                    <w:bottom w:w="0" w:type="dxa"/>
                    <w:right w:w="0" w:type="dxa"/>
                  </w:tcMar>
                  <w:vAlign w:val="center"/>
                </w:tcPr>
                <w:p w14:paraId="3A84FB2E">
                  <w:pPr>
                    <w:adjustRightInd w:val="0"/>
                    <w:snapToGrid w:val="0"/>
                    <w:jc w:val="center"/>
                    <w:rPr>
                      <w:color w:val="auto"/>
                    </w:rPr>
                  </w:pPr>
                </w:p>
              </w:tc>
              <w:tc>
                <w:tcPr>
                  <w:tcW w:w="423" w:type="pct"/>
                  <w:vMerge w:val="continue"/>
                  <w:tcBorders>
                    <w:tl2br w:val="nil"/>
                    <w:tr2bl w:val="nil"/>
                  </w:tcBorders>
                  <w:tcMar>
                    <w:top w:w="0" w:type="dxa"/>
                    <w:left w:w="0" w:type="dxa"/>
                    <w:bottom w:w="0" w:type="dxa"/>
                    <w:right w:w="0" w:type="dxa"/>
                  </w:tcMar>
                  <w:vAlign w:val="center"/>
                </w:tcPr>
                <w:p w14:paraId="3A84FB2F">
                  <w:pPr>
                    <w:adjustRightInd w:val="0"/>
                    <w:snapToGrid w:val="0"/>
                    <w:jc w:val="center"/>
                    <w:rPr>
                      <w:color w:val="auto"/>
                    </w:rPr>
                  </w:pPr>
                </w:p>
              </w:tc>
            </w:tr>
            <w:tr w14:paraId="3A84FB3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11" w:type="pct"/>
                  <w:vMerge w:val="restart"/>
                  <w:tcBorders>
                    <w:tl2br w:val="nil"/>
                    <w:tr2bl w:val="nil"/>
                  </w:tcBorders>
                  <w:tcMar>
                    <w:top w:w="0" w:type="dxa"/>
                    <w:left w:w="0" w:type="dxa"/>
                    <w:bottom w:w="0" w:type="dxa"/>
                    <w:right w:w="0" w:type="dxa"/>
                  </w:tcMar>
                  <w:vAlign w:val="center"/>
                </w:tcPr>
                <w:p w14:paraId="3A84FB31">
                  <w:pPr>
                    <w:adjustRightInd w:val="0"/>
                    <w:snapToGrid w:val="0"/>
                    <w:jc w:val="center"/>
                    <w:rPr>
                      <w:color w:val="auto"/>
                    </w:rPr>
                  </w:pPr>
                  <w:r>
                    <w:rPr>
                      <w:color w:val="auto"/>
                    </w:rPr>
                    <w:t>大气环境</w:t>
                  </w:r>
                </w:p>
              </w:tc>
              <w:tc>
                <w:tcPr>
                  <w:tcW w:w="698" w:type="pct"/>
                  <w:tcBorders>
                    <w:tl2br w:val="nil"/>
                    <w:tr2bl w:val="nil"/>
                  </w:tcBorders>
                  <w:tcMar>
                    <w:top w:w="0" w:type="dxa"/>
                    <w:left w:w="0" w:type="dxa"/>
                    <w:bottom w:w="0" w:type="dxa"/>
                    <w:right w:w="0" w:type="dxa"/>
                  </w:tcMar>
                  <w:vAlign w:val="center"/>
                </w:tcPr>
                <w:p w14:paraId="3A84FB32">
                  <w:pPr>
                    <w:pStyle w:val="55"/>
                    <w:widowControl w:val="0"/>
                    <w:rPr>
                      <w:b w:val="0"/>
                      <w:bCs w:val="0"/>
                      <w:color w:val="auto"/>
                      <w:kern w:val="2"/>
                      <w:sz w:val="21"/>
                      <w:szCs w:val="21"/>
                    </w:rPr>
                  </w:pPr>
                  <w:r>
                    <w:rPr>
                      <w:rFonts w:hint="eastAsia"/>
                      <w:b w:val="0"/>
                      <w:bCs w:val="0"/>
                      <w:color w:val="auto"/>
                      <w:kern w:val="2"/>
                      <w:sz w:val="21"/>
                      <w:szCs w:val="21"/>
                    </w:rPr>
                    <w:t>119.34893489</w:t>
                  </w:r>
                </w:p>
              </w:tc>
              <w:tc>
                <w:tcPr>
                  <w:tcW w:w="643" w:type="pct"/>
                  <w:tcBorders>
                    <w:tl2br w:val="nil"/>
                    <w:tr2bl w:val="nil"/>
                  </w:tcBorders>
                  <w:tcMar>
                    <w:top w:w="0" w:type="dxa"/>
                    <w:left w:w="0" w:type="dxa"/>
                    <w:bottom w:w="0" w:type="dxa"/>
                    <w:right w:w="0" w:type="dxa"/>
                  </w:tcMar>
                  <w:vAlign w:val="center"/>
                </w:tcPr>
                <w:p w14:paraId="3A84FB33">
                  <w:pPr>
                    <w:pStyle w:val="55"/>
                    <w:widowControl w:val="0"/>
                    <w:rPr>
                      <w:b w:val="0"/>
                      <w:bCs w:val="0"/>
                      <w:color w:val="auto"/>
                      <w:kern w:val="2"/>
                      <w:sz w:val="21"/>
                      <w:szCs w:val="21"/>
                    </w:rPr>
                  </w:pPr>
                  <w:r>
                    <w:rPr>
                      <w:rFonts w:hint="eastAsia"/>
                      <w:b w:val="0"/>
                      <w:bCs w:val="0"/>
                      <w:color w:val="auto"/>
                      <w:kern w:val="2"/>
                      <w:sz w:val="21"/>
                      <w:szCs w:val="21"/>
                    </w:rPr>
                    <w:t>31.70143488</w:t>
                  </w:r>
                </w:p>
              </w:tc>
              <w:tc>
                <w:tcPr>
                  <w:tcW w:w="671" w:type="pct"/>
                  <w:tcBorders>
                    <w:tl2br w:val="nil"/>
                    <w:tr2bl w:val="nil"/>
                  </w:tcBorders>
                  <w:tcMar>
                    <w:top w:w="0" w:type="dxa"/>
                    <w:left w:w="0" w:type="dxa"/>
                    <w:bottom w:w="0" w:type="dxa"/>
                    <w:right w:w="0" w:type="dxa"/>
                  </w:tcMar>
                  <w:vAlign w:val="center"/>
                </w:tcPr>
                <w:p w14:paraId="3A84FB34">
                  <w:pPr>
                    <w:pStyle w:val="55"/>
                    <w:widowControl w:val="0"/>
                    <w:rPr>
                      <w:rFonts w:hint="eastAsia" w:eastAsia="宋体"/>
                      <w:b w:val="0"/>
                      <w:bCs w:val="0"/>
                      <w:color w:val="auto"/>
                      <w:kern w:val="2"/>
                      <w:sz w:val="21"/>
                      <w:szCs w:val="21"/>
                      <w:lang w:eastAsia="zh-CN"/>
                    </w:rPr>
                  </w:pPr>
                  <w:r>
                    <w:rPr>
                      <w:rFonts w:hint="eastAsia"/>
                      <w:b w:val="0"/>
                      <w:bCs w:val="0"/>
                      <w:color w:val="auto"/>
                      <w:kern w:val="2"/>
                      <w:sz w:val="21"/>
                      <w:szCs w:val="21"/>
                      <w:lang w:val="en-US" w:eastAsia="zh-CN"/>
                    </w:rPr>
                    <w:t>中竹棵</w:t>
                  </w:r>
                </w:p>
              </w:tc>
              <w:tc>
                <w:tcPr>
                  <w:tcW w:w="449" w:type="pct"/>
                  <w:tcBorders>
                    <w:tl2br w:val="nil"/>
                    <w:tr2bl w:val="nil"/>
                  </w:tcBorders>
                  <w:tcMar>
                    <w:top w:w="0" w:type="dxa"/>
                    <w:left w:w="0" w:type="dxa"/>
                    <w:bottom w:w="0" w:type="dxa"/>
                    <w:right w:w="0" w:type="dxa"/>
                  </w:tcMar>
                  <w:vAlign w:val="center"/>
                </w:tcPr>
                <w:p w14:paraId="3A84FB35">
                  <w:pPr>
                    <w:pStyle w:val="55"/>
                    <w:widowControl w:val="0"/>
                    <w:rPr>
                      <w:rFonts w:hint="eastAsia" w:eastAsia="宋体"/>
                      <w:b w:val="0"/>
                      <w:bCs w:val="0"/>
                      <w:color w:val="auto"/>
                      <w:kern w:val="2"/>
                      <w:sz w:val="21"/>
                      <w:szCs w:val="21"/>
                      <w:lang w:eastAsia="zh-CN"/>
                    </w:rPr>
                  </w:pPr>
                  <w:r>
                    <w:rPr>
                      <w:rFonts w:hint="eastAsia"/>
                      <w:b w:val="0"/>
                      <w:bCs w:val="0"/>
                      <w:color w:val="auto"/>
                      <w:sz w:val="21"/>
                      <w:szCs w:val="21"/>
                      <w:lang w:val="en-US" w:eastAsia="zh-CN"/>
                    </w:rPr>
                    <w:t>居民</w:t>
                  </w:r>
                </w:p>
              </w:tc>
              <w:tc>
                <w:tcPr>
                  <w:tcW w:w="1288" w:type="pct"/>
                  <w:vMerge w:val="restart"/>
                  <w:tcBorders>
                    <w:tl2br w:val="nil"/>
                    <w:tr2bl w:val="nil"/>
                  </w:tcBorders>
                  <w:tcMar>
                    <w:top w:w="0" w:type="dxa"/>
                    <w:left w:w="0" w:type="dxa"/>
                    <w:bottom w:w="0" w:type="dxa"/>
                    <w:right w:w="0" w:type="dxa"/>
                  </w:tcMar>
                  <w:vAlign w:val="center"/>
                </w:tcPr>
                <w:p w14:paraId="3A84FB36">
                  <w:pPr>
                    <w:adjustRightInd w:val="0"/>
                    <w:snapToGrid w:val="0"/>
                    <w:jc w:val="center"/>
                    <w:rPr>
                      <w:b w:val="0"/>
                      <w:bCs w:val="0"/>
                      <w:color w:val="auto"/>
                    </w:rPr>
                  </w:pPr>
                  <w:r>
                    <w:rPr>
                      <w:b w:val="0"/>
                      <w:bCs w:val="0"/>
                      <w:color w:val="auto"/>
                    </w:rPr>
                    <w:t>《环境空气质量标准》</w:t>
                  </w:r>
                </w:p>
                <w:p w14:paraId="3A84FB37">
                  <w:pPr>
                    <w:adjustRightInd w:val="0"/>
                    <w:snapToGrid w:val="0"/>
                    <w:jc w:val="center"/>
                    <w:rPr>
                      <w:b w:val="0"/>
                      <w:bCs w:val="0"/>
                      <w:color w:val="auto"/>
                    </w:rPr>
                  </w:pPr>
                  <w:r>
                    <w:rPr>
                      <w:b w:val="0"/>
                      <w:bCs w:val="0"/>
                      <w:color w:val="auto"/>
                    </w:rPr>
                    <w:t>（GB3095-2012）中二类功能区</w:t>
                  </w:r>
                </w:p>
              </w:tc>
              <w:tc>
                <w:tcPr>
                  <w:tcW w:w="415" w:type="pct"/>
                  <w:tcBorders>
                    <w:tl2br w:val="nil"/>
                    <w:tr2bl w:val="nil"/>
                  </w:tcBorders>
                  <w:tcMar>
                    <w:top w:w="0" w:type="dxa"/>
                    <w:left w:w="0" w:type="dxa"/>
                    <w:bottom w:w="0" w:type="dxa"/>
                    <w:right w:w="0" w:type="dxa"/>
                  </w:tcMar>
                  <w:vAlign w:val="center"/>
                </w:tcPr>
                <w:p w14:paraId="3A84FB38">
                  <w:pPr>
                    <w:pStyle w:val="698"/>
                    <w:rPr>
                      <w:rFonts w:hint="eastAsia" w:eastAsia="宋体"/>
                      <w:b w:val="0"/>
                      <w:bCs w:val="0"/>
                      <w:color w:val="auto"/>
                      <w:lang w:eastAsia="zh-CN"/>
                    </w:rPr>
                  </w:pPr>
                  <w:r>
                    <w:rPr>
                      <w:rFonts w:hint="eastAsia" w:eastAsia="宋体"/>
                      <w:b w:val="0"/>
                      <w:bCs w:val="0"/>
                      <w:color w:val="auto"/>
                      <w:lang w:val="en-US" w:eastAsia="zh-CN"/>
                    </w:rPr>
                    <w:t>西北</w:t>
                  </w:r>
                </w:p>
              </w:tc>
              <w:tc>
                <w:tcPr>
                  <w:tcW w:w="423" w:type="pct"/>
                  <w:tcBorders>
                    <w:tl2br w:val="nil"/>
                    <w:tr2bl w:val="nil"/>
                  </w:tcBorders>
                  <w:tcMar>
                    <w:top w:w="0" w:type="dxa"/>
                    <w:left w:w="0" w:type="dxa"/>
                    <w:bottom w:w="0" w:type="dxa"/>
                    <w:right w:w="0" w:type="dxa"/>
                  </w:tcMar>
                  <w:vAlign w:val="center"/>
                </w:tcPr>
                <w:p w14:paraId="3A84FB39">
                  <w:pPr>
                    <w:pStyle w:val="55"/>
                    <w:widowControl w:val="0"/>
                    <w:rPr>
                      <w:rFonts w:hint="default" w:eastAsia="宋体"/>
                      <w:b w:val="0"/>
                      <w:bCs w:val="0"/>
                      <w:color w:val="auto"/>
                      <w:sz w:val="21"/>
                      <w:szCs w:val="21"/>
                      <w:lang w:val="en-US" w:eastAsia="zh-CN"/>
                    </w:rPr>
                  </w:pPr>
                  <w:r>
                    <w:rPr>
                      <w:rFonts w:hint="eastAsia"/>
                      <w:b w:val="0"/>
                      <w:bCs w:val="0"/>
                      <w:color w:val="auto"/>
                      <w:sz w:val="21"/>
                      <w:szCs w:val="21"/>
                      <w:lang w:val="en-US" w:eastAsia="zh-CN"/>
                    </w:rPr>
                    <w:t>418</w:t>
                  </w:r>
                </w:p>
              </w:tc>
            </w:tr>
            <w:tr w14:paraId="034204D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11" w:type="pct"/>
                  <w:vMerge w:val="continue"/>
                  <w:tcBorders>
                    <w:tl2br w:val="nil"/>
                    <w:tr2bl w:val="nil"/>
                  </w:tcBorders>
                  <w:tcMar>
                    <w:top w:w="0" w:type="dxa"/>
                    <w:left w:w="0" w:type="dxa"/>
                    <w:bottom w:w="0" w:type="dxa"/>
                    <w:right w:w="0" w:type="dxa"/>
                  </w:tcMar>
                  <w:vAlign w:val="center"/>
                </w:tcPr>
                <w:p w14:paraId="2BC84390">
                  <w:pPr>
                    <w:adjustRightInd w:val="0"/>
                    <w:snapToGrid w:val="0"/>
                    <w:jc w:val="center"/>
                    <w:rPr>
                      <w:b w:val="0"/>
                      <w:bCs w:val="0"/>
                      <w:color w:val="auto"/>
                    </w:rPr>
                  </w:pPr>
                </w:p>
              </w:tc>
              <w:tc>
                <w:tcPr>
                  <w:tcW w:w="698" w:type="pct"/>
                  <w:tcBorders>
                    <w:tl2br w:val="nil"/>
                    <w:tr2bl w:val="nil"/>
                  </w:tcBorders>
                  <w:tcMar>
                    <w:top w:w="0" w:type="dxa"/>
                    <w:left w:w="0" w:type="dxa"/>
                    <w:bottom w:w="0" w:type="dxa"/>
                    <w:right w:w="0" w:type="dxa"/>
                  </w:tcMar>
                  <w:vAlign w:val="center"/>
                </w:tcPr>
                <w:p w14:paraId="4512A5F0">
                  <w:pPr>
                    <w:pStyle w:val="55"/>
                    <w:widowControl w:val="0"/>
                    <w:rPr>
                      <w:rFonts w:hint="eastAsia"/>
                      <w:b w:val="0"/>
                      <w:bCs w:val="0"/>
                      <w:color w:val="auto"/>
                      <w:kern w:val="2"/>
                      <w:sz w:val="21"/>
                      <w:szCs w:val="21"/>
                    </w:rPr>
                  </w:pPr>
                  <w:r>
                    <w:rPr>
                      <w:rFonts w:hint="eastAsia"/>
                      <w:b w:val="0"/>
                      <w:bCs w:val="0"/>
                      <w:color w:val="auto"/>
                      <w:kern w:val="2"/>
                      <w:sz w:val="21"/>
                      <w:szCs w:val="21"/>
                    </w:rPr>
                    <w:t>119.35465336</w:t>
                  </w:r>
                </w:p>
              </w:tc>
              <w:tc>
                <w:tcPr>
                  <w:tcW w:w="643" w:type="pct"/>
                  <w:tcBorders>
                    <w:tl2br w:val="nil"/>
                    <w:tr2bl w:val="nil"/>
                  </w:tcBorders>
                  <w:tcMar>
                    <w:top w:w="0" w:type="dxa"/>
                    <w:left w:w="0" w:type="dxa"/>
                    <w:bottom w:w="0" w:type="dxa"/>
                    <w:right w:w="0" w:type="dxa"/>
                  </w:tcMar>
                  <w:vAlign w:val="center"/>
                </w:tcPr>
                <w:p w14:paraId="6447235D">
                  <w:pPr>
                    <w:pStyle w:val="55"/>
                    <w:widowControl w:val="0"/>
                    <w:rPr>
                      <w:rFonts w:hint="eastAsia"/>
                      <w:b w:val="0"/>
                      <w:bCs w:val="0"/>
                      <w:color w:val="auto"/>
                      <w:kern w:val="2"/>
                      <w:sz w:val="21"/>
                      <w:szCs w:val="21"/>
                    </w:rPr>
                  </w:pPr>
                  <w:r>
                    <w:rPr>
                      <w:rFonts w:hint="eastAsia"/>
                      <w:b w:val="0"/>
                      <w:bCs w:val="0"/>
                      <w:color w:val="auto"/>
                      <w:kern w:val="2"/>
                      <w:sz w:val="21"/>
                      <w:szCs w:val="21"/>
                    </w:rPr>
                    <w:t>31.69782922</w:t>
                  </w:r>
                </w:p>
              </w:tc>
              <w:tc>
                <w:tcPr>
                  <w:tcW w:w="671" w:type="pct"/>
                  <w:tcBorders>
                    <w:tl2br w:val="nil"/>
                    <w:tr2bl w:val="nil"/>
                  </w:tcBorders>
                  <w:tcMar>
                    <w:top w:w="0" w:type="dxa"/>
                    <w:left w:w="0" w:type="dxa"/>
                    <w:bottom w:w="0" w:type="dxa"/>
                    <w:right w:w="0" w:type="dxa"/>
                  </w:tcMar>
                  <w:vAlign w:val="center"/>
                </w:tcPr>
                <w:p w14:paraId="51018861">
                  <w:pPr>
                    <w:pStyle w:val="55"/>
                    <w:widowControl w:val="0"/>
                    <w:rPr>
                      <w:rFonts w:hint="eastAsia" w:eastAsia="宋体"/>
                      <w:b w:val="0"/>
                      <w:bCs w:val="0"/>
                      <w:color w:val="auto"/>
                      <w:kern w:val="2"/>
                      <w:sz w:val="21"/>
                      <w:szCs w:val="21"/>
                      <w:lang w:val="en-US" w:eastAsia="zh-CN"/>
                    </w:rPr>
                  </w:pPr>
                  <w:r>
                    <w:rPr>
                      <w:rFonts w:hint="eastAsia"/>
                      <w:b w:val="0"/>
                      <w:bCs w:val="0"/>
                      <w:color w:val="auto"/>
                      <w:kern w:val="2"/>
                      <w:sz w:val="21"/>
                      <w:szCs w:val="21"/>
                      <w:lang w:val="en-US" w:eastAsia="zh-CN"/>
                    </w:rPr>
                    <w:t>下竹棵</w:t>
                  </w:r>
                </w:p>
              </w:tc>
              <w:tc>
                <w:tcPr>
                  <w:tcW w:w="449" w:type="pct"/>
                  <w:tcBorders>
                    <w:tl2br w:val="nil"/>
                    <w:tr2bl w:val="nil"/>
                  </w:tcBorders>
                  <w:tcMar>
                    <w:top w:w="0" w:type="dxa"/>
                    <w:left w:w="0" w:type="dxa"/>
                    <w:bottom w:w="0" w:type="dxa"/>
                    <w:right w:w="0" w:type="dxa"/>
                  </w:tcMar>
                  <w:vAlign w:val="center"/>
                </w:tcPr>
                <w:p w14:paraId="2EE535C9">
                  <w:pPr>
                    <w:pStyle w:val="55"/>
                    <w:widowControl w:val="0"/>
                    <w:rPr>
                      <w:rFonts w:hint="eastAsia" w:eastAsia="宋体"/>
                      <w:b w:val="0"/>
                      <w:bCs w:val="0"/>
                      <w:color w:val="auto"/>
                      <w:sz w:val="21"/>
                      <w:szCs w:val="21"/>
                      <w:lang w:val="en-US" w:eastAsia="zh-CN"/>
                    </w:rPr>
                  </w:pPr>
                  <w:r>
                    <w:rPr>
                      <w:rFonts w:hint="eastAsia"/>
                      <w:b w:val="0"/>
                      <w:bCs w:val="0"/>
                      <w:color w:val="auto"/>
                      <w:sz w:val="21"/>
                      <w:szCs w:val="21"/>
                      <w:lang w:val="en-US" w:eastAsia="zh-CN"/>
                    </w:rPr>
                    <w:t>居民</w:t>
                  </w:r>
                </w:p>
              </w:tc>
              <w:tc>
                <w:tcPr>
                  <w:tcW w:w="1288" w:type="pct"/>
                  <w:vMerge w:val="continue"/>
                  <w:tcBorders>
                    <w:tl2br w:val="nil"/>
                    <w:tr2bl w:val="nil"/>
                  </w:tcBorders>
                  <w:tcMar>
                    <w:top w:w="0" w:type="dxa"/>
                    <w:left w:w="0" w:type="dxa"/>
                    <w:bottom w:w="0" w:type="dxa"/>
                    <w:right w:w="0" w:type="dxa"/>
                  </w:tcMar>
                  <w:vAlign w:val="center"/>
                </w:tcPr>
                <w:p w14:paraId="650F9F8C">
                  <w:pPr>
                    <w:adjustRightInd w:val="0"/>
                    <w:snapToGrid w:val="0"/>
                    <w:jc w:val="center"/>
                    <w:rPr>
                      <w:b w:val="0"/>
                      <w:bCs w:val="0"/>
                      <w:color w:val="auto"/>
                    </w:rPr>
                  </w:pPr>
                </w:p>
              </w:tc>
              <w:tc>
                <w:tcPr>
                  <w:tcW w:w="415" w:type="pct"/>
                  <w:tcBorders>
                    <w:tl2br w:val="nil"/>
                    <w:tr2bl w:val="nil"/>
                  </w:tcBorders>
                  <w:tcMar>
                    <w:top w:w="0" w:type="dxa"/>
                    <w:left w:w="0" w:type="dxa"/>
                    <w:bottom w:w="0" w:type="dxa"/>
                    <w:right w:w="0" w:type="dxa"/>
                  </w:tcMar>
                  <w:vAlign w:val="center"/>
                </w:tcPr>
                <w:p w14:paraId="0F13DD2F">
                  <w:pPr>
                    <w:pStyle w:val="698"/>
                    <w:rPr>
                      <w:rFonts w:hint="eastAsia" w:eastAsia="宋体"/>
                      <w:b w:val="0"/>
                      <w:bCs w:val="0"/>
                      <w:color w:val="auto"/>
                      <w:lang w:val="en-US" w:eastAsia="zh-CN"/>
                    </w:rPr>
                  </w:pPr>
                  <w:r>
                    <w:rPr>
                      <w:rFonts w:hint="eastAsia" w:eastAsia="宋体"/>
                      <w:b w:val="0"/>
                      <w:bCs w:val="0"/>
                      <w:color w:val="auto"/>
                      <w:lang w:val="en-US" w:eastAsia="zh-CN"/>
                    </w:rPr>
                    <w:t>北</w:t>
                  </w:r>
                </w:p>
              </w:tc>
              <w:tc>
                <w:tcPr>
                  <w:tcW w:w="423" w:type="pct"/>
                  <w:tcBorders>
                    <w:tl2br w:val="nil"/>
                    <w:tr2bl w:val="nil"/>
                  </w:tcBorders>
                  <w:tcMar>
                    <w:top w:w="0" w:type="dxa"/>
                    <w:left w:w="0" w:type="dxa"/>
                    <w:bottom w:w="0" w:type="dxa"/>
                    <w:right w:w="0" w:type="dxa"/>
                  </w:tcMar>
                  <w:vAlign w:val="center"/>
                </w:tcPr>
                <w:p w14:paraId="2A7A7333">
                  <w:pPr>
                    <w:pStyle w:val="55"/>
                    <w:widowControl w:val="0"/>
                    <w:rPr>
                      <w:rFonts w:hint="default" w:eastAsia="宋体"/>
                      <w:b w:val="0"/>
                      <w:bCs w:val="0"/>
                      <w:color w:val="auto"/>
                      <w:sz w:val="21"/>
                      <w:szCs w:val="21"/>
                      <w:lang w:val="en-US" w:eastAsia="zh-CN"/>
                    </w:rPr>
                  </w:pPr>
                  <w:r>
                    <w:rPr>
                      <w:rFonts w:hint="eastAsia"/>
                      <w:b w:val="0"/>
                      <w:bCs w:val="0"/>
                      <w:color w:val="auto"/>
                      <w:sz w:val="21"/>
                      <w:szCs w:val="21"/>
                      <w:lang w:val="en-US" w:eastAsia="zh-CN"/>
                    </w:rPr>
                    <w:t>332</w:t>
                  </w:r>
                </w:p>
              </w:tc>
            </w:tr>
            <w:tr w14:paraId="3A90FA9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11" w:type="pct"/>
                  <w:vMerge w:val="continue"/>
                  <w:tcBorders>
                    <w:tl2br w:val="nil"/>
                    <w:tr2bl w:val="nil"/>
                  </w:tcBorders>
                  <w:tcMar>
                    <w:top w:w="0" w:type="dxa"/>
                    <w:left w:w="0" w:type="dxa"/>
                    <w:bottom w:w="0" w:type="dxa"/>
                    <w:right w:w="0" w:type="dxa"/>
                  </w:tcMar>
                  <w:vAlign w:val="center"/>
                </w:tcPr>
                <w:p w14:paraId="475C7291">
                  <w:pPr>
                    <w:adjustRightInd w:val="0"/>
                    <w:snapToGrid w:val="0"/>
                    <w:jc w:val="center"/>
                    <w:rPr>
                      <w:b w:val="0"/>
                      <w:bCs w:val="0"/>
                      <w:color w:val="auto"/>
                    </w:rPr>
                  </w:pPr>
                </w:p>
              </w:tc>
              <w:tc>
                <w:tcPr>
                  <w:tcW w:w="698" w:type="pct"/>
                  <w:tcBorders>
                    <w:tl2br w:val="nil"/>
                    <w:tr2bl w:val="nil"/>
                  </w:tcBorders>
                  <w:tcMar>
                    <w:top w:w="0" w:type="dxa"/>
                    <w:left w:w="0" w:type="dxa"/>
                    <w:bottom w:w="0" w:type="dxa"/>
                    <w:right w:w="0" w:type="dxa"/>
                  </w:tcMar>
                  <w:vAlign w:val="center"/>
                </w:tcPr>
                <w:p w14:paraId="6E4C505C">
                  <w:pPr>
                    <w:pStyle w:val="55"/>
                    <w:widowControl w:val="0"/>
                    <w:rPr>
                      <w:rFonts w:hint="eastAsia"/>
                      <w:b w:val="0"/>
                      <w:bCs w:val="0"/>
                      <w:color w:val="auto"/>
                      <w:kern w:val="2"/>
                      <w:sz w:val="21"/>
                      <w:szCs w:val="21"/>
                    </w:rPr>
                  </w:pPr>
                  <w:r>
                    <w:rPr>
                      <w:rFonts w:hint="eastAsia"/>
                      <w:b w:val="0"/>
                      <w:bCs w:val="0"/>
                      <w:color w:val="auto"/>
                      <w:kern w:val="2"/>
                      <w:sz w:val="21"/>
                      <w:szCs w:val="21"/>
                    </w:rPr>
                    <w:t>119.34864521</w:t>
                  </w:r>
                </w:p>
              </w:tc>
              <w:tc>
                <w:tcPr>
                  <w:tcW w:w="643" w:type="pct"/>
                  <w:tcBorders>
                    <w:tl2br w:val="nil"/>
                    <w:tr2bl w:val="nil"/>
                  </w:tcBorders>
                  <w:tcMar>
                    <w:top w:w="0" w:type="dxa"/>
                    <w:left w:w="0" w:type="dxa"/>
                    <w:bottom w:w="0" w:type="dxa"/>
                    <w:right w:w="0" w:type="dxa"/>
                  </w:tcMar>
                  <w:vAlign w:val="center"/>
                </w:tcPr>
                <w:p w14:paraId="7708DAB3">
                  <w:pPr>
                    <w:pStyle w:val="55"/>
                    <w:widowControl w:val="0"/>
                    <w:rPr>
                      <w:rFonts w:hint="eastAsia"/>
                      <w:b w:val="0"/>
                      <w:bCs w:val="0"/>
                      <w:color w:val="auto"/>
                      <w:kern w:val="2"/>
                      <w:sz w:val="21"/>
                      <w:szCs w:val="21"/>
                    </w:rPr>
                  </w:pPr>
                  <w:r>
                    <w:rPr>
                      <w:rFonts w:hint="eastAsia"/>
                      <w:b w:val="0"/>
                      <w:bCs w:val="0"/>
                      <w:color w:val="auto"/>
                      <w:kern w:val="2"/>
                      <w:sz w:val="21"/>
                      <w:szCs w:val="21"/>
                    </w:rPr>
                    <w:t>31.68931657</w:t>
                  </w:r>
                </w:p>
              </w:tc>
              <w:tc>
                <w:tcPr>
                  <w:tcW w:w="671" w:type="pct"/>
                  <w:tcBorders>
                    <w:tl2br w:val="nil"/>
                    <w:tr2bl w:val="nil"/>
                  </w:tcBorders>
                  <w:tcMar>
                    <w:top w:w="0" w:type="dxa"/>
                    <w:left w:w="0" w:type="dxa"/>
                    <w:bottom w:w="0" w:type="dxa"/>
                    <w:right w:w="0" w:type="dxa"/>
                  </w:tcMar>
                  <w:vAlign w:val="center"/>
                </w:tcPr>
                <w:p w14:paraId="61F591A6">
                  <w:pPr>
                    <w:pStyle w:val="55"/>
                    <w:widowControl w:val="0"/>
                    <w:rPr>
                      <w:rFonts w:hint="default" w:eastAsia="宋体"/>
                      <w:b w:val="0"/>
                      <w:bCs w:val="0"/>
                      <w:color w:val="auto"/>
                      <w:kern w:val="2"/>
                      <w:sz w:val="21"/>
                      <w:szCs w:val="21"/>
                      <w:lang w:val="en-US" w:eastAsia="zh-CN"/>
                    </w:rPr>
                  </w:pPr>
                  <w:r>
                    <w:rPr>
                      <w:rFonts w:hint="eastAsia"/>
                      <w:b w:val="0"/>
                      <w:bCs w:val="0"/>
                      <w:color w:val="auto"/>
                      <w:kern w:val="2"/>
                      <w:sz w:val="21"/>
                      <w:szCs w:val="21"/>
                      <w:lang w:val="en-US" w:eastAsia="zh-CN"/>
                    </w:rPr>
                    <w:t>段家弯</w:t>
                  </w:r>
                </w:p>
              </w:tc>
              <w:tc>
                <w:tcPr>
                  <w:tcW w:w="449" w:type="pct"/>
                  <w:tcBorders>
                    <w:tl2br w:val="nil"/>
                    <w:tr2bl w:val="nil"/>
                  </w:tcBorders>
                  <w:tcMar>
                    <w:top w:w="0" w:type="dxa"/>
                    <w:left w:w="0" w:type="dxa"/>
                    <w:bottom w:w="0" w:type="dxa"/>
                    <w:right w:w="0" w:type="dxa"/>
                  </w:tcMar>
                  <w:vAlign w:val="center"/>
                </w:tcPr>
                <w:p w14:paraId="14E49B4B">
                  <w:pPr>
                    <w:pStyle w:val="55"/>
                    <w:widowControl w:val="0"/>
                    <w:rPr>
                      <w:rFonts w:hint="eastAsia" w:eastAsia="宋体"/>
                      <w:b w:val="0"/>
                      <w:bCs w:val="0"/>
                      <w:color w:val="auto"/>
                      <w:sz w:val="21"/>
                      <w:szCs w:val="21"/>
                      <w:lang w:val="en-US" w:eastAsia="zh-CN"/>
                    </w:rPr>
                  </w:pPr>
                  <w:r>
                    <w:rPr>
                      <w:rFonts w:hint="eastAsia"/>
                      <w:b w:val="0"/>
                      <w:bCs w:val="0"/>
                      <w:color w:val="auto"/>
                      <w:sz w:val="21"/>
                      <w:szCs w:val="21"/>
                      <w:lang w:val="en-US" w:eastAsia="zh-CN"/>
                    </w:rPr>
                    <w:t>居民</w:t>
                  </w:r>
                </w:p>
              </w:tc>
              <w:tc>
                <w:tcPr>
                  <w:tcW w:w="1288" w:type="pct"/>
                  <w:vMerge w:val="continue"/>
                  <w:tcBorders>
                    <w:tl2br w:val="nil"/>
                    <w:tr2bl w:val="nil"/>
                  </w:tcBorders>
                  <w:tcMar>
                    <w:top w:w="0" w:type="dxa"/>
                    <w:left w:w="0" w:type="dxa"/>
                    <w:bottom w:w="0" w:type="dxa"/>
                    <w:right w:w="0" w:type="dxa"/>
                  </w:tcMar>
                  <w:vAlign w:val="center"/>
                </w:tcPr>
                <w:p w14:paraId="6A946353">
                  <w:pPr>
                    <w:adjustRightInd w:val="0"/>
                    <w:snapToGrid w:val="0"/>
                    <w:jc w:val="center"/>
                    <w:rPr>
                      <w:b w:val="0"/>
                      <w:bCs w:val="0"/>
                      <w:color w:val="auto"/>
                    </w:rPr>
                  </w:pPr>
                </w:p>
              </w:tc>
              <w:tc>
                <w:tcPr>
                  <w:tcW w:w="415" w:type="pct"/>
                  <w:tcBorders>
                    <w:tl2br w:val="nil"/>
                    <w:tr2bl w:val="nil"/>
                  </w:tcBorders>
                  <w:tcMar>
                    <w:top w:w="0" w:type="dxa"/>
                    <w:left w:w="0" w:type="dxa"/>
                    <w:bottom w:w="0" w:type="dxa"/>
                    <w:right w:w="0" w:type="dxa"/>
                  </w:tcMar>
                  <w:vAlign w:val="center"/>
                </w:tcPr>
                <w:p w14:paraId="3D7A07EC">
                  <w:pPr>
                    <w:pStyle w:val="698"/>
                    <w:rPr>
                      <w:rFonts w:hint="eastAsia" w:eastAsia="宋体"/>
                      <w:b w:val="0"/>
                      <w:bCs w:val="0"/>
                      <w:color w:val="auto"/>
                      <w:lang w:val="en-US" w:eastAsia="zh-CN"/>
                    </w:rPr>
                  </w:pPr>
                  <w:r>
                    <w:rPr>
                      <w:rFonts w:hint="eastAsia" w:eastAsia="宋体"/>
                      <w:b w:val="0"/>
                      <w:bCs w:val="0"/>
                      <w:color w:val="auto"/>
                      <w:lang w:val="en-US" w:eastAsia="zh-CN"/>
                    </w:rPr>
                    <w:t>南</w:t>
                  </w:r>
                </w:p>
              </w:tc>
              <w:tc>
                <w:tcPr>
                  <w:tcW w:w="423" w:type="pct"/>
                  <w:tcBorders>
                    <w:tl2br w:val="nil"/>
                    <w:tr2bl w:val="nil"/>
                  </w:tcBorders>
                  <w:tcMar>
                    <w:top w:w="0" w:type="dxa"/>
                    <w:left w:w="0" w:type="dxa"/>
                    <w:bottom w:w="0" w:type="dxa"/>
                    <w:right w:w="0" w:type="dxa"/>
                  </w:tcMar>
                  <w:vAlign w:val="center"/>
                </w:tcPr>
                <w:p w14:paraId="5D2B121B">
                  <w:pPr>
                    <w:pStyle w:val="55"/>
                    <w:widowControl w:val="0"/>
                    <w:rPr>
                      <w:rFonts w:hint="default" w:eastAsia="宋体"/>
                      <w:b w:val="0"/>
                      <w:bCs w:val="0"/>
                      <w:color w:val="auto"/>
                      <w:sz w:val="21"/>
                      <w:szCs w:val="21"/>
                      <w:lang w:val="en-US" w:eastAsia="zh-CN"/>
                    </w:rPr>
                  </w:pPr>
                  <w:r>
                    <w:rPr>
                      <w:rFonts w:hint="eastAsia"/>
                      <w:b w:val="0"/>
                      <w:bCs w:val="0"/>
                      <w:color w:val="auto"/>
                      <w:sz w:val="21"/>
                      <w:szCs w:val="21"/>
                      <w:lang w:val="en-US" w:eastAsia="zh-CN"/>
                    </w:rPr>
                    <w:t>362</w:t>
                  </w:r>
                </w:p>
              </w:tc>
            </w:tr>
            <w:tr w14:paraId="10E5A8A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11" w:type="pct"/>
                  <w:vMerge w:val="continue"/>
                  <w:tcBorders>
                    <w:tl2br w:val="nil"/>
                    <w:tr2bl w:val="nil"/>
                  </w:tcBorders>
                  <w:tcMar>
                    <w:top w:w="0" w:type="dxa"/>
                    <w:left w:w="0" w:type="dxa"/>
                    <w:bottom w:w="0" w:type="dxa"/>
                    <w:right w:w="0" w:type="dxa"/>
                  </w:tcMar>
                  <w:vAlign w:val="center"/>
                </w:tcPr>
                <w:p w14:paraId="773DB9D5">
                  <w:pPr>
                    <w:adjustRightInd w:val="0"/>
                    <w:snapToGrid w:val="0"/>
                    <w:jc w:val="center"/>
                    <w:rPr>
                      <w:b w:val="0"/>
                      <w:bCs w:val="0"/>
                      <w:color w:val="auto"/>
                    </w:rPr>
                  </w:pPr>
                </w:p>
              </w:tc>
              <w:tc>
                <w:tcPr>
                  <w:tcW w:w="698" w:type="pct"/>
                  <w:tcBorders>
                    <w:tl2br w:val="nil"/>
                    <w:tr2bl w:val="nil"/>
                  </w:tcBorders>
                  <w:tcMar>
                    <w:top w:w="0" w:type="dxa"/>
                    <w:left w:w="0" w:type="dxa"/>
                    <w:bottom w:w="0" w:type="dxa"/>
                    <w:right w:w="0" w:type="dxa"/>
                  </w:tcMar>
                  <w:vAlign w:val="center"/>
                </w:tcPr>
                <w:p w14:paraId="2361F279">
                  <w:pPr>
                    <w:pStyle w:val="55"/>
                    <w:widowControl w:val="0"/>
                    <w:rPr>
                      <w:rFonts w:hint="eastAsia"/>
                      <w:b w:val="0"/>
                      <w:bCs w:val="0"/>
                      <w:color w:val="auto"/>
                      <w:kern w:val="2"/>
                      <w:sz w:val="21"/>
                      <w:szCs w:val="21"/>
                    </w:rPr>
                  </w:pPr>
                  <w:r>
                    <w:rPr>
                      <w:rFonts w:hint="eastAsia"/>
                      <w:b w:val="0"/>
                      <w:bCs w:val="0"/>
                      <w:color w:val="auto"/>
                      <w:kern w:val="2"/>
                      <w:sz w:val="21"/>
                      <w:szCs w:val="21"/>
                    </w:rPr>
                    <w:t>119.35480356</w:t>
                  </w:r>
                </w:p>
              </w:tc>
              <w:tc>
                <w:tcPr>
                  <w:tcW w:w="643" w:type="pct"/>
                  <w:tcBorders>
                    <w:tl2br w:val="nil"/>
                    <w:tr2bl w:val="nil"/>
                  </w:tcBorders>
                  <w:tcMar>
                    <w:top w:w="0" w:type="dxa"/>
                    <w:left w:w="0" w:type="dxa"/>
                    <w:bottom w:w="0" w:type="dxa"/>
                    <w:right w:w="0" w:type="dxa"/>
                  </w:tcMar>
                  <w:vAlign w:val="center"/>
                </w:tcPr>
                <w:p w14:paraId="1523D9F7">
                  <w:pPr>
                    <w:pStyle w:val="55"/>
                    <w:widowControl w:val="0"/>
                    <w:rPr>
                      <w:rFonts w:hint="eastAsia"/>
                      <w:b w:val="0"/>
                      <w:bCs w:val="0"/>
                      <w:color w:val="auto"/>
                      <w:kern w:val="2"/>
                      <w:sz w:val="21"/>
                      <w:szCs w:val="21"/>
                    </w:rPr>
                  </w:pPr>
                  <w:r>
                    <w:rPr>
                      <w:rFonts w:hint="eastAsia"/>
                      <w:b w:val="0"/>
                      <w:bCs w:val="0"/>
                      <w:color w:val="auto"/>
                      <w:kern w:val="2"/>
                      <w:sz w:val="21"/>
                      <w:szCs w:val="21"/>
                    </w:rPr>
                    <w:t>31.69772881</w:t>
                  </w:r>
                </w:p>
              </w:tc>
              <w:tc>
                <w:tcPr>
                  <w:tcW w:w="671" w:type="pct"/>
                  <w:tcBorders>
                    <w:tl2br w:val="nil"/>
                    <w:tr2bl w:val="nil"/>
                  </w:tcBorders>
                  <w:tcMar>
                    <w:top w:w="0" w:type="dxa"/>
                    <w:left w:w="0" w:type="dxa"/>
                    <w:bottom w:w="0" w:type="dxa"/>
                    <w:right w:w="0" w:type="dxa"/>
                  </w:tcMar>
                  <w:vAlign w:val="center"/>
                </w:tcPr>
                <w:p w14:paraId="742ED196">
                  <w:pPr>
                    <w:pStyle w:val="55"/>
                    <w:widowControl w:val="0"/>
                    <w:rPr>
                      <w:rFonts w:hint="default"/>
                      <w:b w:val="0"/>
                      <w:bCs w:val="0"/>
                      <w:color w:val="auto"/>
                      <w:kern w:val="2"/>
                      <w:sz w:val="21"/>
                      <w:szCs w:val="21"/>
                      <w:lang w:val="en-US" w:eastAsia="zh-CN"/>
                    </w:rPr>
                  </w:pPr>
                  <w:r>
                    <w:rPr>
                      <w:rFonts w:hint="eastAsia"/>
                      <w:b w:val="0"/>
                      <w:bCs w:val="0"/>
                      <w:color w:val="auto"/>
                      <w:kern w:val="2"/>
                      <w:sz w:val="21"/>
                      <w:szCs w:val="21"/>
                      <w:lang w:val="en-US" w:eastAsia="zh-CN"/>
                    </w:rPr>
                    <w:t>破塘坝</w:t>
                  </w:r>
                </w:p>
              </w:tc>
              <w:tc>
                <w:tcPr>
                  <w:tcW w:w="449" w:type="pct"/>
                  <w:tcBorders>
                    <w:tl2br w:val="nil"/>
                    <w:tr2bl w:val="nil"/>
                  </w:tcBorders>
                  <w:tcMar>
                    <w:top w:w="0" w:type="dxa"/>
                    <w:left w:w="0" w:type="dxa"/>
                    <w:bottom w:w="0" w:type="dxa"/>
                    <w:right w:w="0" w:type="dxa"/>
                  </w:tcMar>
                  <w:vAlign w:val="center"/>
                </w:tcPr>
                <w:p w14:paraId="3ACD5CDC">
                  <w:pPr>
                    <w:pStyle w:val="55"/>
                    <w:widowControl w:val="0"/>
                    <w:rPr>
                      <w:rFonts w:hint="default"/>
                      <w:b w:val="0"/>
                      <w:bCs w:val="0"/>
                      <w:color w:val="auto"/>
                      <w:sz w:val="21"/>
                      <w:szCs w:val="21"/>
                      <w:lang w:val="en-US" w:eastAsia="zh-CN"/>
                    </w:rPr>
                  </w:pPr>
                  <w:r>
                    <w:rPr>
                      <w:rFonts w:hint="eastAsia"/>
                      <w:b w:val="0"/>
                      <w:bCs w:val="0"/>
                      <w:color w:val="auto"/>
                      <w:sz w:val="21"/>
                      <w:szCs w:val="21"/>
                      <w:lang w:val="en-US" w:eastAsia="zh-CN"/>
                    </w:rPr>
                    <w:t>居民</w:t>
                  </w:r>
                </w:p>
              </w:tc>
              <w:tc>
                <w:tcPr>
                  <w:tcW w:w="1288" w:type="pct"/>
                  <w:vMerge w:val="continue"/>
                  <w:tcBorders>
                    <w:tl2br w:val="nil"/>
                    <w:tr2bl w:val="nil"/>
                  </w:tcBorders>
                  <w:tcMar>
                    <w:top w:w="0" w:type="dxa"/>
                    <w:left w:w="0" w:type="dxa"/>
                    <w:bottom w:w="0" w:type="dxa"/>
                    <w:right w:w="0" w:type="dxa"/>
                  </w:tcMar>
                  <w:vAlign w:val="center"/>
                </w:tcPr>
                <w:p w14:paraId="37BE6928">
                  <w:pPr>
                    <w:adjustRightInd w:val="0"/>
                    <w:snapToGrid w:val="0"/>
                    <w:jc w:val="center"/>
                    <w:rPr>
                      <w:b w:val="0"/>
                      <w:bCs w:val="0"/>
                      <w:color w:val="auto"/>
                    </w:rPr>
                  </w:pPr>
                </w:p>
              </w:tc>
              <w:tc>
                <w:tcPr>
                  <w:tcW w:w="415" w:type="pct"/>
                  <w:tcBorders>
                    <w:tl2br w:val="nil"/>
                    <w:tr2bl w:val="nil"/>
                  </w:tcBorders>
                  <w:tcMar>
                    <w:top w:w="0" w:type="dxa"/>
                    <w:left w:w="0" w:type="dxa"/>
                    <w:bottom w:w="0" w:type="dxa"/>
                    <w:right w:w="0" w:type="dxa"/>
                  </w:tcMar>
                  <w:vAlign w:val="center"/>
                </w:tcPr>
                <w:p w14:paraId="08B2BAC7">
                  <w:pPr>
                    <w:pStyle w:val="698"/>
                    <w:rPr>
                      <w:rFonts w:hint="default" w:eastAsia="宋体"/>
                      <w:b w:val="0"/>
                      <w:bCs w:val="0"/>
                      <w:color w:val="auto"/>
                      <w:lang w:val="en-US" w:eastAsia="zh-CN"/>
                    </w:rPr>
                  </w:pPr>
                  <w:r>
                    <w:rPr>
                      <w:rFonts w:hint="eastAsia" w:eastAsia="宋体"/>
                      <w:b w:val="0"/>
                      <w:bCs w:val="0"/>
                      <w:color w:val="auto"/>
                      <w:lang w:val="en-US" w:eastAsia="zh-CN"/>
                    </w:rPr>
                    <w:t>东北</w:t>
                  </w:r>
                </w:p>
              </w:tc>
              <w:tc>
                <w:tcPr>
                  <w:tcW w:w="423" w:type="pct"/>
                  <w:tcBorders>
                    <w:tl2br w:val="nil"/>
                    <w:tr2bl w:val="nil"/>
                  </w:tcBorders>
                  <w:tcMar>
                    <w:top w:w="0" w:type="dxa"/>
                    <w:left w:w="0" w:type="dxa"/>
                    <w:bottom w:w="0" w:type="dxa"/>
                    <w:right w:w="0" w:type="dxa"/>
                  </w:tcMar>
                  <w:vAlign w:val="center"/>
                </w:tcPr>
                <w:p w14:paraId="15ADDCD0">
                  <w:pPr>
                    <w:pStyle w:val="55"/>
                    <w:widowControl w:val="0"/>
                    <w:rPr>
                      <w:rFonts w:hint="default"/>
                      <w:b w:val="0"/>
                      <w:bCs w:val="0"/>
                      <w:color w:val="auto"/>
                      <w:sz w:val="21"/>
                      <w:szCs w:val="21"/>
                      <w:lang w:val="en-US" w:eastAsia="zh-CN"/>
                    </w:rPr>
                  </w:pPr>
                  <w:r>
                    <w:rPr>
                      <w:rFonts w:hint="eastAsia"/>
                      <w:b w:val="0"/>
                      <w:bCs w:val="0"/>
                      <w:color w:val="auto"/>
                      <w:sz w:val="21"/>
                      <w:szCs w:val="21"/>
                      <w:lang w:val="en-US" w:eastAsia="zh-CN"/>
                    </w:rPr>
                    <w:t>248</w:t>
                  </w:r>
                </w:p>
              </w:tc>
            </w:tr>
            <w:tr w14:paraId="3A84FB4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66" w:hRule="atLeast"/>
                <w:jc w:val="center"/>
              </w:trPr>
              <w:tc>
                <w:tcPr>
                  <w:tcW w:w="411" w:type="pct"/>
                  <w:tcBorders>
                    <w:tl2br w:val="nil"/>
                    <w:tr2bl w:val="nil"/>
                  </w:tcBorders>
                  <w:tcMar>
                    <w:top w:w="0" w:type="dxa"/>
                    <w:left w:w="0" w:type="dxa"/>
                    <w:bottom w:w="0" w:type="dxa"/>
                    <w:right w:w="0" w:type="dxa"/>
                  </w:tcMar>
                  <w:vAlign w:val="center"/>
                </w:tcPr>
                <w:p w14:paraId="3A84FB3B">
                  <w:pPr>
                    <w:adjustRightInd w:val="0"/>
                    <w:snapToGrid w:val="0"/>
                    <w:jc w:val="center"/>
                    <w:rPr>
                      <w:color w:val="auto"/>
                    </w:rPr>
                  </w:pPr>
                  <w:r>
                    <w:rPr>
                      <w:color w:val="auto"/>
                    </w:rPr>
                    <w:t>地表水环境</w:t>
                  </w:r>
                </w:p>
              </w:tc>
              <w:tc>
                <w:tcPr>
                  <w:tcW w:w="698" w:type="pct"/>
                  <w:tcBorders>
                    <w:tl2br w:val="nil"/>
                    <w:tr2bl w:val="nil"/>
                  </w:tcBorders>
                  <w:tcMar>
                    <w:top w:w="0" w:type="dxa"/>
                    <w:left w:w="0" w:type="dxa"/>
                    <w:bottom w:w="0" w:type="dxa"/>
                    <w:right w:w="0" w:type="dxa"/>
                  </w:tcMar>
                  <w:vAlign w:val="center"/>
                </w:tcPr>
                <w:p w14:paraId="3A84FB3C">
                  <w:pPr>
                    <w:spacing w:line="240" w:lineRule="exact"/>
                    <w:jc w:val="center"/>
                    <w:rPr>
                      <w:color w:val="auto"/>
                    </w:rPr>
                  </w:pPr>
                  <w:r>
                    <w:rPr>
                      <w:rFonts w:hint="eastAsia"/>
                      <w:color w:val="auto"/>
                    </w:rPr>
                    <w:t>119.36361194</w:t>
                  </w:r>
                </w:p>
              </w:tc>
              <w:tc>
                <w:tcPr>
                  <w:tcW w:w="643" w:type="pct"/>
                  <w:tcBorders>
                    <w:tl2br w:val="nil"/>
                    <w:tr2bl w:val="nil"/>
                  </w:tcBorders>
                  <w:tcMar>
                    <w:top w:w="0" w:type="dxa"/>
                    <w:left w:w="0" w:type="dxa"/>
                    <w:bottom w:w="0" w:type="dxa"/>
                    <w:right w:w="0" w:type="dxa"/>
                  </w:tcMar>
                  <w:vAlign w:val="center"/>
                </w:tcPr>
                <w:p w14:paraId="3A84FB3D">
                  <w:pPr>
                    <w:spacing w:line="240" w:lineRule="exact"/>
                    <w:jc w:val="center"/>
                    <w:rPr>
                      <w:color w:val="auto"/>
                    </w:rPr>
                  </w:pPr>
                  <w:r>
                    <w:rPr>
                      <w:rFonts w:hint="eastAsia"/>
                      <w:color w:val="auto"/>
                    </w:rPr>
                    <w:t>31.71846630</w:t>
                  </w:r>
                </w:p>
              </w:tc>
              <w:tc>
                <w:tcPr>
                  <w:tcW w:w="671" w:type="pct"/>
                  <w:tcBorders>
                    <w:tl2br w:val="nil"/>
                    <w:tr2bl w:val="nil"/>
                  </w:tcBorders>
                  <w:tcMar>
                    <w:top w:w="0" w:type="dxa"/>
                    <w:left w:w="0" w:type="dxa"/>
                    <w:bottom w:w="0" w:type="dxa"/>
                    <w:right w:w="0" w:type="dxa"/>
                  </w:tcMar>
                  <w:vAlign w:val="center"/>
                </w:tcPr>
                <w:p w14:paraId="3A84FB3E">
                  <w:pPr>
                    <w:spacing w:line="240" w:lineRule="exact"/>
                    <w:jc w:val="center"/>
                    <w:rPr>
                      <w:color w:val="auto"/>
                    </w:rPr>
                  </w:pPr>
                  <w:r>
                    <w:rPr>
                      <w:rFonts w:hint="eastAsia"/>
                      <w:color w:val="auto"/>
                    </w:rPr>
                    <w:t>薛埠河</w:t>
                  </w:r>
                </w:p>
              </w:tc>
              <w:tc>
                <w:tcPr>
                  <w:tcW w:w="449" w:type="pct"/>
                  <w:tcBorders>
                    <w:tl2br w:val="nil"/>
                    <w:tr2bl w:val="nil"/>
                  </w:tcBorders>
                  <w:tcMar>
                    <w:top w:w="0" w:type="dxa"/>
                    <w:left w:w="0" w:type="dxa"/>
                    <w:bottom w:w="0" w:type="dxa"/>
                    <w:right w:w="0" w:type="dxa"/>
                  </w:tcMar>
                  <w:vAlign w:val="center"/>
                </w:tcPr>
                <w:p w14:paraId="3A84FB3F">
                  <w:pPr>
                    <w:adjustRightInd w:val="0"/>
                    <w:snapToGrid w:val="0"/>
                    <w:jc w:val="center"/>
                    <w:rPr>
                      <w:color w:val="auto"/>
                    </w:rPr>
                  </w:pPr>
                  <w:r>
                    <w:rPr>
                      <w:rFonts w:hint="eastAsia"/>
                      <w:color w:val="auto"/>
                    </w:rPr>
                    <w:t>河流</w:t>
                  </w:r>
                </w:p>
              </w:tc>
              <w:tc>
                <w:tcPr>
                  <w:tcW w:w="1288" w:type="pct"/>
                  <w:tcBorders>
                    <w:tl2br w:val="nil"/>
                    <w:tr2bl w:val="nil"/>
                  </w:tcBorders>
                  <w:tcMar>
                    <w:top w:w="0" w:type="dxa"/>
                    <w:left w:w="0" w:type="dxa"/>
                    <w:bottom w:w="0" w:type="dxa"/>
                    <w:right w:w="0" w:type="dxa"/>
                  </w:tcMar>
                  <w:vAlign w:val="center"/>
                </w:tcPr>
                <w:p w14:paraId="3A84FB40">
                  <w:pPr>
                    <w:adjustRightInd w:val="0"/>
                    <w:snapToGrid w:val="0"/>
                    <w:jc w:val="center"/>
                    <w:rPr>
                      <w:color w:val="auto"/>
                    </w:rPr>
                  </w:pPr>
                  <w:r>
                    <w:rPr>
                      <w:color w:val="auto"/>
                    </w:rPr>
                    <w:t>《地表水环境质量标准》（GB3838-2002）</w:t>
                  </w:r>
                  <w:r>
                    <w:rPr>
                      <w:rFonts w:hint="eastAsia"/>
                      <w:color w:val="auto"/>
                    </w:rPr>
                    <w:t>III</w:t>
                  </w:r>
                  <w:r>
                    <w:rPr>
                      <w:color w:val="auto"/>
                    </w:rPr>
                    <w:t>类区</w:t>
                  </w:r>
                </w:p>
              </w:tc>
              <w:tc>
                <w:tcPr>
                  <w:tcW w:w="415" w:type="pct"/>
                  <w:tcBorders>
                    <w:tl2br w:val="nil"/>
                    <w:tr2bl w:val="nil"/>
                  </w:tcBorders>
                  <w:tcMar>
                    <w:top w:w="0" w:type="dxa"/>
                    <w:left w:w="0" w:type="dxa"/>
                    <w:bottom w:w="0" w:type="dxa"/>
                    <w:right w:w="0" w:type="dxa"/>
                  </w:tcMar>
                  <w:vAlign w:val="center"/>
                </w:tcPr>
                <w:p w14:paraId="3A84FB41">
                  <w:pPr>
                    <w:spacing w:line="240" w:lineRule="exact"/>
                    <w:jc w:val="center"/>
                    <w:rPr>
                      <w:rFonts w:hint="eastAsia" w:eastAsia="宋体"/>
                      <w:color w:val="auto"/>
                      <w:lang w:eastAsia="zh-CN"/>
                    </w:rPr>
                  </w:pPr>
                  <w:r>
                    <w:rPr>
                      <w:rFonts w:hint="eastAsia"/>
                      <w:color w:val="auto"/>
                      <w:lang w:val="en-US" w:eastAsia="zh-CN"/>
                    </w:rPr>
                    <w:t>东北</w:t>
                  </w:r>
                </w:p>
              </w:tc>
              <w:tc>
                <w:tcPr>
                  <w:tcW w:w="423" w:type="pct"/>
                  <w:tcBorders>
                    <w:tl2br w:val="nil"/>
                    <w:tr2bl w:val="nil"/>
                  </w:tcBorders>
                  <w:tcMar>
                    <w:top w:w="0" w:type="dxa"/>
                    <w:left w:w="0" w:type="dxa"/>
                    <w:bottom w:w="0" w:type="dxa"/>
                    <w:right w:w="0" w:type="dxa"/>
                  </w:tcMar>
                  <w:vAlign w:val="center"/>
                </w:tcPr>
                <w:p w14:paraId="3A84FB42">
                  <w:pPr>
                    <w:spacing w:line="240" w:lineRule="exact"/>
                    <w:jc w:val="center"/>
                    <w:rPr>
                      <w:rFonts w:hint="default" w:eastAsia="宋体"/>
                      <w:color w:val="auto"/>
                      <w:lang w:val="en-US" w:eastAsia="zh-CN"/>
                    </w:rPr>
                  </w:pPr>
                  <w:r>
                    <w:rPr>
                      <w:rFonts w:hint="eastAsia"/>
                      <w:color w:val="auto"/>
                      <w:lang w:val="en-US" w:eastAsia="zh-CN"/>
                    </w:rPr>
                    <w:t>2600</w:t>
                  </w:r>
                </w:p>
              </w:tc>
            </w:tr>
            <w:tr w14:paraId="3A84FB4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11" w:type="pct"/>
                  <w:tcBorders>
                    <w:tl2br w:val="nil"/>
                    <w:tr2bl w:val="nil"/>
                  </w:tcBorders>
                  <w:tcMar>
                    <w:top w:w="0" w:type="dxa"/>
                    <w:left w:w="0" w:type="dxa"/>
                    <w:bottom w:w="0" w:type="dxa"/>
                    <w:right w:w="0" w:type="dxa"/>
                  </w:tcMar>
                  <w:vAlign w:val="center"/>
                </w:tcPr>
                <w:p w14:paraId="3A84FB44">
                  <w:pPr>
                    <w:adjustRightInd w:val="0"/>
                    <w:snapToGrid w:val="0"/>
                    <w:jc w:val="center"/>
                    <w:rPr>
                      <w:color w:val="auto"/>
                    </w:rPr>
                  </w:pPr>
                  <w:r>
                    <w:rPr>
                      <w:color w:val="auto"/>
                    </w:rPr>
                    <w:t>声环境</w:t>
                  </w:r>
                </w:p>
              </w:tc>
              <w:tc>
                <w:tcPr>
                  <w:tcW w:w="698" w:type="pct"/>
                  <w:tcBorders>
                    <w:tl2br w:val="nil"/>
                    <w:tr2bl w:val="nil"/>
                  </w:tcBorders>
                  <w:tcMar>
                    <w:top w:w="0" w:type="dxa"/>
                    <w:left w:w="0" w:type="dxa"/>
                    <w:bottom w:w="0" w:type="dxa"/>
                    <w:right w:w="0" w:type="dxa"/>
                  </w:tcMar>
                  <w:vAlign w:val="center"/>
                </w:tcPr>
                <w:p w14:paraId="3A84FB45">
                  <w:pPr>
                    <w:adjustRightInd w:val="0"/>
                    <w:snapToGrid w:val="0"/>
                    <w:jc w:val="center"/>
                    <w:rPr>
                      <w:color w:val="auto"/>
                    </w:rPr>
                  </w:pPr>
                  <w:r>
                    <w:rPr>
                      <w:color w:val="auto"/>
                    </w:rPr>
                    <w:t>/</w:t>
                  </w:r>
                </w:p>
              </w:tc>
              <w:tc>
                <w:tcPr>
                  <w:tcW w:w="643" w:type="pct"/>
                  <w:tcBorders>
                    <w:tl2br w:val="nil"/>
                    <w:tr2bl w:val="nil"/>
                  </w:tcBorders>
                  <w:tcMar>
                    <w:top w:w="0" w:type="dxa"/>
                    <w:left w:w="0" w:type="dxa"/>
                    <w:bottom w:w="0" w:type="dxa"/>
                    <w:right w:w="0" w:type="dxa"/>
                  </w:tcMar>
                  <w:vAlign w:val="center"/>
                </w:tcPr>
                <w:p w14:paraId="3A84FB46">
                  <w:pPr>
                    <w:adjustRightInd w:val="0"/>
                    <w:snapToGrid w:val="0"/>
                    <w:jc w:val="center"/>
                    <w:rPr>
                      <w:color w:val="auto"/>
                    </w:rPr>
                  </w:pPr>
                  <w:r>
                    <w:rPr>
                      <w:color w:val="auto"/>
                    </w:rPr>
                    <w:t>/</w:t>
                  </w:r>
                </w:p>
              </w:tc>
              <w:tc>
                <w:tcPr>
                  <w:tcW w:w="671" w:type="pct"/>
                  <w:tcBorders>
                    <w:tl2br w:val="nil"/>
                    <w:tr2bl w:val="nil"/>
                  </w:tcBorders>
                  <w:tcMar>
                    <w:top w:w="0" w:type="dxa"/>
                    <w:left w:w="0" w:type="dxa"/>
                    <w:bottom w:w="0" w:type="dxa"/>
                    <w:right w:w="0" w:type="dxa"/>
                  </w:tcMar>
                  <w:vAlign w:val="center"/>
                </w:tcPr>
                <w:p w14:paraId="3A84FB47">
                  <w:pPr>
                    <w:adjustRightInd w:val="0"/>
                    <w:snapToGrid w:val="0"/>
                    <w:jc w:val="center"/>
                    <w:rPr>
                      <w:color w:val="auto"/>
                    </w:rPr>
                  </w:pPr>
                  <w:r>
                    <w:rPr>
                      <w:color w:val="auto"/>
                    </w:rPr>
                    <w:t>厂界50m</w:t>
                  </w:r>
                </w:p>
              </w:tc>
              <w:tc>
                <w:tcPr>
                  <w:tcW w:w="449" w:type="pct"/>
                  <w:tcBorders>
                    <w:tl2br w:val="nil"/>
                    <w:tr2bl w:val="nil"/>
                  </w:tcBorders>
                  <w:tcMar>
                    <w:top w:w="0" w:type="dxa"/>
                    <w:left w:w="0" w:type="dxa"/>
                    <w:bottom w:w="0" w:type="dxa"/>
                    <w:right w:w="0" w:type="dxa"/>
                  </w:tcMar>
                  <w:vAlign w:val="center"/>
                </w:tcPr>
                <w:p w14:paraId="3A84FB48">
                  <w:pPr>
                    <w:adjustRightInd w:val="0"/>
                    <w:snapToGrid w:val="0"/>
                    <w:jc w:val="center"/>
                    <w:rPr>
                      <w:color w:val="auto"/>
                    </w:rPr>
                  </w:pPr>
                  <w:r>
                    <w:rPr>
                      <w:color w:val="auto"/>
                    </w:rPr>
                    <w:t>/</w:t>
                  </w:r>
                </w:p>
              </w:tc>
              <w:tc>
                <w:tcPr>
                  <w:tcW w:w="1288" w:type="pct"/>
                  <w:tcBorders>
                    <w:tl2br w:val="nil"/>
                    <w:tr2bl w:val="nil"/>
                  </w:tcBorders>
                  <w:tcMar>
                    <w:top w:w="0" w:type="dxa"/>
                    <w:left w:w="0" w:type="dxa"/>
                    <w:bottom w:w="0" w:type="dxa"/>
                    <w:right w:w="0" w:type="dxa"/>
                  </w:tcMar>
                  <w:vAlign w:val="center"/>
                </w:tcPr>
                <w:p w14:paraId="3A84FB49">
                  <w:pPr>
                    <w:adjustRightInd w:val="0"/>
                    <w:snapToGrid w:val="0"/>
                    <w:jc w:val="center"/>
                    <w:rPr>
                      <w:color w:val="auto"/>
                    </w:rPr>
                  </w:pPr>
                  <w:r>
                    <w:rPr>
                      <w:color w:val="auto"/>
                    </w:rPr>
                    <w:t>《声环境质量标准》（GB 3096-2008）</w:t>
                  </w:r>
                  <w:r>
                    <w:rPr>
                      <w:rFonts w:hint="eastAsia"/>
                      <w:color w:val="auto"/>
                      <w:lang w:eastAsia="zh-CN"/>
                    </w:rPr>
                    <w:t>2类</w:t>
                  </w:r>
                  <w:r>
                    <w:rPr>
                      <w:color w:val="auto"/>
                    </w:rPr>
                    <w:t>区</w:t>
                  </w:r>
                </w:p>
              </w:tc>
              <w:tc>
                <w:tcPr>
                  <w:tcW w:w="415" w:type="pct"/>
                  <w:tcBorders>
                    <w:tl2br w:val="nil"/>
                    <w:tr2bl w:val="nil"/>
                  </w:tcBorders>
                  <w:tcMar>
                    <w:top w:w="0" w:type="dxa"/>
                    <w:left w:w="0" w:type="dxa"/>
                    <w:bottom w:w="0" w:type="dxa"/>
                    <w:right w:w="0" w:type="dxa"/>
                  </w:tcMar>
                  <w:vAlign w:val="center"/>
                </w:tcPr>
                <w:p w14:paraId="3A84FB4A">
                  <w:pPr>
                    <w:adjustRightInd w:val="0"/>
                    <w:snapToGrid w:val="0"/>
                    <w:jc w:val="center"/>
                    <w:rPr>
                      <w:color w:val="auto"/>
                    </w:rPr>
                  </w:pPr>
                  <w:r>
                    <w:rPr>
                      <w:color w:val="auto"/>
                    </w:rPr>
                    <w:t>/</w:t>
                  </w:r>
                </w:p>
              </w:tc>
              <w:tc>
                <w:tcPr>
                  <w:tcW w:w="423" w:type="pct"/>
                  <w:tcBorders>
                    <w:tl2br w:val="nil"/>
                    <w:tr2bl w:val="nil"/>
                  </w:tcBorders>
                  <w:tcMar>
                    <w:top w:w="0" w:type="dxa"/>
                    <w:left w:w="0" w:type="dxa"/>
                    <w:bottom w:w="0" w:type="dxa"/>
                    <w:right w:w="0" w:type="dxa"/>
                  </w:tcMar>
                  <w:vAlign w:val="center"/>
                </w:tcPr>
                <w:p w14:paraId="3A84FB4B">
                  <w:pPr>
                    <w:adjustRightInd w:val="0"/>
                    <w:snapToGrid w:val="0"/>
                    <w:jc w:val="center"/>
                    <w:rPr>
                      <w:color w:val="auto"/>
                    </w:rPr>
                  </w:pPr>
                  <w:r>
                    <w:rPr>
                      <w:color w:val="auto"/>
                    </w:rPr>
                    <w:t>/</w:t>
                  </w:r>
                </w:p>
              </w:tc>
            </w:tr>
            <w:tr w14:paraId="3A84FB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11" w:type="pct"/>
                  <w:tcBorders>
                    <w:tl2br w:val="nil"/>
                    <w:tr2bl w:val="nil"/>
                  </w:tcBorders>
                  <w:tcMar>
                    <w:top w:w="0" w:type="dxa"/>
                    <w:left w:w="0" w:type="dxa"/>
                    <w:bottom w:w="0" w:type="dxa"/>
                    <w:right w:w="0" w:type="dxa"/>
                  </w:tcMar>
                  <w:vAlign w:val="center"/>
                </w:tcPr>
                <w:p w14:paraId="3A84FB56">
                  <w:pPr>
                    <w:adjustRightInd w:val="0"/>
                    <w:snapToGrid w:val="0"/>
                    <w:jc w:val="center"/>
                    <w:rPr>
                      <w:color w:val="auto"/>
                    </w:rPr>
                  </w:pPr>
                  <w:r>
                    <w:rPr>
                      <w:color w:val="auto"/>
                    </w:rPr>
                    <w:t>生态环境</w:t>
                  </w:r>
                </w:p>
              </w:tc>
              <w:tc>
                <w:tcPr>
                  <w:tcW w:w="698" w:type="pct"/>
                  <w:tcBorders>
                    <w:tl2br w:val="nil"/>
                    <w:tr2bl w:val="nil"/>
                  </w:tcBorders>
                  <w:tcMar>
                    <w:top w:w="0" w:type="dxa"/>
                    <w:left w:w="0" w:type="dxa"/>
                    <w:bottom w:w="0" w:type="dxa"/>
                    <w:right w:w="0" w:type="dxa"/>
                  </w:tcMar>
                  <w:vAlign w:val="center"/>
                </w:tcPr>
                <w:p w14:paraId="3A84FB57">
                  <w:pPr>
                    <w:adjustRightInd w:val="0"/>
                    <w:snapToGrid w:val="0"/>
                    <w:jc w:val="center"/>
                    <w:rPr>
                      <w:color w:val="auto"/>
                    </w:rPr>
                  </w:pPr>
                  <w:r>
                    <w:rPr>
                      <w:rFonts w:hint="eastAsia"/>
                      <w:color w:val="auto"/>
                    </w:rPr>
                    <w:t>119.51949120</w:t>
                  </w:r>
                </w:p>
              </w:tc>
              <w:tc>
                <w:tcPr>
                  <w:tcW w:w="643" w:type="pct"/>
                  <w:tcBorders>
                    <w:tl2br w:val="nil"/>
                    <w:tr2bl w:val="nil"/>
                  </w:tcBorders>
                  <w:tcMar>
                    <w:top w:w="0" w:type="dxa"/>
                    <w:left w:w="0" w:type="dxa"/>
                    <w:bottom w:w="0" w:type="dxa"/>
                    <w:right w:w="0" w:type="dxa"/>
                  </w:tcMar>
                  <w:vAlign w:val="center"/>
                </w:tcPr>
                <w:p w14:paraId="3A84FB58">
                  <w:pPr>
                    <w:adjustRightInd w:val="0"/>
                    <w:snapToGrid w:val="0"/>
                    <w:jc w:val="center"/>
                    <w:rPr>
                      <w:color w:val="auto"/>
                    </w:rPr>
                  </w:pPr>
                  <w:r>
                    <w:rPr>
                      <w:rFonts w:hint="eastAsia"/>
                      <w:color w:val="auto"/>
                    </w:rPr>
                    <w:t>31.64435776</w:t>
                  </w:r>
                </w:p>
              </w:tc>
              <w:tc>
                <w:tcPr>
                  <w:tcW w:w="671" w:type="pct"/>
                  <w:tcBorders>
                    <w:tl2br w:val="nil"/>
                    <w:tr2bl w:val="nil"/>
                  </w:tcBorders>
                  <w:tcMar>
                    <w:top w:w="0" w:type="dxa"/>
                    <w:left w:w="0" w:type="dxa"/>
                    <w:bottom w:w="0" w:type="dxa"/>
                    <w:right w:w="0" w:type="dxa"/>
                  </w:tcMar>
                  <w:vAlign w:val="center"/>
                </w:tcPr>
                <w:p w14:paraId="3A84FB59">
                  <w:pPr>
                    <w:spacing w:line="240" w:lineRule="exact"/>
                    <w:jc w:val="center"/>
                    <w:rPr>
                      <w:color w:val="auto"/>
                    </w:rPr>
                  </w:pPr>
                  <w:r>
                    <w:rPr>
                      <w:color w:val="auto"/>
                    </w:rPr>
                    <w:t>长荡湖</w:t>
                  </w:r>
                </w:p>
              </w:tc>
              <w:tc>
                <w:tcPr>
                  <w:tcW w:w="449" w:type="pct"/>
                  <w:tcBorders>
                    <w:tl2br w:val="nil"/>
                    <w:tr2bl w:val="nil"/>
                  </w:tcBorders>
                  <w:tcMar>
                    <w:top w:w="0" w:type="dxa"/>
                    <w:left w:w="0" w:type="dxa"/>
                    <w:bottom w:w="0" w:type="dxa"/>
                    <w:right w:w="0" w:type="dxa"/>
                  </w:tcMar>
                  <w:vAlign w:val="center"/>
                </w:tcPr>
                <w:p w14:paraId="3A84FB5A">
                  <w:pPr>
                    <w:spacing w:line="240" w:lineRule="exact"/>
                    <w:jc w:val="center"/>
                    <w:rPr>
                      <w:color w:val="auto"/>
                    </w:rPr>
                  </w:pPr>
                  <w:r>
                    <w:rPr>
                      <w:rFonts w:hint="eastAsia"/>
                      <w:color w:val="auto"/>
                    </w:rPr>
                    <w:t>重要湖泊湿地</w:t>
                  </w:r>
                </w:p>
              </w:tc>
              <w:tc>
                <w:tcPr>
                  <w:tcW w:w="1288" w:type="pct"/>
                  <w:tcBorders>
                    <w:tl2br w:val="nil"/>
                    <w:tr2bl w:val="nil"/>
                  </w:tcBorders>
                  <w:tcMar>
                    <w:top w:w="0" w:type="dxa"/>
                    <w:left w:w="0" w:type="dxa"/>
                    <w:bottom w:w="0" w:type="dxa"/>
                    <w:right w:w="0" w:type="dxa"/>
                  </w:tcMar>
                  <w:vAlign w:val="center"/>
                </w:tcPr>
                <w:p w14:paraId="3A84FB5B">
                  <w:pPr>
                    <w:adjustRightInd w:val="0"/>
                    <w:snapToGrid w:val="0"/>
                    <w:jc w:val="center"/>
                    <w:rPr>
                      <w:color w:val="auto"/>
                    </w:rPr>
                  </w:pPr>
                  <w:r>
                    <w:rPr>
                      <w:color w:val="auto"/>
                    </w:rPr>
                    <w:t>《江苏省生态空间管控区域规划》</w:t>
                  </w:r>
                </w:p>
              </w:tc>
              <w:tc>
                <w:tcPr>
                  <w:tcW w:w="415" w:type="pct"/>
                  <w:tcBorders>
                    <w:tl2br w:val="nil"/>
                    <w:tr2bl w:val="nil"/>
                  </w:tcBorders>
                  <w:tcMar>
                    <w:top w:w="0" w:type="dxa"/>
                    <w:left w:w="0" w:type="dxa"/>
                    <w:bottom w:w="0" w:type="dxa"/>
                    <w:right w:w="0" w:type="dxa"/>
                  </w:tcMar>
                  <w:vAlign w:val="center"/>
                </w:tcPr>
                <w:p w14:paraId="3A84FB5C">
                  <w:pPr>
                    <w:adjustRightInd w:val="0"/>
                    <w:snapToGrid w:val="0"/>
                    <w:jc w:val="center"/>
                    <w:rPr>
                      <w:rFonts w:hint="eastAsia" w:eastAsia="宋体"/>
                      <w:color w:val="auto"/>
                      <w:lang w:eastAsia="zh-CN"/>
                    </w:rPr>
                  </w:pPr>
                  <w:r>
                    <w:rPr>
                      <w:rFonts w:hint="eastAsia"/>
                      <w:color w:val="auto"/>
                      <w:lang w:val="en-US" w:eastAsia="zh-CN"/>
                    </w:rPr>
                    <w:t>东南</w:t>
                  </w:r>
                </w:p>
              </w:tc>
              <w:tc>
                <w:tcPr>
                  <w:tcW w:w="423" w:type="pct"/>
                  <w:tcBorders>
                    <w:tl2br w:val="nil"/>
                    <w:tr2bl w:val="nil"/>
                  </w:tcBorders>
                  <w:tcMar>
                    <w:top w:w="0" w:type="dxa"/>
                    <w:left w:w="0" w:type="dxa"/>
                    <w:bottom w:w="0" w:type="dxa"/>
                    <w:right w:w="0" w:type="dxa"/>
                  </w:tcMar>
                  <w:vAlign w:val="center"/>
                </w:tcPr>
                <w:p w14:paraId="3A84FB5D">
                  <w:pPr>
                    <w:adjustRightInd w:val="0"/>
                    <w:snapToGrid w:val="0"/>
                    <w:jc w:val="center"/>
                    <w:rPr>
                      <w:rFonts w:hint="default" w:eastAsia="宋体"/>
                      <w:color w:val="auto"/>
                      <w:lang w:val="en-US" w:eastAsia="zh-CN"/>
                    </w:rPr>
                  </w:pPr>
                  <w:r>
                    <w:rPr>
                      <w:rFonts w:hint="eastAsia"/>
                      <w:color w:val="auto"/>
                      <w:lang w:val="en-US" w:eastAsia="zh-CN"/>
                    </w:rPr>
                    <w:t>17200</w:t>
                  </w:r>
                </w:p>
              </w:tc>
            </w:tr>
            <w:tr w14:paraId="3A84FB6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11" w:type="pct"/>
                  <w:tcBorders>
                    <w:tl2br w:val="nil"/>
                    <w:tr2bl w:val="nil"/>
                  </w:tcBorders>
                  <w:tcMar>
                    <w:top w:w="0" w:type="dxa"/>
                    <w:left w:w="0" w:type="dxa"/>
                    <w:bottom w:w="0" w:type="dxa"/>
                    <w:right w:w="0" w:type="dxa"/>
                  </w:tcMar>
                  <w:vAlign w:val="center"/>
                </w:tcPr>
                <w:p w14:paraId="3A84FB5F">
                  <w:pPr>
                    <w:adjustRightInd w:val="0"/>
                    <w:snapToGrid w:val="0"/>
                    <w:jc w:val="center"/>
                    <w:rPr>
                      <w:color w:val="auto"/>
                    </w:rPr>
                  </w:pPr>
                  <w:r>
                    <w:rPr>
                      <w:color w:val="auto"/>
                    </w:rPr>
                    <w:t>地下水</w:t>
                  </w:r>
                </w:p>
              </w:tc>
              <w:tc>
                <w:tcPr>
                  <w:tcW w:w="2462" w:type="pct"/>
                  <w:gridSpan w:val="4"/>
                  <w:tcBorders>
                    <w:tl2br w:val="nil"/>
                    <w:tr2bl w:val="nil"/>
                  </w:tcBorders>
                  <w:tcMar>
                    <w:top w:w="0" w:type="dxa"/>
                    <w:left w:w="0" w:type="dxa"/>
                    <w:bottom w:w="0" w:type="dxa"/>
                    <w:right w:w="0" w:type="dxa"/>
                  </w:tcMar>
                  <w:vAlign w:val="center"/>
                </w:tcPr>
                <w:p w14:paraId="3A84FB60">
                  <w:pPr>
                    <w:adjustRightInd w:val="0"/>
                    <w:snapToGrid w:val="0"/>
                    <w:jc w:val="center"/>
                    <w:rPr>
                      <w:color w:val="auto"/>
                    </w:rPr>
                  </w:pPr>
                  <w:r>
                    <w:rPr>
                      <w:color w:val="auto"/>
                    </w:rPr>
                    <w:t>项目所在区域500m范围</w:t>
                  </w:r>
                </w:p>
              </w:tc>
              <w:tc>
                <w:tcPr>
                  <w:tcW w:w="2126" w:type="pct"/>
                  <w:gridSpan w:val="3"/>
                  <w:tcBorders>
                    <w:tl2br w:val="nil"/>
                    <w:tr2bl w:val="nil"/>
                  </w:tcBorders>
                  <w:tcMar>
                    <w:top w:w="0" w:type="dxa"/>
                    <w:left w:w="0" w:type="dxa"/>
                    <w:bottom w:w="0" w:type="dxa"/>
                    <w:right w:w="0" w:type="dxa"/>
                  </w:tcMar>
                  <w:vAlign w:val="center"/>
                </w:tcPr>
                <w:p w14:paraId="3A84FB61">
                  <w:pPr>
                    <w:adjustRightInd w:val="0"/>
                    <w:snapToGrid w:val="0"/>
                    <w:jc w:val="center"/>
                    <w:rPr>
                      <w:color w:val="auto"/>
                    </w:rPr>
                  </w:pPr>
                  <w:r>
                    <w:rPr>
                      <w:color w:val="auto"/>
                    </w:rPr>
                    <w:t>本项目厂界外500米范围内无地下水集中式饮用水水源等特殊地下水资源</w:t>
                  </w:r>
                </w:p>
              </w:tc>
            </w:tr>
            <w:tr w14:paraId="3A84FB6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000" w:type="pct"/>
                  <w:gridSpan w:val="8"/>
                  <w:tcBorders>
                    <w:tl2br w:val="nil"/>
                    <w:tr2bl w:val="nil"/>
                  </w:tcBorders>
                  <w:tcMar>
                    <w:top w:w="0" w:type="dxa"/>
                    <w:left w:w="0" w:type="dxa"/>
                    <w:bottom w:w="0" w:type="dxa"/>
                    <w:right w:w="0" w:type="dxa"/>
                  </w:tcMar>
                  <w:vAlign w:val="center"/>
                </w:tcPr>
                <w:p w14:paraId="3A84FB63">
                  <w:pPr>
                    <w:adjustRightInd w:val="0"/>
                    <w:snapToGrid w:val="0"/>
                    <w:jc w:val="left"/>
                    <w:rPr>
                      <w:color w:val="auto"/>
                    </w:rPr>
                  </w:pPr>
                  <w:r>
                    <w:rPr>
                      <w:rFonts w:hint="eastAsia"/>
                      <w:b/>
                      <w:bCs/>
                      <w:color w:val="auto"/>
                    </w:rPr>
                    <w:t>注：项目距离国控站点（金坛城区）直线距离约</w:t>
                  </w:r>
                  <w:r>
                    <w:rPr>
                      <w:rFonts w:hint="eastAsia"/>
                      <w:b/>
                      <w:bCs/>
                      <w:color w:val="auto"/>
                      <w:lang w:val="en-US" w:eastAsia="zh-CN"/>
                    </w:rPr>
                    <w:t>22.8</w:t>
                  </w:r>
                  <w:r>
                    <w:rPr>
                      <w:rFonts w:hint="eastAsia"/>
                      <w:b/>
                      <w:bCs/>
                      <w:color w:val="auto"/>
                    </w:rPr>
                    <w:t>km，距离省控站点（金坛监测站）</w:t>
                  </w:r>
                  <w:r>
                    <w:rPr>
                      <w:rFonts w:hint="eastAsia"/>
                      <w:b/>
                      <w:bCs/>
                      <w:color w:val="auto"/>
                      <w:lang w:val="en-US" w:eastAsia="zh-CN"/>
                    </w:rPr>
                    <w:t>23</w:t>
                  </w:r>
                  <w:r>
                    <w:rPr>
                      <w:rFonts w:hint="eastAsia"/>
                      <w:b/>
                      <w:bCs/>
                      <w:color w:val="auto"/>
                    </w:rPr>
                    <w:t>km，不在常州市空气质量监测国控、省控站点位置。</w:t>
                  </w:r>
                </w:p>
              </w:tc>
            </w:tr>
          </w:tbl>
          <w:p w14:paraId="3A84FB65">
            <w:pPr>
              <w:adjustRightInd w:val="0"/>
              <w:snapToGrid w:val="0"/>
              <w:spacing w:line="360" w:lineRule="auto"/>
              <w:rPr>
                <w:bCs/>
                <w:color w:val="auto"/>
              </w:rPr>
            </w:pPr>
          </w:p>
        </w:tc>
      </w:tr>
      <w:tr w14:paraId="3A84FC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63" w:hRule="atLeast"/>
          <w:jc w:val="center"/>
        </w:trPr>
        <w:tc>
          <w:tcPr>
            <w:tcW w:w="456" w:type="dxa"/>
            <w:tcMar>
              <w:left w:w="28" w:type="dxa"/>
              <w:right w:w="28" w:type="dxa"/>
            </w:tcMar>
            <w:vAlign w:val="center"/>
          </w:tcPr>
          <w:p w14:paraId="3A84FB67">
            <w:pPr>
              <w:adjustRightInd w:val="0"/>
              <w:snapToGrid w:val="0"/>
              <w:jc w:val="center"/>
              <w:rPr>
                <w:color w:val="auto"/>
                <w:kern w:val="0"/>
              </w:rPr>
            </w:pPr>
            <w:r>
              <w:rPr>
                <w:b/>
                <w:bCs/>
                <w:color w:val="auto"/>
                <w:kern w:val="0"/>
              </w:rPr>
              <w:t>污染物排放控制标准</w:t>
            </w:r>
          </w:p>
        </w:tc>
        <w:tc>
          <w:tcPr>
            <w:tcW w:w="8945" w:type="dxa"/>
            <w:vAlign w:val="center"/>
          </w:tcPr>
          <w:p w14:paraId="3A84FB68">
            <w:pPr>
              <w:spacing w:line="360" w:lineRule="auto"/>
              <w:ind w:firstLine="422" w:firstLineChars="200"/>
              <w:rPr>
                <w:color w:val="auto"/>
              </w:rPr>
            </w:pPr>
            <w:r>
              <w:rPr>
                <w:rFonts w:hint="eastAsia"/>
                <w:b/>
                <w:bCs/>
                <w:color w:val="auto"/>
              </w:rPr>
              <w:t>1、</w:t>
            </w:r>
            <w:r>
              <w:rPr>
                <w:b/>
                <w:bCs/>
                <w:color w:val="auto"/>
              </w:rPr>
              <w:t>废气：</w:t>
            </w:r>
          </w:p>
          <w:p w14:paraId="3A84FB69">
            <w:pPr>
              <w:adjustRightInd w:val="0"/>
              <w:snapToGrid w:val="0"/>
              <w:spacing w:line="360" w:lineRule="auto"/>
              <w:ind w:firstLine="420" w:firstLineChars="200"/>
              <w:rPr>
                <w:rFonts w:hint="default" w:eastAsia="宋体"/>
                <w:color w:val="auto"/>
                <w:lang w:val="en-US" w:eastAsia="zh-CN"/>
              </w:rPr>
            </w:pPr>
            <w:r>
              <w:rPr>
                <w:rFonts w:hint="eastAsia"/>
                <w:color w:val="auto"/>
              </w:rPr>
              <w:t>①有组织废气：</w:t>
            </w:r>
            <w:r>
              <w:rPr>
                <w:bCs/>
                <w:color w:val="auto"/>
              </w:rPr>
              <w:t>项目</w:t>
            </w:r>
            <w:r>
              <w:rPr>
                <w:rFonts w:hint="eastAsia"/>
                <w:bCs/>
                <w:color w:val="auto"/>
              </w:rPr>
              <w:t>有组织</w:t>
            </w:r>
            <w:r>
              <w:rPr>
                <w:rFonts w:hint="eastAsia"/>
                <w:bCs/>
                <w:color w:val="auto"/>
                <w:lang w:val="en-US" w:eastAsia="zh-CN"/>
              </w:rPr>
              <w:t>颗粒物、SO</w:t>
            </w:r>
            <w:r>
              <w:rPr>
                <w:rFonts w:hint="eastAsia"/>
                <w:bCs/>
                <w:color w:val="auto"/>
                <w:vertAlign w:val="subscript"/>
                <w:lang w:val="en-US" w:eastAsia="zh-CN"/>
              </w:rPr>
              <w:t>2</w:t>
            </w:r>
            <w:r>
              <w:rPr>
                <w:rFonts w:hint="eastAsia"/>
                <w:bCs/>
                <w:color w:val="auto"/>
                <w:lang w:val="en-US" w:eastAsia="zh-CN"/>
              </w:rPr>
              <w:t>、NOx、CO、HCl、铜及其化合物（以Cu计）、二噁英类</w:t>
            </w:r>
            <w:r>
              <w:rPr>
                <w:bCs/>
                <w:color w:val="auto"/>
              </w:rPr>
              <w:t>执行</w:t>
            </w:r>
            <w:r>
              <w:rPr>
                <w:rFonts w:hint="eastAsia"/>
                <w:color w:val="auto"/>
                <w:kern w:val="0"/>
              </w:rPr>
              <w:t>《危险废物焚烧污染控制标准》（GB 18484-2020）表3</w:t>
            </w:r>
            <w:r>
              <w:rPr>
                <w:rFonts w:hint="eastAsia"/>
                <w:color w:val="auto"/>
              </w:rPr>
              <w:t>；</w:t>
            </w:r>
            <w:r>
              <w:rPr>
                <w:rFonts w:hint="eastAsia"/>
                <w:color w:val="auto"/>
                <w:lang w:val="en-US" w:eastAsia="zh-CN"/>
              </w:rPr>
              <w:t>有组织氨执行</w:t>
            </w:r>
            <w:r>
              <w:rPr>
                <w:rFonts w:hint="eastAsia"/>
                <w:bCs/>
                <w:color w:val="auto"/>
                <w:kern w:val="0"/>
              </w:rPr>
              <w:t>《恶臭污染物排放标准》（GB14554-1993）</w:t>
            </w:r>
            <w:r>
              <w:rPr>
                <w:rFonts w:hint="eastAsia"/>
                <w:bCs/>
                <w:color w:val="auto"/>
                <w:kern w:val="0"/>
                <w:lang w:eastAsia="zh-CN"/>
              </w:rPr>
              <w:t>；</w:t>
            </w:r>
            <w:r>
              <w:rPr>
                <w:rFonts w:hint="eastAsia"/>
                <w:bCs/>
                <w:color w:val="auto"/>
                <w:kern w:val="0"/>
                <w:lang w:val="en-US" w:eastAsia="zh-CN"/>
              </w:rPr>
              <w:t>有组织非甲烷总烃执行</w:t>
            </w:r>
            <w:r>
              <w:rPr>
                <w:rFonts w:hint="eastAsia"/>
                <w:bCs/>
                <w:color w:val="auto"/>
                <w:kern w:val="0"/>
              </w:rPr>
              <w:t>《大气污染物综合排放标准》（DB32/4041-2021）</w:t>
            </w:r>
            <w:r>
              <w:rPr>
                <w:rFonts w:hint="eastAsia"/>
                <w:bCs/>
                <w:color w:val="auto"/>
                <w:kern w:val="0"/>
                <w:lang w:val="en-US" w:eastAsia="zh-CN"/>
              </w:rPr>
              <w:t>表1；</w:t>
            </w:r>
          </w:p>
          <w:p w14:paraId="3A84FB6A">
            <w:pPr>
              <w:adjustRightInd w:val="0"/>
              <w:snapToGrid w:val="0"/>
              <w:spacing w:line="360" w:lineRule="auto"/>
              <w:ind w:firstLine="420" w:firstLineChars="200"/>
              <w:rPr>
                <w:color w:val="auto"/>
              </w:rPr>
            </w:pPr>
            <w:r>
              <w:rPr>
                <w:rFonts w:hint="eastAsia"/>
                <w:color w:val="auto"/>
              </w:rPr>
              <w:t>②无组织废气：车间外非甲烷总烃执行《大气污染物综合排放标准》（DB32 4041-2021）表2标准</w:t>
            </w:r>
            <w:r>
              <w:rPr>
                <w:color w:val="auto"/>
              </w:rPr>
              <w:t>；</w:t>
            </w:r>
            <w:r>
              <w:rPr>
                <w:bCs/>
                <w:color w:val="auto"/>
              </w:rPr>
              <w:t>具体见下表</w:t>
            </w:r>
            <w:r>
              <w:rPr>
                <w:rFonts w:hint="eastAsia"/>
                <w:bCs/>
                <w:color w:val="auto"/>
              </w:rPr>
              <w:t>：</w:t>
            </w:r>
          </w:p>
          <w:p w14:paraId="3A84FB6B">
            <w:pPr>
              <w:adjustRightInd w:val="0"/>
              <w:snapToGrid w:val="0"/>
              <w:spacing w:line="360" w:lineRule="auto"/>
              <w:ind w:firstLine="420" w:firstLineChars="200"/>
              <w:rPr>
                <w:color w:val="auto"/>
              </w:rPr>
            </w:pPr>
            <w:r>
              <w:rPr>
                <w:rFonts w:hint="eastAsia"/>
                <w:color w:val="auto"/>
              </w:rPr>
              <w:t>具体排放限值如下：</w:t>
            </w:r>
          </w:p>
          <w:p w14:paraId="3A84FB6C">
            <w:pPr>
              <w:adjustRightInd w:val="0"/>
              <w:snapToGrid w:val="0"/>
              <w:jc w:val="center"/>
              <w:rPr>
                <w:color w:val="auto"/>
              </w:rPr>
            </w:pPr>
            <w:r>
              <w:rPr>
                <w:b/>
                <w:color w:val="auto"/>
              </w:rPr>
              <w:t>表3-</w:t>
            </w:r>
            <w:r>
              <w:rPr>
                <w:rFonts w:hint="eastAsia"/>
                <w:b/>
                <w:color w:val="auto"/>
              </w:rPr>
              <w:t>5</w:t>
            </w:r>
            <w:r>
              <w:rPr>
                <w:rFonts w:hint="eastAsia"/>
                <w:b/>
                <w:color w:val="auto"/>
                <w:lang w:val="en-US" w:eastAsia="zh-CN"/>
              </w:rPr>
              <w:t>.1</w:t>
            </w:r>
            <w:r>
              <w:rPr>
                <w:b/>
                <w:color w:val="auto"/>
              </w:rPr>
              <w:t xml:space="preserve">   </w:t>
            </w:r>
            <w:r>
              <w:rPr>
                <w:rFonts w:hint="eastAsia"/>
                <w:b/>
                <w:color w:val="auto"/>
                <w:lang w:val="en-US" w:eastAsia="zh-CN"/>
              </w:rPr>
              <w:t>焚烧炉大气污染物</w:t>
            </w:r>
            <w:r>
              <w:rPr>
                <w:rFonts w:hint="eastAsia"/>
                <w:b/>
                <w:color w:val="auto"/>
              </w:rPr>
              <w:t>排放限值</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28" w:type="dxa"/>
                <w:bottom w:w="0" w:type="dxa"/>
                <w:right w:w="28" w:type="dxa"/>
              </w:tblCellMar>
            </w:tblPr>
            <w:tblGrid>
              <w:gridCol w:w="3180"/>
              <w:gridCol w:w="1815"/>
              <w:gridCol w:w="2099"/>
              <w:gridCol w:w="1633"/>
            </w:tblGrid>
            <w:tr w14:paraId="3A84FB7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821" w:type="pct"/>
                  <w:tcBorders>
                    <w:tl2br w:val="nil"/>
                    <w:tr2bl w:val="nil"/>
                  </w:tcBorders>
                  <w:vAlign w:val="center"/>
                </w:tcPr>
                <w:p w14:paraId="3A84FB6D">
                  <w:pPr>
                    <w:jc w:val="center"/>
                    <w:rPr>
                      <w:b/>
                      <w:bCs/>
                      <w:color w:val="auto"/>
                    </w:rPr>
                  </w:pPr>
                  <w:r>
                    <w:rPr>
                      <w:b/>
                      <w:bCs/>
                      <w:color w:val="auto"/>
                    </w:rPr>
                    <w:t>污染物名称</w:t>
                  </w:r>
                </w:p>
              </w:tc>
              <w:tc>
                <w:tcPr>
                  <w:tcW w:w="1039" w:type="pct"/>
                  <w:tcBorders>
                    <w:tl2br w:val="nil"/>
                    <w:tr2bl w:val="nil"/>
                  </w:tcBorders>
                  <w:vAlign w:val="center"/>
                </w:tcPr>
                <w:p w14:paraId="3A84FB6E">
                  <w:pPr>
                    <w:jc w:val="center"/>
                    <w:rPr>
                      <w:rFonts w:hint="eastAsia" w:eastAsia="宋体"/>
                      <w:b/>
                      <w:bCs/>
                      <w:color w:val="auto"/>
                      <w:lang w:eastAsia="zh-CN"/>
                    </w:rPr>
                  </w:pPr>
                  <w:r>
                    <w:rPr>
                      <w:rFonts w:hint="eastAsia"/>
                      <w:b/>
                      <w:bCs/>
                      <w:color w:val="auto"/>
                      <w:lang w:val="en-US" w:eastAsia="zh-CN"/>
                    </w:rPr>
                    <w:t>限值（</w:t>
                  </w:r>
                  <w:r>
                    <w:rPr>
                      <w:b/>
                      <w:bCs/>
                      <w:color w:val="auto"/>
                    </w:rPr>
                    <w:t>mg/m</w:t>
                  </w:r>
                  <w:r>
                    <w:rPr>
                      <w:b/>
                      <w:bCs/>
                      <w:color w:val="auto"/>
                      <w:vertAlign w:val="superscript"/>
                    </w:rPr>
                    <w:t>3</w:t>
                  </w:r>
                  <w:r>
                    <w:rPr>
                      <w:rFonts w:hint="eastAsia"/>
                      <w:b/>
                      <w:bCs/>
                      <w:color w:val="auto"/>
                      <w:lang w:val="en-US" w:eastAsia="zh-CN"/>
                    </w:rPr>
                    <w:t>）</w:t>
                  </w:r>
                </w:p>
              </w:tc>
              <w:tc>
                <w:tcPr>
                  <w:tcW w:w="1202" w:type="pct"/>
                  <w:tcBorders>
                    <w:tl2br w:val="nil"/>
                    <w:tr2bl w:val="nil"/>
                  </w:tcBorders>
                  <w:vAlign w:val="center"/>
                </w:tcPr>
                <w:p w14:paraId="3A84FB6F">
                  <w:pPr>
                    <w:jc w:val="center"/>
                    <w:rPr>
                      <w:rFonts w:hint="eastAsia" w:eastAsia="宋体"/>
                      <w:b/>
                      <w:bCs/>
                      <w:color w:val="auto"/>
                      <w:lang w:eastAsia="zh-CN"/>
                    </w:rPr>
                  </w:pPr>
                  <w:r>
                    <w:rPr>
                      <w:rFonts w:hint="eastAsia"/>
                      <w:b/>
                      <w:bCs/>
                      <w:color w:val="auto"/>
                      <w:lang w:val="en-US" w:eastAsia="zh-CN"/>
                    </w:rPr>
                    <w:t>取值时间</w:t>
                  </w:r>
                </w:p>
              </w:tc>
              <w:tc>
                <w:tcPr>
                  <w:tcW w:w="935" w:type="pct"/>
                  <w:tcBorders>
                    <w:tl2br w:val="nil"/>
                    <w:tr2bl w:val="nil"/>
                  </w:tcBorders>
                  <w:vAlign w:val="center"/>
                </w:tcPr>
                <w:p w14:paraId="3A84FB71">
                  <w:pPr>
                    <w:jc w:val="center"/>
                    <w:rPr>
                      <w:b/>
                      <w:bCs/>
                      <w:color w:val="auto"/>
                    </w:rPr>
                  </w:pPr>
                  <w:r>
                    <w:rPr>
                      <w:b/>
                      <w:bCs/>
                      <w:color w:val="auto"/>
                    </w:rPr>
                    <w:t>标准来源</w:t>
                  </w:r>
                </w:p>
              </w:tc>
            </w:tr>
            <w:tr w14:paraId="3A84FB7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821" w:type="pct"/>
                  <w:vMerge w:val="restart"/>
                  <w:tcBorders>
                    <w:tl2br w:val="nil"/>
                    <w:tr2bl w:val="nil"/>
                  </w:tcBorders>
                  <w:vAlign w:val="center"/>
                </w:tcPr>
                <w:p w14:paraId="3A84FB73">
                  <w:pPr>
                    <w:pStyle w:val="656"/>
                    <w:snapToGrid w:val="0"/>
                    <w:rPr>
                      <w:color w:val="auto"/>
                    </w:rPr>
                  </w:pPr>
                  <w:r>
                    <w:rPr>
                      <w:rFonts w:hint="eastAsia" w:eastAsia="宋体"/>
                      <w:color w:val="auto"/>
                      <w:sz w:val="21"/>
                      <w:szCs w:val="21"/>
                      <w:lang w:val="en-US" w:eastAsia="zh-CN"/>
                    </w:rPr>
                    <w:t>颗粒物</w:t>
                  </w:r>
                </w:p>
              </w:tc>
              <w:tc>
                <w:tcPr>
                  <w:tcW w:w="1039" w:type="pct"/>
                  <w:tcBorders>
                    <w:tl2br w:val="nil"/>
                    <w:tr2bl w:val="nil"/>
                  </w:tcBorders>
                  <w:vAlign w:val="center"/>
                </w:tcPr>
                <w:p w14:paraId="3A84FB74">
                  <w:pPr>
                    <w:jc w:val="center"/>
                    <w:rPr>
                      <w:color w:val="auto"/>
                    </w:rPr>
                  </w:pPr>
                  <w:r>
                    <w:rPr>
                      <w:rFonts w:hint="eastAsia"/>
                      <w:color w:val="auto"/>
                      <w:kern w:val="0"/>
                      <w:lang w:val="en-US" w:eastAsia="zh-CN"/>
                    </w:rPr>
                    <w:t>30</w:t>
                  </w:r>
                </w:p>
              </w:tc>
              <w:tc>
                <w:tcPr>
                  <w:tcW w:w="1202" w:type="pct"/>
                  <w:tcBorders>
                    <w:tl2br w:val="nil"/>
                    <w:tr2bl w:val="nil"/>
                  </w:tcBorders>
                  <w:vAlign w:val="center"/>
                </w:tcPr>
                <w:p w14:paraId="3A84FB75">
                  <w:pPr>
                    <w:jc w:val="center"/>
                    <w:rPr>
                      <w:rFonts w:hint="default" w:eastAsia="宋体"/>
                      <w:color w:val="auto"/>
                      <w:lang w:val="en-US" w:eastAsia="zh-CN"/>
                    </w:rPr>
                  </w:pPr>
                  <w:r>
                    <w:rPr>
                      <w:rFonts w:hint="eastAsia"/>
                      <w:color w:val="auto"/>
                      <w:lang w:val="en-US" w:eastAsia="zh-CN"/>
                    </w:rPr>
                    <w:t>1h均值</w:t>
                  </w:r>
                </w:p>
              </w:tc>
              <w:tc>
                <w:tcPr>
                  <w:tcW w:w="935" w:type="pct"/>
                  <w:vMerge w:val="restart"/>
                  <w:tcBorders>
                    <w:tl2br w:val="nil"/>
                    <w:tr2bl w:val="nil"/>
                  </w:tcBorders>
                  <w:vAlign w:val="center"/>
                </w:tcPr>
                <w:p w14:paraId="3A84FB77">
                  <w:pPr>
                    <w:jc w:val="center"/>
                    <w:rPr>
                      <w:color w:val="auto"/>
                    </w:rPr>
                  </w:pPr>
                  <w:r>
                    <w:rPr>
                      <w:rFonts w:hint="eastAsia"/>
                      <w:color w:val="auto"/>
                      <w:kern w:val="0"/>
                    </w:rPr>
                    <w:t>《危险废物焚烧污染控制标准》（GB 18484-2020）</w:t>
                  </w:r>
                  <w:r>
                    <w:rPr>
                      <w:rFonts w:hint="eastAsia"/>
                      <w:color w:val="auto"/>
                      <w:kern w:val="0"/>
                      <w:lang w:val="en-US" w:eastAsia="zh-CN"/>
                    </w:rPr>
                    <w:t>表3</w:t>
                  </w:r>
                </w:p>
              </w:tc>
            </w:tr>
            <w:tr w14:paraId="7A6A436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821" w:type="pct"/>
                  <w:vMerge w:val="continue"/>
                  <w:tcBorders>
                    <w:tl2br w:val="nil"/>
                    <w:tr2bl w:val="nil"/>
                  </w:tcBorders>
                  <w:vAlign w:val="center"/>
                </w:tcPr>
                <w:p w14:paraId="37A56760">
                  <w:pPr>
                    <w:pStyle w:val="656"/>
                    <w:snapToGrid w:val="0"/>
                    <w:rPr>
                      <w:rFonts w:hint="eastAsia" w:eastAsia="宋体"/>
                      <w:color w:val="auto"/>
                      <w:sz w:val="21"/>
                      <w:szCs w:val="21"/>
                      <w:lang w:val="en-US" w:eastAsia="zh-CN"/>
                    </w:rPr>
                  </w:pPr>
                </w:p>
              </w:tc>
              <w:tc>
                <w:tcPr>
                  <w:tcW w:w="1039" w:type="pct"/>
                  <w:tcBorders>
                    <w:tl2br w:val="nil"/>
                    <w:tr2bl w:val="nil"/>
                  </w:tcBorders>
                  <w:vAlign w:val="center"/>
                </w:tcPr>
                <w:p w14:paraId="04BAB738">
                  <w:pPr>
                    <w:jc w:val="center"/>
                    <w:rPr>
                      <w:rFonts w:hint="eastAsia"/>
                      <w:color w:val="auto"/>
                    </w:rPr>
                  </w:pPr>
                  <w:r>
                    <w:rPr>
                      <w:rFonts w:hint="eastAsia"/>
                      <w:color w:val="auto"/>
                      <w:kern w:val="0"/>
                      <w:lang w:val="en-US" w:eastAsia="zh-CN"/>
                    </w:rPr>
                    <w:t>20</w:t>
                  </w:r>
                </w:p>
              </w:tc>
              <w:tc>
                <w:tcPr>
                  <w:tcW w:w="1202" w:type="pct"/>
                  <w:tcBorders>
                    <w:tl2br w:val="nil"/>
                    <w:tr2bl w:val="nil"/>
                  </w:tcBorders>
                  <w:vAlign w:val="center"/>
                </w:tcPr>
                <w:p w14:paraId="3F8DF27A">
                  <w:pPr>
                    <w:jc w:val="center"/>
                    <w:rPr>
                      <w:rFonts w:hint="default" w:eastAsia="宋体"/>
                      <w:color w:val="auto"/>
                      <w:lang w:val="en-US" w:eastAsia="zh-CN"/>
                    </w:rPr>
                  </w:pPr>
                  <w:r>
                    <w:rPr>
                      <w:rFonts w:hint="eastAsia"/>
                      <w:color w:val="auto"/>
                      <w:lang w:val="en-US" w:eastAsia="zh-CN"/>
                    </w:rPr>
                    <w:t>24h均值或日均值</w:t>
                  </w:r>
                </w:p>
              </w:tc>
              <w:tc>
                <w:tcPr>
                  <w:tcW w:w="935" w:type="pct"/>
                  <w:vMerge w:val="continue"/>
                  <w:tcBorders>
                    <w:tl2br w:val="nil"/>
                    <w:tr2bl w:val="nil"/>
                  </w:tcBorders>
                  <w:vAlign w:val="center"/>
                </w:tcPr>
                <w:p w14:paraId="66F0A706">
                  <w:pPr>
                    <w:jc w:val="center"/>
                    <w:rPr>
                      <w:rFonts w:hint="eastAsia"/>
                      <w:color w:val="auto"/>
                      <w:kern w:val="0"/>
                    </w:rPr>
                  </w:pPr>
                </w:p>
              </w:tc>
            </w:tr>
            <w:tr w14:paraId="2C4F19B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821" w:type="pct"/>
                  <w:vMerge w:val="restart"/>
                  <w:tcBorders>
                    <w:tl2br w:val="nil"/>
                    <w:tr2bl w:val="nil"/>
                  </w:tcBorders>
                  <w:vAlign w:val="center"/>
                </w:tcPr>
                <w:p w14:paraId="14EE322F">
                  <w:pPr>
                    <w:pStyle w:val="656"/>
                    <w:snapToGrid w:val="0"/>
                    <w:rPr>
                      <w:color w:val="auto"/>
                      <w:lang w:val="zh-CN"/>
                    </w:rPr>
                  </w:pPr>
                  <w:r>
                    <w:rPr>
                      <w:rFonts w:hint="eastAsia" w:eastAsia="宋体"/>
                      <w:color w:val="auto"/>
                      <w:sz w:val="21"/>
                      <w:szCs w:val="21"/>
                      <w:lang w:val="en-US" w:eastAsia="zh-CN"/>
                    </w:rPr>
                    <w:t>SO</w:t>
                  </w:r>
                  <w:r>
                    <w:rPr>
                      <w:rFonts w:hint="eastAsia" w:eastAsia="宋体"/>
                      <w:color w:val="auto"/>
                      <w:sz w:val="21"/>
                      <w:szCs w:val="21"/>
                      <w:vertAlign w:val="subscript"/>
                      <w:lang w:val="en-US" w:eastAsia="zh-CN"/>
                    </w:rPr>
                    <w:t>2</w:t>
                  </w:r>
                </w:p>
              </w:tc>
              <w:tc>
                <w:tcPr>
                  <w:tcW w:w="1039" w:type="pct"/>
                  <w:tcBorders>
                    <w:tl2br w:val="nil"/>
                    <w:tr2bl w:val="nil"/>
                  </w:tcBorders>
                  <w:vAlign w:val="center"/>
                </w:tcPr>
                <w:p w14:paraId="07B98D78">
                  <w:pPr>
                    <w:jc w:val="center"/>
                    <w:rPr>
                      <w:rFonts w:hint="eastAsia"/>
                      <w:color w:val="auto"/>
                    </w:rPr>
                  </w:pPr>
                  <w:r>
                    <w:rPr>
                      <w:rFonts w:hint="eastAsia"/>
                      <w:color w:val="auto"/>
                      <w:kern w:val="0"/>
                      <w:lang w:val="en-US" w:eastAsia="zh-CN"/>
                    </w:rPr>
                    <w:t>100</w:t>
                  </w:r>
                </w:p>
              </w:tc>
              <w:tc>
                <w:tcPr>
                  <w:tcW w:w="1202" w:type="pct"/>
                  <w:tcBorders>
                    <w:tl2br w:val="nil"/>
                    <w:tr2bl w:val="nil"/>
                  </w:tcBorders>
                  <w:vAlign w:val="center"/>
                </w:tcPr>
                <w:p w14:paraId="46424C61">
                  <w:pPr>
                    <w:jc w:val="center"/>
                    <w:rPr>
                      <w:rFonts w:hint="eastAsia"/>
                      <w:color w:val="auto"/>
                    </w:rPr>
                  </w:pPr>
                  <w:r>
                    <w:rPr>
                      <w:rFonts w:hint="eastAsia"/>
                      <w:color w:val="auto"/>
                      <w:lang w:val="en-US" w:eastAsia="zh-CN"/>
                    </w:rPr>
                    <w:t>1h均值</w:t>
                  </w:r>
                </w:p>
              </w:tc>
              <w:tc>
                <w:tcPr>
                  <w:tcW w:w="935" w:type="pct"/>
                  <w:vMerge w:val="continue"/>
                  <w:tcBorders>
                    <w:tl2br w:val="nil"/>
                    <w:tr2bl w:val="nil"/>
                  </w:tcBorders>
                  <w:vAlign w:val="center"/>
                </w:tcPr>
                <w:p w14:paraId="1B5BC9CA">
                  <w:pPr>
                    <w:jc w:val="center"/>
                    <w:rPr>
                      <w:rFonts w:hint="eastAsia"/>
                      <w:color w:val="auto"/>
                      <w:kern w:val="0"/>
                    </w:rPr>
                  </w:pPr>
                </w:p>
              </w:tc>
            </w:tr>
            <w:tr w14:paraId="7F74D2F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821" w:type="pct"/>
                  <w:vMerge w:val="continue"/>
                  <w:tcBorders>
                    <w:tl2br w:val="nil"/>
                    <w:tr2bl w:val="nil"/>
                  </w:tcBorders>
                  <w:vAlign w:val="center"/>
                </w:tcPr>
                <w:p w14:paraId="1E654C8D">
                  <w:pPr>
                    <w:pStyle w:val="656"/>
                    <w:snapToGrid w:val="0"/>
                    <w:rPr>
                      <w:rFonts w:hint="eastAsia" w:eastAsia="宋体"/>
                      <w:color w:val="auto"/>
                      <w:sz w:val="21"/>
                      <w:szCs w:val="21"/>
                      <w:lang w:val="en-US" w:eastAsia="zh-CN"/>
                    </w:rPr>
                  </w:pPr>
                </w:p>
              </w:tc>
              <w:tc>
                <w:tcPr>
                  <w:tcW w:w="1039" w:type="pct"/>
                  <w:tcBorders>
                    <w:tl2br w:val="nil"/>
                    <w:tr2bl w:val="nil"/>
                  </w:tcBorders>
                  <w:vAlign w:val="center"/>
                </w:tcPr>
                <w:p w14:paraId="0D34D8EB">
                  <w:pPr>
                    <w:jc w:val="center"/>
                    <w:rPr>
                      <w:rFonts w:hint="eastAsia"/>
                      <w:color w:val="auto"/>
                    </w:rPr>
                  </w:pPr>
                  <w:r>
                    <w:rPr>
                      <w:rFonts w:hint="eastAsia"/>
                      <w:color w:val="auto"/>
                      <w:kern w:val="0"/>
                      <w:lang w:val="en-US" w:eastAsia="zh-CN"/>
                    </w:rPr>
                    <w:t>80</w:t>
                  </w:r>
                </w:p>
              </w:tc>
              <w:tc>
                <w:tcPr>
                  <w:tcW w:w="1202" w:type="pct"/>
                  <w:tcBorders>
                    <w:tl2br w:val="nil"/>
                    <w:tr2bl w:val="nil"/>
                  </w:tcBorders>
                  <w:vAlign w:val="center"/>
                </w:tcPr>
                <w:p w14:paraId="20E35FE8">
                  <w:pPr>
                    <w:jc w:val="center"/>
                    <w:rPr>
                      <w:rFonts w:hint="eastAsia"/>
                      <w:color w:val="auto"/>
                    </w:rPr>
                  </w:pPr>
                  <w:r>
                    <w:rPr>
                      <w:rFonts w:hint="eastAsia"/>
                      <w:color w:val="auto"/>
                      <w:lang w:val="en-US" w:eastAsia="zh-CN"/>
                    </w:rPr>
                    <w:t>24h均值或日均值</w:t>
                  </w:r>
                </w:p>
              </w:tc>
              <w:tc>
                <w:tcPr>
                  <w:tcW w:w="935" w:type="pct"/>
                  <w:vMerge w:val="continue"/>
                  <w:tcBorders>
                    <w:tl2br w:val="nil"/>
                    <w:tr2bl w:val="nil"/>
                  </w:tcBorders>
                  <w:vAlign w:val="center"/>
                </w:tcPr>
                <w:p w14:paraId="5D539E52">
                  <w:pPr>
                    <w:jc w:val="center"/>
                    <w:rPr>
                      <w:rFonts w:hint="eastAsia"/>
                      <w:color w:val="auto"/>
                      <w:kern w:val="0"/>
                    </w:rPr>
                  </w:pPr>
                </w:p>
              </w:tc>
            </w:tr>
            <w:tr w14:paraId="17A47FC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821" w:type="pct"/>
                  <w:vMerge w:val="restart"/>
                  <w:tcBorders>
                    <w:tl2br w:val="nil"/>
                    <w:tr2bl w:val="nil"/>
                  </w:tcBorders>
                  <w:vAlign w:val="center"/>
                </w:tcPr>
                <w:p w14:paraId="4624183E">
                  <w:pPr>
                    <w:pStyle w:val="656"/>
                    <w:snapToGrid w:val="0"/>
                    <w:rPr>
                      <w:color w:val="auto"/>
                      <w:lang w:val="zh-CN"/>
                    </w:rPr>
                  </w:pPr>
                  <w:r>
                    <w:rPr>
                      <w:rFonts w:hint="eastAsia" w:eastAsia="宋体"/>
                      <w:color w:val="auto"/>
                      <w:sz w:val="21"/>
                      <w:szCs w:val="21"/>
                      <w:lang w:val="en-US" w:eastAsia="zh-CN"/>
                    </w:rPr>
                    <w:t>NOx</w:t>
                  </w:r>
                </w:p>
              </w:tc>
              <w:tc>
                <w:tcPr>
                  <w:tcW w:w="1039" w:type="pct"/>
                  <w:tcBorders>
                    <w:tl2br w:val="nil"/>
                    <w:tr2bl w:val="nil"/>
                  </w:tcBorders>
                  <w:vAlign w:val="center"/>
                </w:tcPr>
                <w:p w14:paraId="0CCD8511">
                  <w:pPr>
                    <w:jc w:val="center"/>
                    <w:rPr>
                      <w:rFonts w:hint="eastAsia"/>
                      <w:color w:val="auto"/>
                    </w:rPr>
                  </w:pPr>
                  <w:r>
                    <w:rPr>
                      <w:rFonts w:hint="eastAsia"/>
                      <w:color w:val="auto"/>
                      <w:kern w:val="0"/>
                      <w:lang w:val="en-US" w:eastAsia="zh-CN"/>
                    </w:rPr>
                    <w:t>300</w:t>
                  </w:r>
                </w:p>
              </w:tc>
              <w:tc>
                <w:tcPr>
                  <w:tcW w:w="1202" w:type="pct"/>
                  <w:tcBorders>
                    <w:tl2br w:val="nil"/>
                    <w:tr2bl w:val="nil"/>
                  </w:tcBorders>
                  <w:vAlign w:val="center"/>
                </w:tcPr>
                <w:p w14:paraId="7EDE9A2F">
                  <w:pPr>
                    <w:jc w:val="center"/>
                    <w:rPr>
                      <w:rFonts w:hint="eastAsia"/>
                      <w:color w:val="auto"/>
                    </w:rPr>
                  </w:pPr>
                  <w:r>
                    <w:rPr>
                      <w:rFonts w:hint="eastAsia"/>
                      <w:color w:val="auto"/>
                      <w:lang w:val="en-US" w:eastAsia="zh-CN"/>
                    </w:rPr>
                    <w:t>1h均值</w:t>
                  </w:r>
                </w:p>
              </w:tc>
              <w:tc>
                <w:tcPr>
                  <w:tcW w:w="935" w:type="pct"/>
                  <w:vMerge w:val="continue"/>
                  <w:tcBorders>
                    <w:tl2br w:val="nil"/>
                    <w:tr2bl w:val="nil"/>
                  </w:tcBorders>
                  <w:vAlign w:val="center"/>
                </w:tcPr>
                <w:p w14:paraId="56EC91FD">
                  <w:pPr>
                    <w:jc w:val="center"/>
                    <w:rPr>
                      <w:rFonts w:hint="eastAsia"/>
                      <w:color w:val="auto"/>
                      <w:kern w:val="0"/>
                    </w:rPr>
                  </w:pPr>
                </w:p>
              </w:tc>
            </w:tr>
            <w:tr w14:paraId="7DE69A0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821" w:type="pct"/>
                  <w:vMerge w:val="continue"/>
                  <w:tcBorders>
                    <w:tl2br w:val="nil"/>
                    <w:tr2bl w:val="nil"/>
                  </w:tcBorders>
                  <w:vAlign w:val="center"/>
                </w:tcPr>
                <w:p w14:paraId="52D0D465">
                  <w:pPr>
                    <w:pStyle w:val="656"/>
                    <w:snapToGrid w:val="0"/>
                    <w:rPr>
                      <w:rFonts w:hint="eastAsia" w:eastAsia="宋体"/>
                      <w:color w:val="auto"/>
                      <w:sz w:val="21"/>
                      <w:szCs w:val="21"/>
                      <w:lang w:val="en-US" w:eastAsia="zh-CN"/>
                    </w:rPr>
                  </w:pPr>
                </w:p>
              </w:tc>
              <w:tc>
                <w:tcPr>
                  <w:tcW w:w="1039" w:type="pct"/>
                  <w:tcBorders>
                    <w:tl2br w:val="nil"/>
                    <w:tr2bl w:val="nil"/>
                  </w:tcBorders>
                  <w:vAlign w:val="center"/>
                </w:tcPr>
                <w:p w14:paraId="20034C70">
                  <w:pPr>
                    <w:jc w:val="center"/>
                    <w:rPr>
                      <w:rFonts w:hint="eastAsia"/>
                      <w:color w:val="auto"/>
                    </w:rPr>
                  </w:pPr>
                  <w:r>
                    <w:rPr>
                      <w:rFonts w:hint="eastAsia"/>
                      <w:color w:val="auto"/>
                      <w:kern w:val="0"/>
                      <w:lang w:val="en-US" w:eastAsia="zh-CN"/>
                    </w:rPr>
                    <w:t>250</w:t>
                  </w:r>
                </w:p>
              </w:tc>
              <w:tc>
                <w:tcPr>
                  <w:tcW w:w="1202" w:type="pct"/>
                  <w:tcBorders>
                    <w:tl2br w:val="nil"/>
                    <w:tr2bl w:val="nil"/>
                  </w:tcBorders>
                  <w:vAlign w:val="center"/>
                </w:tcPr>
                <w:p w14:paraId="7756C7F8">
                  <w:pPr>
                    <w:jc w:val="center"/>
                    <w:rPr>
                      <w:rFonts w:hint="eastAsia"/>
                      <w:color w:val="auto"/>
                    </w:rPr>
                  </w:pPr>
                  <w:r>
                    <w:rPr>
                      <w:rFonts w:hint="eastAsia"/>
                      <w:color w:val="auto"/>
                      <w:lang w:val="en-US" w:eastAsia="zh-CN"/>
                    </w:rPr>
                    <w:t>24h均值或日均值</w:t>
                  </w:r>
                </w:p>
              </w:tc>
              <w:tc>
                <w:tcPr>
                  <w:tcW w:w="935" w:type="pct"/>
                  <w:vMerge w:val="continue"/>
                  <w:tcBorders>
                    <w:tl2br w:val="nil"/>
                    <w:tr2bl w:val="nil"/>
                  </w:tcBorders>
                  <w:vAlign w:val="center"/>
                </w:tcPr>
                <w:p w14:paraId="163673C7">
                  <w:pPr>
                    <w:jc w:val="center"/>
                    <w:rPr>
                      <w:rFonts w:hint="eastAsia"/>
                      <w:color w:val="auto"/>
                      <w:kern w:val="0"/>
                    </w:rPr>
                  </w:pPr>
                </w:p>
              </w:tc>
            </w:tr>
            <w:tr w14:paraId="25D250E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821" w:type="pct"/>
                  <w:vMerge w:val="restart"/>
                  <w:tcBorders>
                    <w:tl2br w:val="nil"/>
                    <w:tr2bl w:val="nil"/>
                  </w:tcBorders>
                  <w:vAlign w:val="center"/>
                </w:tcPr>
                <w:p w14:paraId="1DA426A4">
                  <w:pPr>
                    <w:pStyle w:val="656"/>
                    <w:snapToGrid w:val="0"/>
                    <w:rPr>
                      <w:color w:val="auto"/>
                      <w:lang w:val="zh-CN"/>
                    </w:rPr>
                  </w:pPr>
                  <w:r>
                    <w:rPr>
                      <w:rFonts w:hint="eastAsia" w:eastAsia="宋体"/>
                      <w:color w:val="auto"/>
                      <w:sz w:val="21"/>
                      <w:szCs w:val="21"/>
                      <w:lang w:val="en-US" w:eastAsia="zh-CN"/>
                    </w:rPr>
                    <w:t>CO</w:t>
                  </w:r>
                </w:p>
              </w:tc>
              <w:tc>
                <w:tcPr>
                  <w:tcW w:w="1039" w:type="pct"/>
                  <w:tcBorders>
                    <w:tl2br w:val="nil"/>
                    <w:tr2bl w:val="nil"/>
                  </w:tcBorders>
                  <w:vAlign w:val="center"/>
                </w:tcPr>
                <w:p w14:paraId="05EE7515">
                  <w:pPr>
                    <w:jc w:val="center"/>
                    <w:rPr>
                      <w:rFonts w:hint="eastAsia"/>
                      <w:color w:val="auto"/>
                    </w:rPr>
                  </w:pPr>
                  <w:r>
                    <w:rPr>
                      <w:rFonts w:hint="eastAsia"/>
                      <w:color w:val="auto"/>
                      <w:kern w:val="0"/>
                      <w:lang w:val="en-US" w:eastAsia="zh-CN"/>
                    </w:rPr>
                    <w:t>100</w:t>
                  </w:r>
                </w:p>
              </w:tc>
              <w:tc>
                <w:tcPr>
                  <w:tcW w:w="1202" w:type="pct"/>
                  <w:tcBorders>
                    <w:tl2br w:val="nil"/>
                    <w:tr2bl w:val="nil"/>
                  </w:tcBorders>
                  <w:vAlign w:val="center"/>
                </w:tcPr>
                <w:p w14:paraId="7FD9CFCC">
                  <w:pPr>
                    <w:jc w:val="center"/>
                    <w:rPr>
                      <w:rFonts w:hint="eastAsia"/>
                      <w:color w:val="auto"/>
                    </w:rPr>
                  </w:pPr>
                  <w:r>
                    <w:rPr>
                      <w:rFonts w:hint="eastAsia"/>
                      <w:color w:val="auto"/>
                      <w:lang w:val="en-US" w:eastAsia="zh-CN"/>
                    </w:rPr>
                    <w:t>1h均值</w:t>
                  </w:r>
                </w:p>
              </w:tc>
              <w:tc>
                <w:tcPr>
                  <w:tcW w:w="935" w:type="pct"/>
                  <w:vMerge w:val="continue"/>
                  <w:tcBorders>
                    <w:tl2br w:val="nil"/>
                    <w:tr2bl w:val="nil"/>
                  </w:tcBorders>
                  <w:vAlign w:val="center"/>
                </w:tcPr>
                <w:p w14:paraId="5053EFE2">
                  <w:pPr>
                    <w:jc w:val="center"/>
                    <w:rPr>
                      <w:rFonts w:hint="eastAsia"/>
                      <w:color w:val="auto"/>
                      <w:kern w:val="0"/>
                    </w:rPr>
                  </w:pPr>
                </w:p>
              </w:tc>
            </w:tr>
            <w:tr w14:paraId="00F690F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821" w:type="pct"/>
                  <w:vMerge w:val="continue"/>
                  <w:tcBorders>
                    <w:tl2br w:val="nil"/>
                    <w:tr2bl w:val="nil"/>
                  </w:tcBorders>
                  <w:vAlign w:val="center"/>
                </w:tcPr>
                <w:p w14:paraId="44478972">
                  <w:pPr>
                    <w:pStyle w:val="656"/>
                    <w:snapToGrid w:val="0"/>
                    <w:rPr>
                      <w:rFonts w:hint="eastAsia" w:eastAsia="宋体"/>
                      <w:color w:val="auto"/>
                      <w:sz w:val="21"/>
                      <w:szCs w:val="21"/>
                      <w:lang w:val="en-US" w:eastAsia="zh-CN"/>
                    </w:rPr>
                  </w:pPr>
                </w:p>
              </w:tc>
              <w:tc>
                <w:tcPr>
                  <w:tcW w:w="1039" w:type="pct"/>
                  <w:tcBorders>
                    <w:tl2br w:val="nil"/>
                    <w:tr2bl w:val="nil"/>
                  </w:tcBorders>
                  <w:vAlign w:val="center"/>
                </w:tcPr>
                <w:p w14:paraId="7D5BA831">
                  <w:pPr>
                    <w:jc w:val="center"/>
                    <w:rPr>
                      <w:rFonts w:hint="eastAsia"/>
                      <w:color w:val="auto"/>
                    </w:rPr>
                  </w:pPr>
                  <w:r>
                    <w:rPr>
                      <w:rFonts w:hint="eastAsia"/>
                      <w:color w:val="auto"/>
                      <w:kern w:val="0"/>
                      <w:lang w:val="en-US" w:eastAsia="zh-CN"/>
                    </w:rPr>
                    <w:t>80</w:t>
                  </w:r>
                </w:p>
              </w:tc>
              <w:tc>
                <w:tcPr>
                  <w:tcW w:w="1202" w:type="pct"/>
                  <w:tcBorders>
                    <w:tl2br w:val="nil"/>
                    <w:tr2bl w:val="nil"/>
                  </w:tcBorders>
                  <w:vAlign w:val="center"/>
                </w:tcPr>
                <w:p w14:paraId="7B8CCB5B">
                  <w:pPr>
                    <w:jc w:val="center"/>
                    <w:rPr>
                      <w:rFonts w:hint="eastAsia"/>
                      <w:color w:val="auto"/>
                    </w:rPr>
                  </w:pPr>
                  <w:r>
                    <w:rPr>
                      <w:rFonts w:hint="eastAsia"/>
                      <w:color w:val="auto"/>
                      <w:lang w:val="en-US" w:eastAsia="zh-CN"/>
                    </w:rPr>
                    <w:t>24h均值或日均值</w:t>
                  </w:r>
                </w:p>
              </w:tc>
              <w:tc>
                <w:tcPr>
                  <w:tcW w:w="935" w:type="pct"/>
                  <w:vMerge w:val="continue"/>
                  <w:tcBorders>
                    <w:tl2br w:val="nil"/>
                    <w:tr2bl w:val="nil"/>
                  </w:tcBorders>
                  <w:vAlign w:val="center"/>
                </w:tcPr>
                <w:p w14:paraId="44CDC0B3">
                  <w:pPr>
                    <w:jc w:val="center"/>
                    <w:rPr>
                      <w:rFonts w:hint="eastAsia"/>
                      <w:color w:val="auto"/>
                      <w:kern w:val="0"/>
                    </w:rPr>
                  </w:pPr>
                </w:p>
              </w:tc>
            </w:tr>
            <w:tr w14:paraId="1BA0DFA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821" w:type="pct"/>
                  <w:vMerge w:val="restart"/>
                  <w:tcBorders>
                    <w:tl2br w:val="nil"/>
                    <w:tr2bl w:val="nil"/>
                  </w:tcBorders>
                  <w:vAlign w:val="center"/>
                </w:tcPr>
                <w:p w14:paraId="6961FBA0">
                  <w:pPr>
                    <w:pStyle w:val="656"/>
                    <w:snapToGrid w:val="0"/>
                    <w:rPr>
                      <w:color w:val="auto"/>
                      <w:lang w:val="zh-CN"/>
                    </w:rPr>
                  </w:pPr>
                  <w:r>
                    <w:rPr>
                      <w:rFonts w:hint="eastAsia" w:eastAsia="宋体"/>
                      <w:color w:val="auto"/>
                      <w:sz w:val="21"/>
                      <w:szCs w:val="21"/>
                      <w:lang w:val="en-US" w:eastAsia="zh-CN"/>
                    </w:rPr>
                    <w:t>HCl</w:t>
                  </w:r>
                </w:p>
              </w:tc>
              <w:tc>
                <w:tcPr>
                  <w:tcW w:w="1039" w:type="pct"/>
                  <w:tcBorders>
                    <w:tl2br w:val="nil"/>
                    <w:tr2bl w:val="nil"/>
                  </w:tcBorders>
                  <w:vAlign w:val="center"/>
                </w:tcPr>
                <w:p w14:paraId="30E60071">
                  <w:pPr>
                    <w:jc w:val="center"/>
                    <w:rPr>
                      <w:rFonts w:hint="eastAsia"/>
                      <w:color w:val="auto"/>
                    </w:rPr>
                  </w:pPr>
                  <w:r>
                    <w:rPr>
                      <w:rFonts w:hint="eastAsia"/>
                      <w:color w:val="auto"/>
                      <w:kern w:val="0"/>
                      <w:lang w:val="en-US" w:eastAsia="zh-CN"/>
                    </w:rPr>
                    <w:t>60</w:t>
                  </w:r>
                </w:p>
              </w:tc>
              <w:tc>
                <w:tcPr>
                  <w:tcW w:w="1202" w:type="pct"/>
                  <w:tcBorders>
                    <w:tl2br w:val="nil"/>
                    <w:tr2bl w:val="nil"/>
                  </w:tcBorders>
                  <w:vAlign w:val="center"/>
                </w:tcPr>
                <w:p w14:paraId="5C3AE295">
                  <w:pPr>
                    <w:jc w:val="center"/>
                    <w:rPr>
                      <w:rFonts w:hint="eastAsia"/>
                      <w:color w:val="auto"/>
                    </w:rPr>
                  </w:pPr>
                  <w:r>
                    <w:rPr>
                      <w:rFonts w:hint="eastAsia"/>
                      <w:color w:val="auto"/>
                      <w:lang w:val="en-US" w:eastAsia="zh-CN"/>
                    </w:rPr>
                    <w:t>1h均值</w:t>
                  </w:r>
                </w:p>
              </w:tc>
              <w:tc>
                <w:tcPr>
                  <w:tcW w:w="935" w:type="pct"/>
                  <w:vMerge w:val="continue"/>
                  <w:tcBorders>
                    <w:tl2br w:val="nil"/>
                    <w:tr2bl w:val="nil"/>
                  </w:tcBorders>
                  <w:vAlign w:val="center"/>
                </w:tcPr>
                <w:p w14:paraId="04A5FB4F">
                  <w:pPr>
                    <w:jc w:val="center"/>
                    <w:rPr>
                      <w:rFonts w:hint="eastAsia"/>
                      <w:color w:val="auto"/>
                      <w:kern w:val="0"/>
                    </w:rPr>
                  </w:pPr>
                </w:p>
              </w:tc>
            </w:tr>
            <w:tr w14:paraId="266EE2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821" w:type="pct"/>
                  <w:vMerge w:val="continue"/>
                  <w:tcBorders>
                    <w:tl2br w:val="nil"/>
                    <w:tr2bl w:val="nil"/>
                  </w:tcBorders>
                  <w:vAlign w:val="center"/>
                </w:tcPr>
                <w:p w14:paraId="67B14F9A">
                  <w:pPr>
                    <w:pStyle w:val="656"/>
                    <w:snapToGrid w:val="0"/>
                    <w:rPr>
                      <w:rFonts w:hint="eastAsia" w:eastAsia="宋体"/>
                      <w:color w:val="auto"/>
                      <w:sz w:val="21"/>
                      <w:szCs w:val="21"/>
                      <w:lang w:val="en-US" w:eastAsia="zh-CN"/>
                    </w:rPr>
                  </w:pPr>
                </w:p>
              </w:tc>
              <w:tc>
                <w:tcPr>
                  <w:tcW w:w="1039" w:type="pct"/>
                  <w:tcBorders>
                    <w:tl2br w:val="nil"/>
                    <w:tr2bl w:val="nil"/>
                  </w:tcBorders>
                  <w:vAlign w:val="center"/>
                </w:tcPr>
                <w:p w14:paraId="34473733">
                  <w:pPr>
                    <w:jc w:val="center"/>
                    <w:rPr>
                      <w:rFonts w:hint="eastAsia"/>
                      <w:color w:val="auto"/>
                    </w:rPr>
                  </w:pPr>
                  <w:r>
                    <w:rPr>
                      <w:rFonts w:hint="eastAsia"/>
                      <w:color w:val="auto"/>
                      <w:kern w:val="0"/>
                      <w:lang w:val="en-US" w:eastAsia="zh-CN"/>
                    </w:rPr>
                    <w:t>50</w:t>
                  </w:r>
                </w:p>
              </w:tc>
              <w:tc>
                <w:tcPr>
                  <w:tcW w:w="1202" w:type="pct"/>
                  <w:tcBorders>
                    <w:tl2br w:val="nil"/>
                    <w:tr2bl w:val="nil"/>
                  </w:tcBorders>
                  <w:vAlign w:val="center"/>
                </w:tcPr>
                <w:p w14:paraId="0D36BA16">
                  <w:pPr>
                    <w:jc w:val="center"/>
                    <w:rPr>
                      <w:rFonts w:hint="eastAsia"/>
                      <w:color w:val="auto"/>
                    </w:rPr>
                  </w:pPr>
                  <w:r>
                    <w:rPr>
                      <w:rFonts w:hint="eastAsia"/>
                      <w:color w:val="auto"/>
                      <w:lang w:val="en-US" w:eastAsia="zh-CN"/>
                    </w:rPr>
                    <w:t>24h均值或日均值</w:t>
                  </w:r>
                </w:p>
              </w:tc>
              <w:tc>
                <w:tcPr>
                  <w:tcW w:w="935" w:type="pct"/>
                  <w:vMerge w:val="continue"/>
                  <w:tcBorders>
                    <w:tl2br w:val="nil"/>
                    <w:tr2bl w:val="nil"/>
                  </w:tcBorders>
                  <w:vAlign w:val="center"/>
                </w:tcPr>
                <w:p w14:paraId="0942D323">
                  <w:pPr>
                    <w:jc w:val="center"/>
                    <w:rPr>
                      <w:rFonts w:hint="eastAsia"/>
                      <w:color w:val="auto"/>
                      <w:kern w:val="0"/>
                    </w:rPr>
                  </w:pPr>
                </w:p>
              </w:tc>
            </w:tr>
            <w:tr w14:paraId="52D29E1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821" w:type="pct"/>
                  <w:tcBorders>
                    <w:tl2br w:val="nil"/>
                    <w:tr2bl w:val="nil"/>
                  </w:tcBorders>
                  <w:vAlign w:val="center"/>
                </w:tcPr>
                <w:p w14:paraId="44F566D0">
                  <w:pPr>
                    <w:pStyle w:val="656"/>
                    <w:snapToGrid w:val="0"/>
                    <w:rPr>
                      <w:color w:val="auto"/>
                      <w:lang w:val="zh-CN"/>
                    </w:rPr>
                  </w:pPr>
                  <w:r>
                    <w:rPr>
                      <w:rFonts w:hint="eastAsia" w:eastAsia="宋体"/>
                      <w:color w:val="auto"/>
                      <w:sz w:val="21"/>
                      <w:szCs w:val="21"/>
                      <w:lang w:val="en-US" w:eastAsia="zh-CN"/>
                    </w:rPr>
                    <w:t>铜及其化合物（以Cu计）</w:t>
                  </w:r>
                </w:p>
              </w:tc>
              <w:tc>
                <w:tcPr>
                  <w:tcW w:w="1039" w:type="pct"/>
                  <w:tcBorders>
                    <w:tl2br w:val="nil"/>
                    <w:tr2bl w:val="nil"/>
                  </w:tcBorders>
                  <w:vAlign w:val="center"/>
                </w:tcPr>
                <w:p w14:paraId="0FC6D3A3">
                  <w:pPr>
                    <w:jc w:val="center"/>
                    <w:rPr>
                      <w:rFonts w:hint="eastAsia"/>
                      <w:color w:val="auto"/>
                    </w:rPr>
                  </w:pPr>
                  <w:r>
                    <w:rPr>
                      <w:rFonts w:hint="eastAsia"/>
                      <w:color w:val="auto"/>
                      <w:kern w:val="0"/>
                      <w:lang w:val="en-US" w:eastAsia="zh-CN"/>
                    </w:rPr>
                    <w:t>2.0</w:t>
                  </w:r>
                </w:p>
              </w:tc>
              <w:tc>
                <w:tcPr>
                  <w:tcW w:w="1202" w:type="pct"/>
                  <w:tcBorders>
                    <w:tl2br w:val="nil"/>
                    <w:tr2bl w:val="nil"/>
                  </w:tcBorders>
                  <w:vAlign w:val="center"/>
                </w:tcPr>
                <w:p w14:paraId="2B065DDD">
                  <w:pPr>
                    <w:jc w:val="center"/>
                    <w:rPr>
                      <w:rFonts w:hint="eastAsia" w:eastAsia="宋体"/>
                      <w:color w:val="auto"/>
                      <w:lang w:val="en-US" w:eastAsia="zh-CN"/>
                    </w:rPr>
                  </w:pPr>
                  <w:r>
                    <w:rPr>
                      <w:rFonts w:hint="eastAsia"/>
                      <w:color w:val="auto"/>
                      <w:lang w:val="en-US" w:eastAsia="zh-CN"/>
                    </w:rPr>
                    <w:t>测定均值</w:t>
                  </w:r>
                </w:p>
              </w:tc>
              <w:tc>
                <w:tcPr>
                  <w:tcW w:w="935" w:type="pct"/>
                  <w:vMerge w:val="continue"/>
                  <w:tcBorders>
                    <w:tl2br w:val="nil"/>
                    <w:tr2bl w:val="nil"/>
                  </w:tcBorders>
                  <w:vAlign w:val="center"/>
                </w:tcPr>
                <w:p w14:paraId="3C6066DC">
                  <w:pPr>
                    <w:jc w:val="center"/>
                    <w:rPr>
                      <w:rFonts w:hint="eastAsia"/>
                      <w:color w:val="auto"/>
                      <w:kern w:val="0"/>
                    </w:rPr>
                  </w:pPr>
                </w:p>
              </w:tc>
            </w:tr>
            <w:tr w14:paraId="1796430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821" w:type="pct"/>
                  <w:tcBorders>
                    <w:tl2br w:val="nil"/>
                    <w:tr2bl w:val="nil"/>
                  </w:tcBorders>
                  <w:vAlign w:val="center"/>
                </w:tcPr>
                <w:p w14:paraId="48EA16CD">
                  <w:pPr>
                    <w:pStyle w:val="656"/>
                    <w:snapToGrid w:val="0"/>
                    <w:rPr>
                      <w:color w:val="auto"/>
                      <w:lang w:val="zh-CN"/>
                    </w:rPr>
                  </w:pPr>
                  <w:r>
                    <w:rPr>
                      <w:rFonts w:hint="eastAsia" w:eastAsia="宋体"/>
                      <w:color w:val="auto"/>
                      <w:sz w:val="21"/>
                      <w:szCs w:val="21"/>
                      <w:lang w:val="en-US" w:eastAsia="zh-CN"/>
                    </w:rPr>
                    <w:t>二噁英类</w:t>
                  </w:r>
                </w:p>
              </w:tc>
              <w:tc>
                <w:tcPr>
                  <w:tcW w:w="1039" w:type="pct"/>
                  <w:tcBorders>
                    <w:tl2br w:val="nil"/>
                    <w:tr2bl w:val="nil"/>
                  </w:tcBorders>
                  <w:vAlign w:val="center"/>
                </w:tcPr>
                <w:p w14:paraId="1716BB9A">
                  <w:pPr>
                    <w:jc w:val="center"/>
                    <w:rPr>
                      <w:rFonts w:hint="eastAsia"/>
                      <w:color w:val="auto"/>
                    </w:rPr>
                  </w:pPr>
                  <w:r>
                    <w:rPr>
                      <w:rFonts w:hint="eastAsia"/>
                      <w:color w:val="auto"/>
                      <w:kern w:val="0"/>
                      <w:lang w:val="en-US" w:eastAsia="zh-CN"/>
                    </w:rPr>
                    <w:t>0.5</w:t>
                  </w:r>
                </w:p>
              </w:tc>
              <w:tc>
                <w:tcPr>
                  <w:tcW w:w="1202" w:type="pct"/>
                  <w:tcBorders>
                    <w:tl2br w:val="nil"/>
                    <w:tr2bl w:val="nil"/>
                  </w:tcBorders>
                  <w:vAlign w:val="center"/>
                </w:tcPr>
                <w:p w14:paraId="3FBD8E99">
                  <w:pPr>
                    <w:jc w:val="center"/>
                    <w:rPr>
                      <w:rFonts w:hint="eastAsia" w:eastAsia="宋体"/>
                      <w:color w:val="auto"/>
                      <w:lang w:val="en-US" w:eastAsia="zh-CN"/>
                    </w:rPr>
                  </w:pPr>
                  <w:r>
                    <w:rPr>
                      <w:rFonts w:hint="eastAsia"/>
                      <w:color w:val="auto"/>
                      <w:lang w:val="en-US" w:eastAsia="zh-CN"/>
                    </w:rPr>
                    <w:t>测定均值</w:t>
                  </w:r>
                </w:p>
              </w:tc>
              <w:tc>
                <w:tcPr>
                  <w:tcW w:w="935" w:type="pct"/>
                  <w:vMerge w:val="continue"/>
                  <w:tcBorders>
                    <w:tl2br w:val="nil"/>
                    <w:tr2bl w:val="nil"/>
                  </w:tcBorders>
                  <w:vAlign w:val="center"/>
                </w:tcPr>
                <w:p w14:paraId="76426E23">
                  <w:pPr>
                    <w:jc w:val="center"/>
                    <w:rPr>
                      <w:rFonts w:hint="eastAsia"/>
                      <w:color w:val="auto"/>
                      <w:kern w:val="0"/>
                    </w:rPr>
                  </w:pPr>
                </w:p>
              </w:tc>
            </w:tr>
            <w:tr w14:paraId="0CA3534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821" w:type="pct"/>
                  <w:tcBorders>
                    <w:tl2br w:val="nil"/>
                    <w:tr2bl w:val="nil"/>
                  </w:tcBorders>
                  <w:vAlign w:val="center"/>
                </w:tcPr>
                <w:p w14:paraId="126F54BE">
                  <w:pPr>
                    <w:pStyle w:val="656"/>
                    <w:snapToGrid w:val="0"/>
                    <w:rPr>
                      <w:rFonts w:hint="eastAsia" w:eastAsia="宋体"/>
                      <w:color w:val="auto"/>
                      <w:sz w:val="21"/>
                      <w:szCs w:val="21"/>
                      <w:lang w:val="en-US" w:eastAsia="zh-CN"/>
                    </w:rPr>
                  </w:pPr>
                  <w:r>
                    <w:rPr>
                      <w:rFonts w:hint="eastAsia" w:eastAsia="宋体"/>
                      <w:color w:val="auto"/>
                      <w:sz w:val="21"/>
                      <w:szCs w:val="21"/>
                      <w:lang w:val="en-US" w:eastAsia="zh-CN"/>
                    </w:rPr>
                    <w:t>锡、锑、铜、锰、镍、钴及其化合物（以Sn+Sb+Cu+Mn+Ni+Co计）</w:t>
                  </w:r>
                </w:p>
              </w:tc>
              <w:tc>
                <w:tcPr>
                  <w:tcW w:w="1039" w:type="pct"/>
                  <w:tcBorders>
                    <w:tl2br w:val="nil"/>
                    <w:tr2bl w:val="nil"/>
                  </w:tcBorders>
                  <w:vAlign w:val="center"/>
                </w:tcPr>
                <w:p w14:paraId="725AEB63">
                  <w:pPr>
                    <w:jc w:val="center"/>
                    <w:rPr>
                      <w:rFonts w:hint="default"/>
                      <w:color w:val="auto"/>
                      <w:kern w:val="0"/>
                      <w:lang w:val="en-US" w:eastAsia="zh-CN"/>
                    </w:rPr>
                  </w:pPr>
                  <w:r>
                    <w:rPr>
                      <w:rFonts w:hint="eastAsia"/>
                      <w:color w:val="auto"/>
                      <w:kern w:val="0"/>
                      <w:lang w:val="en-US" w:eastAsia="zh-CN"/>
                    </w:rPr>
                    <w:t>2.0</w:t>
                  </w:r>
                </w:p>
              </w:tc>
              <w:tc>
                <w:tcPr>
                  <w:tcW w:w="1202" w:type="pct"/>
                  <w:tcBorders>
                    <w:tl2br w:val="nil"/>
                    <w:tr2bl w:val="nil"/>
                  </w:tcBorders>
                  <w:vAlign w:val="center"/>
                </w:tcPr>
                <w:p w14:paraId="7CF05701">
                  <w:pPr>
                    <w:jc w:val="center"/>
                    <w:rPr>
                      <w:rFonts w:hint="default"/>
                      <w:color w:val="auto"/>
                      <w:lang w:val="en-US" w:eastAsia="zh-CN"/>
                    </w:rPr>
                  </w:pPr>
                  <w:r>
                    <w:rPr>
                      <w:rFonts w:hint="eastAsia"/>
                      <w:color w:val="auto"/>
                      <w:lang w:val="en-US" w:eastAsia="zh-CN"/>
                    </w:rPr>
                    <w:t>测定均值</w:t>
                  </w:r>
                </w:p>
              </w:tc>
              <w:tc>
                <w:tcPr>
                  <w:tcW w:w="935" w:type="pct"/>
                  <w:vMerge w:val="continue"/>
                  <w:tcBorders>
                    <w:tl2br w:val="nil"/>
                    <w:tr2bl w:val="nil"/>
                  </w:tcBorders>
                  <w:vAlign w:val="center"/>
                </w:tcPr>
                <w:p w14:paraId="07E61815">
                  <w:pPr>
                    <w:jc w:val="center"/>
                    <w:rPr>
                      <w:rFonts w:hint="eastAsia"/>
                      <w:color w:val="auto"/>
                      <w:kern w:val="0"/>
                    </w:rPr>
                  </w:pPr>
                </w:p>
              </w:tc>
            </w:tr>
          </w:tbl>
          <w:p w14:paraId="4369BA50">
            <w:pPr>
              <w:adjustRightInd w:val="0"/>
              <w:snapToGrid w:val="0"/>
              <w:jc w:val="center"/>
              <w:rPr>
                <w:color w:val="auto"/>
              </w:rPr>
            </w:pPr>
            <w:r>
              <w:rPr>
                <w:b/>
                <w:color w:val="auto"/>
              </w:rPr>
              <w:t>表3-</w:t>
            </w:r>
            <w:r>
              <w:rPr>
                <w:rFonts w:hint="eastAsia"/>
                <w:b/>
                <w:color w:val="auto"/>
              </w:rPr>
              <w:t>5</w:t>
            </w:r>
            <w:r>
              <w:rPr>
                <w:rFonts w:hint="eastAsia"/>
                <w:b/>
                <w:color w:val="auto"/>
                <w:lang w:val="en-US" w:eastAsia="zh-CN"/>
              </w:rPr>
              <w:t>.2</w:t>
            </w:r>
            <w:r>
              <w:rPr>
                <w:b/>
                <w:color w:val="auto"/>
              </w:rPr>
              <w:t xml:space="preserve">   </w:t>
            </w:r>
            <w:r>
              <w:rPr>
                <w:rFonts w:hint="eastAsia"/>
                <w:b/>
                <w:color w:val="auto"/>
                <w:lang w:val="en-US" w:eastAsia="zh-CN"/>
              </w:rPr>
              <w:t>大气污染物</w:t>
            </w:r>
            <w:r>
              <w:rPr>
                <w:rFonts w:hint="eastAsia"/>
                <w:b/>
                <w:color w:val="auto"/>
              </w:rPr>
              <w:t>排放限值</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28" w:type="dxa"/>
                <w:bottom w:w="0" w:type="dxa"/>
                <w:right w:w="28" w:type="dxa"/>
              </w:tblCellMar>
            </w:tblPr>
            <w:tblGrid>
              <w:gridCol w:w="1816"/>
              <w:gridCol w:w="1409"/>
              <w:gridCol w:w="1439"/>
              <w:gridCol w:w="1229"/>
              <w:gridCol w:w="2834"/>
            </w:tblGrid>
            <w:tr w14:paraId="28B764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040" w:type="pct"/>
                  <w:tcBorders>
                    <w:tl2br w:val="nil"/>
                    <w:tr2bl w:val="nil"/>
                  </w:tcBorders>
                  <w:vAlign w:val="center"/>
                </w:tcPr>
                <w:p w14:paraId="41AF9E52">
                  <w:pPr>
                    <w:jc w:val="center"/>
                    <w:rPr>
                      <w:b/>
                      <w:bCs/>
                      <w:color w:val="auto"/>
                    </w:rPr>
                  </w:pPr>
                  <w:r>
                    <w:rPr>
                      <w:b/>
                      <w:bCs/>
                      <w:color w:val="auto"/>
                    </w:rPr>
                    <w:t>污染物名称</w:t>
                  </w:r>
                </w:p>
              </w:tc>
              <w:tc>
                <w:tcPr>
                  <w:tcW w:w="807" w:type="pct"/>
                  <w:tcBorders>
                    <w:tl2br w:val="nil"/>
                    <w:tr2bl w:val="nil"/>
                  </w:tcBorders>
                  <w:vAlign w:val="center"/>
                </w:tcPr>
                <w:p w14:paraId="622695B8">
                  <w:pPr>
                    <w:jc w:val="center"/>
                    <w:rPr>
                      <w:b/>
                      <w:bCs/>
                      <w:color w:val="auto"/>
                    </w:rPr>
                  </w:pPr>
                  <w:r>
                    <w:rPr>
                      <w:b/>
                      <w:bCs/>
                      <w:color w:val="auto"/>
                    </w:rPr>
                    <w:t>最高允许排放浓度（mg/m</w:t>
                  </w:r>
                  <w:r>
                    <w:rPr>
                      <w:b/>
                      <w:bCs/>
                      <w:color w:val="auto"/>
                      <w:vertAlign w:val="superscript"/>
                    </w:rPr>
                    <w:t>3</w:t>
                  </w:r>
                  <w:r>
                    <w:rPr>
                      <w:b/>
                      <w:bCs/>
                      <w:color w:val="auto"/>
                    </w:rPr>
                    <w:t>）</w:t>
                  </w:r>
                </w:p>
              </w:tc>
              <w:tc>
                <w:tcPr>
                  <w:tcW w:w="824" w:type="pct"/>
                  <w:tcBorders>
                    <w:tl2br w:val="nil"/>
                    <w:tr2bl w:val="nil"/>
                  </w:tcBorders>
                  <w:vAlign w:val="center"/>
                </w:tcPr>
                <w:p w14:paraId="0A367957">
                  <w:pPr>
                    <w:jc w:val="center"/>
                    <w:rPr>
                      <w:b/>
                      <w:bCs/>
                      <w:color w:val="auto"/>
                    </w:rPr>
                  </w:pPr>
                  <w:r>
                    <w:rPr>
                      <w:b/>
                      <w:bCs/>
                      <w:color w:val="auto"/>
                    </w:rPr>
                    <w:t>最高允许排放速率（kg/h）</w:t>
                  </w:r>
                </w:p>
              </w:tc>
              <w:tc>
                <w:tcPr>
                  <w:tcW w:w="704" w:type="pct"/>
                  <w:tcBorders>
                    <w:tl2br w:val="nil"/>
                    <w:tr2bl w:val="nil"/>
                  </w:tcBorders>
                  <w:vAlign w:val="center"/>
                </w:tcPr>
                <w:p w14:paraId="021DA898">
                  <w:pPr>
                    <w:jc w:val="center"/>
                    <w:rPr>
                      <w:b/>
                      <w:bCs/>
                      <w:color w:val="auto"/>
                    </w:rPr>
                  </w:pPr>
                  <w:r>
                    <w:rPr>
                      <w:rFonts w:hint="eastAsia"/>
                      <w:b/>
                      <w:bCs/>
                      <w:color w:val="auto"/>
                    </w:rPr>
                    <w:t>污染物排放监控位置</w:t>
                  </w:r>
                </w:p>
              </w:tc>
              <w:tc>
                <w:tcPr>
                  <w:tcW w:w="1622" w:type="pct"/>
                  <w:tcBorders>
                    <w:tl2br w:val="nil"/>
                    <w:tr2bl w:val="nil"/>
                  </w:tcBorders>
                  <w:vAlign w:val="center"/>
                </w:tcPr>
                <w:p w14:paraId="2FB65D22">
                  <w:pPr>
                    <w:jc w:val="center"/>
                    <w:rPr>
                      <w:b/>
                      <w:bCs/>
                      <w:color w:val="auto"/>
                    </w:rPr>
                  </w:pPr>
                  <w:r>
                    <w:rPr>
                      <w:b/>
                      <w:bCs/>
                      <w:color w:val="auto"/>
                    </w:rPr>
                    <w:t>标准来源</w:t>
                  </w:r>
                </w:p>
              </w:tc>
            </w:tr>
            <w:tr w14:paraId="70D2E1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040" w:type="pct"/>
                  <w:tcBorders>
                    <w:tl2br w:val="nil"/>
                    <w:tr2bl w:val="nil"/>
                  </w:tcBorders>
                  <w:vAlign w:val="center"/>
                </w:tcPr>
                <w:p w14:paraId="525C11F1">
                  <w:pPr>
                    <w:pStyle w:val="656"/>
                    <w:snapToGrid w:val="0"/>
                    <w:rPr>
                      <w:color w:val="auto"/>
                      <w:lang w:val="zh-CN"/>
                    </w:rPr>
                  </w:pPr>
                  <w:r>
                    <w:rPr>
                      <w:rFonts w:hint="eastAsia" w:eastAsia="宋体"/>
                      <w:color w:val="auto"/>
                      <w:sz w:val="21"/>
                      <w:szCs w:val="21"/>
                      <w:lang w:val="en-US" w:eastAsia="zh-CN"/>
                    </w:rPr>
                    <w:t>氨</w:t>
                  </w:r>
                </w:p>
              </w:tc>
              <w:tc>
                <w:tcPr>
                  <w:tcW w:w="1409" w:type="dxa"/>
                  <w:tcBorders>
                    <w:tl2br w:val="nil"/>
                    <w:tr2bl w:val="nil"/>
                  </w:tcBorders>
                  <w:vAlign w:val="center"/>
                </w:tcPr>
                <w:p w14:paraId="7920A65D">
                  <w:pPr>
                    <w:jc w:val="center"/>
                    <w:rPr>
                      <w:rFonts w:hint="eastAsia"/>
                      <w:color w:val="auto"/>
                    </w:rPr>
                  </w:pPr>
                  <w:r>
                    <w:rPr>
                      <w:rFonts w:hint="eastAsia"/>
                      <w:color w:val="auto"/>
                      <w:kern w:val="0"/>
                      <w:lang w:val="en-US" w:eastAsia="zh-CN"/>
                    </w:rPr>
                    <w:t>--</w:t>
                  </w:r>
                </w:p>
              </w:tc>
              <w:tc>
                <w:tcPr>
                  <w:tcW w:w="1439" w:type="dxa"/>
                  <w:tcBorders>
                    <w:tl2br w:val="nil"/>
                    <w:tr2bl w:val="nil"/>
                  </w:tcBorders>
                  <w:vAlign w:val="center"/>
                </w:tcPr>
                <w:p w14:paraId="7003D79E">
                  <w:pPr>
                    <w:jc w:val="center"/>
                    <w:rPr>
                      <w:rFonts w:hint="eastAsia"/>
                      <w:color w:val="auto"/>
                    </w:rPr>
                  </w:pPr>
                  <w:r>
                    <w:rPr>
                      <w:rFonts w:hint="eastAsia"/>
                      <w:color w:val="auto"/>
                      <w:kern w:val="0"/>
                      <w:lang w:val="en-US" w:eastAsia="zh-CN"/>
                    </w:rPr>
                    <w:t>14</w:t>
                  </w:r>
                </w:p>
              </w:tc>
              <w:tc>
                <w:tcPr>
                  <w:tcW w:w="704" w:type="pct"/>
                  <w:vMerge w:val="restart"/>
                  <w:tcBorders>
                    <w:tl2br w:val="nil"/>
                    <w:tr2bl w:val="nil"/>
                  </w:tcBorders>
                  <w:vAlign w:val="center"/>
                </w:tcPr>
                <w:p w14:paraId="3B3C4014">
                  <w:pPr>
                    <w:jc w:val="center"/>
                    <w:rPr>
                      <w:rFonts w:hint="eastAsia" w:eastAsia="宋体"/>
                      <w:color w:val="auto"/>
                      <w:lang w:val="en-US" w:eastAsia="zh-CN"/>
                    </w:rPr>
                  </w:pPr>
                  <w:r>
                    <w:rPr>
                      <w:rFonts w:hint="eastAsia"/>
                      <w:color w:val="auto"/>
                      <w:lang w:val="en-US" w:eastAsia="zh-CN"/>
                    </w:rPr>
                    <w:t>排气筒出口</w:t>
                  </w:r>
                </w:p>
              </w:tc>
              <w:tc>
                <w:tcPr>
                  <w:tcW w:w="1622" w:type="pct"/>
                  <w:tcBorders>
                    <w:tl2br w:val="nil"/>
                    <w:tr2bl w:val="nil"/>
                  </w:tcBorders>
                  <w:vAlign w:val="center"/>
                </w:tcPr>
                <w:p w14:paraId="5C023B9C">
                  <w:pPr>
                    <w:jc w:val="center"/>
                    <w:rPr>
                      <w:rFonts w:hint="eastAsia"/>
                      <w:color w:val="auto"/>
                      <w:kern w:val="0"/>
                    </w:rPr>
                  </w:pPr>
                  <w:r>
                    <w:rPr>
                      <w:rFonts w:hint="eastAsia"/>
                      <w:bCs/>
                      <w:color w:val="auto"/>
                      <w:kern w:val="0"/>
                    </w:rPr>
                    <w:t>《恶臭污染物排放标准》（GB14554-1993）</w:t>
                  </w:r>
                </w:p>
              </w:tc>
            </w:tr>
            <w:tr w14:paraId="4837045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040" w:type="pct"/>
                  <w:tcBorders>
                    <w:tl2br w:val="nil"/>
                    <w:tr2bl w:val="nil"/>
                  </w:tcBorders>
                  <w:vAlign w:val="center"/>
                </w:tcPr>
                <w:p w14:paraId="263DE107">
                  <w:pPr>
                    <w:pStyle w:val="656"/>
                    <w:snapToGrid w:val="0"/>
                    <w:rPr>
                      <w:color w:val="auto"/>
                      <w:lang w:val="zh-CN"/>
                    </w:rPr>
                  </w:pPr>
                  <w:r>
                    <w:rPr>
                      <w:rFonts w:hint="eastAsia" w:eastAsia="宋体"/>
                      <w:color w:val="auto"/>
                      <w:sz w:val="21"/>
                      <w:szCs w:val="21"/>
                      <w:lang w:val="en-US" w:eastAsia="zh-CN"/>
                    </w:rPr>
                    <w:t>非甲烷总烃</w:t>
                  </w:r>
                </w:p>
              </w:tc>
              <w:tc>
                <w:tcPr>
                  <w:tcW w:w="1409" w:type="dxa"/>
                  <w:tcBorders>
                    <w:tl2br w:val="nil"/>
                    <w:tr2bl w:val="nil"/>
                  </w:tcBorders>
                  <w:vAlign w:val="center"/>
                </w:tcPr>
                <w:p w14:paraId="31006CF8">
                  <w:pPr>
                    <w:jc w:val="center"/>
                    <w:rPr>
                      <w:rFonts w:hint="eastAsia"/>
                      <w:color w:val="auto"/>
                    </w:rPr>
                  </w:pPr>
                  <w:r>
                    <w:rPr>
                      <w:rFonts w:hint="eastAsia"/>
                      <w:color w:val="auto"/>
                      <w:kern w:val="0"/>
                      <w:lang w:val="en-US" w:eastAsia="zh-CN"/>
                    </w:rPr>
                    <w:t>60</w:t>
                  </w:r>
                </w:p>
              </w:tc>
              <w:tc>
                <w:tcPr>
                  <w:tcW w:w="1439" w:type="dxa"/>
                  <w:tcBorders>
                    <w:tl2br w:val="nil"/>
                    <w:tr2bl w:val="nil"/>
                  </w:tcBorders>
                  <w:vAlign w:val="center"/>
                </w:tcPr>
                <w:p w14:paraId="7A500398">
                  <w:pPr>
                    <w:jc w:val="center"/>
                    <w:rPr>
                      <w:rFonts w:hint="eastAsia"/>
                      <w:color w:val="auto"/>
                    </w:rPr>
                  </w:pPr>
                  <w:r>
                    <w:rPr>
                      <w:rFonts w:hint="eastAsia"/>
                      <w:color w:val="auto"/>
                      <w:kern w:val="0"/>
                      <w:lang w:val="en-US" w:eastAsia="zh-CN"/>
                    </w:rPr>
                    <w:t>3</w:t>
                  </w:r>
                </w:p>
              </w:tc>
              <w:tc>
                <w:tcPr>
                  <w:tcW w:w="704" w:type="pct"/>
                  <w:vMerge w:val="continue"/>
                  <w:tcBorders>
                    <w:tl2br w:val="nil"/>
                    <w:tr2bl w:val="nil"/>
                  </w:tcBorders>
                  <w:vAlign w:val="center"/>
                </w:tcPr>
                <w:p w14:paraId="6F12840E">
                  <w:pPr>
                    <w:jc w:val="center"/>
                    <w:rPr>
                      <w:rFonts w:hint="eastAsia"/>
                      <w:color w:val="auto"/>
                    </w:rPr>
                  </w:pPr>
                </w:p>
              </w:tc>
              <w:tc>
                <w:tcPr>
                  <w:tcW w:w="1622" w:type="pct"/>
                  <w:tcBorders>
                    <w:tl2br w:val="nil"/>
                    <w:tr2bl w:val="nil"/>
                  </w:tcBorders>
                  <w:vAlign w:val="center"/>
                </w:tcPr>
                <w:p w14:paraId="33D7ADDC">
                  <w:pPr>
                    <w:jc w:val="center"/>
                    <w:rPr>
                      <w:rFonts w:hint="default" w:eastAsia="宋体"/>
                      <w:color w:val="auto"/>
                      <w:kern w:val="0"/>
                      <w:lang w:val="en-US" w:eastAsia="zh-CN"/>
                    </w:rPr>
                  </w:pPr>
                  <w:r>
                    <w:rPr>
                      <w:rFonts w:hint="eastAsia"/>
                      <w:bCs/>
                      <w:color w:val="auto"/>
                      <w:kern w:val="0"/>
                    </w:rPr>
                    <w:t>《大气污染物综合排放标准》（DB32/4041-2021）</w:t>
                  </w:r>
                  <w:r>
                    <w:rPr>
                      <w:rFonts w:hint="eastAsia"/>
                      <w:bCs/>
                      <w:color w:val="auto"/>
                      <w:kern w:val="0"/>
                      <w:lang w:val="en-US" w:eastAsia="zh-CN"/>
                    </w:rPr>
                    <w:t>表1</w:t>
                  </w:r>
                </w:p>
              </w:tc>
            </w:tr>
          </w:tbl>
          <w:p w14:paraId="3A84FB92">
            <w:pPr>
              <w:adjustRightInd w:val="0"/>
              <w:snapToGrid w:val="0"/>
              <w:jc w:val="center"/>
              <w:rPr>
                <w:b/>
                <w:color w:val="auto"/>
              </w:rPr>
            </w:pPr>
            <w:r>
              <w:rPr>
                <w:b/>
                <w:color w:val="auto"/>
              </w:rPr>
              <w:t>表3-</w:t>
            </w:r>
            <w:r>
              <w:rPr>
                <w:rFonts w:hint="eastAsia"/>
                <w:b/>
                <w:color w:val="auto"/>
                <w:lang w:val="en-US" w:eastAsia="zh-CN"/>
              </w:rPr>
              <w:t>6</w:t>
            </w:r>
            <w:r>
              <w:rPr>
                <w:b/>
                <w:color w:val="auto"/>
              </w:rPr>
              <w:t xml:space="preserve">   </w:t>
            </w:r>
            <w:r>
              <w:rPr>
                <w:rFonts w:hint="eastAsia"/>
                <w:b/>
                <w:color w:val="auto"/>
              </w:rPr>
              <w:t>厂区内VOCs</w:t>
            </w:r>
            <w:r>
              <w:rPr>
                <w:b/>
                <w:color w:val="auto"/>
              </w:rPr>
              <w:t>无组织排放限值</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220"/>
              <w:gridCol w:w="1686"/>
              <w:gridCol w:w="2910"/>
              <w:gridCol w:w="2911"/>
            </w:tblGrid>
            <w:tr w14:paraId="3A84FB9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99" w:type="pct"/>
                  <w:vAlign w:val="center"/>
                </w:tcPr>
                <w:p w14:paraId="3A84FB93">
                  <w:pPr>
                    <w:pStyle w:val="704"/>
                    <w:rPr>
                      <w:b/>
                      <w:color w:val="auto"/>
                      <w:szCs w:val="21"/>
                    </w:rPr>
                  </w:pPr>
                  <w:r>
                    <w:rPr>
                      <w:b/>
                      <w:color w:val="auto"/>
                      <w:szCs w:val="21"/>
                    </w:rPr>
                    <w:t>控制项目</w:t>
                  </w:r>
                </w:p>
              </w:tc>
              <w:tc>
                <w:tcPr>
                  <w:tcW w:w="966" w:type="pct"/>
                  <w:vAlign w:val="center"/>
                </w:tcPr>
                <w:p w14:paraId="3A84FB94">
                  <w:pPr>
                    <w:pStyle w:val="704"/>
                    <w:rPr>
                      <w:b/>
                      <w:color w:val="auto"/>
                      <w:szCs w:val="21"/>
                    </w:rPr>
                  </w:pPr>
                  <w:r>
                    <w:rPr>
                      <w:b/>
                      <w:color w:val="auto"/>
                      <w:szCs w:val="21"/>
                    </w:rPr>
                    <w:t>特别排放限值</w:t>
                  </w:r>
                  <w:r>
                    <w:rPr>
                      <w:b/>
                      <w:bCs/>
                      <w:color w:val="auto"/>
                      <w:szCs w:val="21"/>
                    </w:rPr>
                    <w:t>mg/m</w:t>
                  </w:r>
                  <w:r>
                    <w:rPr>
                      <w:b/>
                      <w:bCs/>
                      <w:color w:val="auto"/>
                      <w:szCs w:val="21"/>
                      <w:vertAlign w:val="superscript"/>
                    </w:rPr>
                    <w:t>3</w:t>
                  </w:r>
                </w:p>
              </w:tc>
              <w:tc>
                <w:tcPr>
                  <w:tcW w:w="1667" w:type="pct"/>
                  <w:vAlign w:val="center"/>
                </w:tcPr>
                <w:p w14:paraId="3A84FB95">
                  <w:pPr>
                    <w:pStyle w:val="704"/>
                    <w:rPr>
                      <w:b/>
                      <w:color w:val="auto"/>
                      <w:szCs w:val="21"/>
                    </w:rPr>
                  </w:pPr>
                  <w:r>
                    <w:rPr>
                      <w:b/>
                      <w:color w:val="auto"/>
                      <w:szCs w:val="21"/>
                    </w:rPr>
                    <w:t>限值含义</w:t>
                  </w:r>
                </w:p>
              </w:tc>
              <w:tc>
                <w:tcPr>
                  <w:tcW w:w="1667" w:type="pct"/>
                  <w:vAlign w:val="center"/>
                </w:tcPr>
                <w:p w14:paraId="3A84FB96">
                  <w:pPr>
                    <w:pStyle w:val="704"/>
                    <w:rPr>
                      <w:b/>
                      <w:color w:val="auto"/>
                      <w:szCs w:val="21"/>
                    </w:rPr>
                  </w:pPr>
                  <w:r>
                    <w:rPr>
                      <w:b/>
                      <w:color w:val="auto"/>
                      <w:szCs w:val="21"/>
                    </w:rPr>
                    <w:t>无组织排放监控位置</w:t>
                  </w:r>
                </w:p>
              </w:tc>
            </w:tr>
            <w:tr w14:paraId="3A84FB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99" w:type="pct"/>
                  <w:vMerge w:val="restart"/>
                  <w:vAlign w:val="center"/>
                </w:tcPr>
                <w:p w14:paraId="3A84FB98">
                  <w:pPr>
                    <w:pStyle w:val="704"/>
                    <w:rPr>
                      <w:color w:val="auto"/>
                      <w:szCs w:val="21"/>
                    </w:rPr>
                  </w:pPr>
                  <w:r>
                    <w:rPr>
                      <w:color w:val="auto"/>
                      <w:szCs w:val="21"/>
                    </w:rPr>
                    <w:t>NMHC</w:t>
                  </w:r>
                </w:p>
              </w:tc>
              <w:tc>
                <w:tcPr>
                  <w:tcW w:w="966" w:type="pct"/>
                  <w:vAlign w:val="center"/>
                </w:tcPr>
                <w:p w14:paraId="3A84FB99">
                  <w:pPr>
                    <w:pStyle w:val="704"/>
                    <w:rPr>
                      <w:color w:val="auto"/>
                      <w:szCs w:val="21"/>
                    </w:rPr>
                  </w:pPr>
                  <w:r>
                    <w:rPr>
                      <w:color w:val="auto"/>
                      <w:szCs w:val="21"/>
                    </w:rPr>
                    <w:t>6</w:t>
                  </w:r>
                </w:p>
              </w:tc>
              <w:tc>
                <w:tcPr>
                  <w:tcW w:w="1667" w:type="pct"/>
                  <w:vAlign w:val="center"/>
                </w:tcPr>
                <w:p w14:paraId="3A84FB9A">
                  <w:pPr>
                    <w:pStyle w:val="704"/>
                    <w:rPr>
                      <w:color w:val="auto"/>
                      <w:szCs w:val="21"/>
                    </w:rPr>
                  </w:pPr>
                  <w:r>
                    <w:rPr>
                      <w:color w:val="auto"/>
                      <w:szCs w:val="21"/>
                    </w:rPr>
                    <w:t>监控点1h平均浓度值</w:t>
                  </w:r>
                </w:p>
              </w:tc>
              <w:tc>
                <w:tcPr>
                  <w:tcW w:w="1667" w:type="pct"/>
                  <w:vMerge w:val="restart"/>
                  <w:vAlign w:val="center"/>
                </w:tcPr>
                <w:p w14:paraId="3A84FB9B">
                  <w:pPr>
                    <w:pStyle w:val="704"/>
                    <w:rPr>
                      <w:color w:val="auto"/>
                      <w:szCs w:val="21"/>
                    </w:rPr>
                  </w:pPr>
                  <w:r>
                    <w:rPr>
                      <w:color w:val="auto"/>
                      <w:szCs w:val="21"/>
                    </w:rPr>
                    <w:t>在厂房外设置监控点</w:t>
                  </w:r>
                </w:p>
              </w:tc>
            </w:tr>
            <w:tr w14:paraId="3A84FBA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99" w:type="pct"/>
                  <w:vMerge w:val="continue"/>
                  <w:vAlign w:val="center"/>
                </w:tcPr>
                <w:p w14:paraId="3A84FB9D">
                  <w:pPr>
                    <w:pStyle w:val="704"/>
                    <w:rPr>
                      <w:color w:val="auto"/>
                      <w:szCs w:val="21"/>
                    </w:rPr>
                  </w:pPr>
                </w:p>
              </w:tc>
              <w:tc>
                <w:tcPr>
                  <w:tcW w:w="966" w:type="pct"/>
                  <w:vAlign w:val="center"/>
                </w:tcPr>
                <w:p w14:paraId="3A84FB9E">
                  <w:pPr>
                    <w:pStyle w:val="704"/>
                    <w:rPr>
                      <w:color w:val="auto"/>
                      <w:szCs w:val="21"/>
                    </w:rPr>
                  </w:pPr>
                  <w:r>
                    <w:rPr>
                      <w:color w:val="auto"/>
                      <w:szCs w:val="21"/>
                    </w:rPr>
                    <w:t>20</w:t>
                  </w:r>
                </w:p>
              </w:tc>
              <w:tc>
                <w:tcPr>
                  <w:tcW w:w="1667" w:type="pct"/>
                  <w:vAlign w:val="center"/>
                </w:tcPr>
                <w:p w14:paraId="3A84FB9F">
                  <w:pPr>
                    <w:pStyle w:val="704"/>
                    <w:rPr>
                      <w:color w:val="auto"/>
                      <w:szCs w:val="21"/>
                    </w:rPr>
                  </w:pPr>
                  <w:r>
                    <w:rPr>
                      <w:color w:val="auto"/>
                      <w:szCs w:val="21"/>
                    </w:rPr>
                    <w:t>监控点处任意一次浓度值</w:t>
                  </w:r>
                </w:p>
              </w:tc>
              <w:tc>
                <w:tcPr>
                  <w:tcW w:w="1667" w:type="pct"/>
                  <w:vMerge w:val="continue"/>
                  <w:vAlign w:val="center"/>
                </w:tcPr>
                <w:p w14:paraId="3A84FBA0">
                  <w:pPr>
                    <w:pStyle w:val="704"/>
                    <w:rPr>
                      <w:color w:val="auto"/>
                      <w:szCs w:val="21"/>
                    </w:rPr>
                  </w:pPr>
                </w:p>
              </w:tc>
            </w:tr>
          </w:tbl>
          <w:p w14:paraId="3A84FBA2">
            <w:pPr>
              <w:adjustRightInd w:val="0"/>
              <w:snapToGrid w:val="0"/>
              <w:spacing w:line="360" w:lineRule="auto"/>
              <w:rPr>
                <w:b/>
                <w:bCs/>
                <w:color w:val="auto"/>
              </w:rPr>
            </w:pPr>
            <w:r>
              <w:rPr>
                <w:rFonts w:hint="eastAsia"/>
                <w:b/>
                <w:bCs/>
                <w:color w:val="auto"/>
              </w:rPr>
              <w:t>2、废水：</w:t>
            </w:r>
          </w:p>
          <w:p w14:paraId="3A84FBA3">
            <w:pPr>
              <w:adjustRightInd w:val="0"/>
              <w:snapToGrid w:val="0"/>
              <w:spacing w:line="360" w:lineRule="auto"/>
              <w:ind w:firstLine="420" w:firstLineChars="200"/>
              <w:rPr>
                <w:color w:val="auto"/>
              </w:rPr>
            </w:pPr>
            <w:r>
              <w:rPr>
                <w:rFonts w:hint="eastAsia"/>
                <w:color w:val="auto"/>
              </w:rPr>
              <w:t>本项目生活污水经厂区污水管网接入市政污水管网排入常州市金坛区茅东污水处理厂处理，达标尾水排入薛埠河，污水接管标准执行常州市金坛区茅东污水处理厂接管限值。</w:t>
            </w:r>
          </w:p>
          <w:p w14:paraId="3A84FBA4">
            <w:pPr>
              <w:adjustRightInd w:val="0"/>
              <w:snapToGrid w:val="0"/>
              <w:spacing w:line="360" w:lineRule="auto"/>
              <w:ind w:firstLine="420" w:firstLineChars="200"/>
              <w:rPr>
                <w:color w:val="auto"/>
              </w:rPr>
            </w:pPr>
            <w:r>
              <w:rPr>
                <w:rFonts w:hint="eastAsia"/>
                <w:color w:val="auto"/>
              </w:rPr>
              <w:t>常州市金坛区茅东污水处理厂接管浓度限值要求见下表。</w:t>
            </w:r>
          </w:p>
          <w:p w14:paraId="3A84FBA5">
            <w:pPr>
              <w:adjustRightInd w:val="0"/>
              <w:snapToGrid w:val="0"/>
              <w:jc w:val="center"/>
              <w:rPr>
                <w:b/>
                <w:bCs/>
                <w:color w:val="auto"/>
              </w:rPr>
            </w:pPr>
            <w:r>
              <w:rPr>
                <w:rFonts w:hint="eastAsia"/>
                <w:b/>
                <w:bCs/>
                <w:color w:val="auto"/>
              </w:rPr>
              <w:t>表3-</w:t>
            </w:r>
            <w:r>
              <w:rPr>
                <w:rFonts w:hint="eastAsia"/>
                <w:b/>
                <w:bCs/>
                <w:color w:val="auto"/>
                <w:lang w:val="en-US" w:eastAsia="zh-CN"/>
              </w:rPr>
              <w:t>7</w:t>
            </w:r>
            <w:r>
              <w:rPr>
                <w:rFonts w:hint="eastAsia"/>
                <w:b/>
                <w:bCs/>
                <w:color w:val="auto"/>
              </w:rPr>
              <w:t xml:space="preserve">   污水接管标准 单位：mg/L</w:t>
            </w:r>
          </w:p>
          <w:tbl>
            <w:tblPr>
              <w:tblStyle w:val="59"/>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765"/>
              <w:gridCol w:w="2278"/>
              <w:gridCol w:w="1622"/>
              <w:gridCol w:w="3062"/>
            </w:tblGrid>
            <w:tr w14:paraId="3A84FBA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c>
                <w:tcPr>
                  <w:tcW w:w="1011" w:type="pct"/>
                  <w:tcBorders>
                    <w:tl2br w:val="nil"/>
                    <w:tr2bl w:val="nil"/>
                  </w:tcBorders>
                  <w:shd w:val="clear" w:color="auto" w:fill="auto"/>
                  <w:vAlign w:val="center"/>
                </w:tcPr>
                <w:p w14:paraId="3A84FBA6">
                  <w:pPr>
                    <w:adjustRightInd w:val="0"/>
                    <w:snapToGrid w:val="0"/>
                    <w:jc w:val="center"/>
                    <w:rPr>
                      <w:b/>
                      <w:bCs/>
                      <w:color w:val="auto"/>
                    </w:rPr>
                  </w:pPr>
                  <w:r>
                    <w:rPr>
                      <w:rFonts w:hint="eastAsia"/>
                      <w:b/>
                      <w:bCs/>
                      <w:color w:val="auto"/>
                    </w:rPr>
                    <w:t>排放源</w:t>
                  </w:r>
                </w:p>
              </w:tc>
              <w:tc>
                <w:tcPr>
                  <w:tcW w:w="1305" w:type="pct"/>
                  <w:tcBorders>
                    <w:tl2br w:val="nil"/>
                    <w:tr2bl w:val="nil"/>
                  </w:tcBorders>
                  <w:shd w:val="clear" w:color="auto" w:fill="auto"/>
                  <w:vAlign w:val="center"/>
                </w:tcPr>
                <w:p w14:paraId="3A84FBA7">
                  <w:pPr>
                    <w:adjustRightInd w:val="0"/>
                    <w:snapToGrid w:val="0"/>
                    <w:jc w:val="center"/>
                    <w:rPr>
                      <w:b/>
                      <w:bCs/>
                      <w:color w:val="auto"/>
                    </w:rPr>
                  </w:pPr>
                  <w:r>
                    <w:rPr>
                      <w:rFonts w:hint="eastAsia"/>
                      <w:b/>
                      <w:bCs/>
                      <w:color w:val="auto"/>
                    </w:rPr>
                    <w:t>污染物</w:t>
                  </w:r>
                </w:p>
              </w:tc>
              <w:tc>
                <w:tcPr>
                  <w:tcW w:w="929" w:type="pct"/>
                  <w:tcBorders>
                    <w:tl2br w:val="nil"/>
                    <w:tr2bl w:val="nil"/>
                  </w:tcBorders>
                  <w:shd w:val="clear" w:color="auto" w:fill="auto"/>
                  <w:vAlign w:val="center"/>
                </w:tcPr>
                <w:p w14:paraId="3A84FBA8">
                  <w:pPr>
                    <w:adjustRightInd w:val="0"/>
                    <w:snapToGrid w:val="0"/>
                    <w:jc w:val="center"/>
                    <w:rPr>
                      <w:b/>
                      <w:bCs/>
                      <w:color w:val="auto"/>
                    </w:rPr>
                  </w:pPr>
                  <w:r>
                    <w:rPr>
                      <w:rFonts w:hint="eastAsia"/>
                      <w:b/>
                      <w:bCs/>
                      <w:color w:val="auto"/>
                    </w:rPr>
                    <w:t>标准值</w:t>
                  </w:r>
                </w:p>
              </w:tc>
              <w:tc>
                <w:tcPr>
                  <w:tcW w:w="1754" w:type="pct"/>
                  <w:tcBorders>
                    <w:tl2br w:val="nil"/>
                    <w:tr2bl w:val="nil"/>
                  </w:tcBorders>
                  <w:shd w:val="clear" w:color="auto" w:fill="auto"/>
                  <w:vAlign w:val="center"/>
                </w:tcPr>
                <w:p w14:paraId="3A84FBA9">
                  <w:pPr>
                    <w:adjustRightInd w:val="0"/>
                    <w:snapToGrid w:val="0"/>
                    <w:jc w:val="center"/>
                    <w:rPr>
                      <w:b/>
                      <w:bCs/>
                      <w:color w:val="auto"/>
                    </w:rPr>
                  </w:pPr>
                  <w:r>
                    <w:rPr>
                      <w:rFonts w:hint="eastAsia"/>
                      <w:b/>
                      <w:bCs/>
                      <w:color w:val="auto"/>
                    </w:rPr>
                    <w:t>标准来源</w:t>
                  </w:r>
                </w:p>
              </w:tc>
            </w:tr>
            <w:tr w14:paraId="3A84FBA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11" w:type="pct"/>
                  <w:vMerge w:val="restart"/>
                  <w:tcBorders>
                    <w:tl2br w:val="nil"/>
                    <w:tr2bl w:val="nil"/>
                  </w:tcBorders>
                  <w:shd w:val="clear" w:color="auto" w:fill="auto"/>
                  <w:vAlign w:val="center"/>
                </w:tcPr>
                <w:p w14:paraId="3A84FBAB">
                  <w:pPr>
                    <w:adjustRightInd w:val="0"/>
                    <w:snapToGrid w:val="0"/>
                    <w:jc w:val="center"/>
                    <w:rPr>
                      <w:color w:val="auto"/>
                    </w:rPr>
                  </w:pPr>
                  <w:r>
                    <w:rPr>
                      <w:rFonts w:hint="eastAsia"/>
                      <w:color w:val="auto"/>
                    </w:rPr>
                    <w:t>生活污水</w:t>
                  </w:r>
                </w:p>
              </w:tc>
              <w:tc>
                <w:tcPr>
                  <w:tcW w:w="1305" w:type="pct"/>
                  <w:tcBorders>
                    <w:tl2br w:val="nil"/>
                    <w:tr2bl w:val="nil"/>
                  </w:tcBorders>
                  <w:shd w:val="clear" w:color="auto" w:fill="auto"/>
                  <w:vAlign w:val="center"/>
                </w:tcPr>
                <w:p w14:paraId="3A84FBAC">
                  <w:pPr>
                    <w:adjustRightInd w:val="0"/>
                    <w:snapToGrid w:val="0"/>
                    <w:jc w:val="center"/>
                    <w:rPr>
                      <w:color w:val="auto"/>
                    </w:rPr>
                  </w:pPr>
                  <w:r>
                    <w:rPr>
                      <w:rFonts w:hint="eastAsia"/>
                      <w:color w:val="auto"/>
                    </w:rPr>
                    <w:t>pH值（无量纲）</w:t>
                  </w:r>
                </w:p>
              </w:tc>
              <w:tc>
                <w:tcPr>
                  <w:tcW w:w="929" w:type="pct"/>
                  <w:tcBorders>
                    <w:tl2br w:val="nil"/>
                    <w:tr2bl w:val="nil"/>
                  </w:tcBorders>
                  <w:shd w:val="clear" w:color="auto" w:fill="auto"/>
                  <w:vAlign w:val="center"/>
                </w:tcPr>
                <w:p w14:paraId="3A84FBAD">
                  <w:pPr>
                    <w:adjustRightInd w:val="0"/>
                    <w:snapToGrid w:val="0"/>
                    <w:jc w:val="center"/>
                    <w:rPr>
                      <w:rFonts w:hint="default" w:eastAsia="宋体"/>
                      <w:color w:val="auto"/>
                      <w:lang w:val="en-US" w:eastAsia="zh-CN"/>
                    </w:rPr>
                  </w:pPr>
                  <w:r>
                    <w:rPr>
                      <w:rFonts w:hint="eastAsia"/>
                      <w:color w:val="auto"/>
                      <w:lang w:val="en-US" w:eastAsia="zh-CN"/>
                    </w:rPr>
                    <w:t>6~9</w:t>
                  </w:r>
                </w:p>
              </w:tc>
              <w:tc>
                <w:tcPr>
                  <w:tcW w:w="1754" w:type="pct"/>
                  <w:vMerge w:val="restart"/>
                  <w:tcBorders>
                    <w:tl2br w:val="nil"/>
                    <w:tr2bl w:val="nil"/>
                  </w:tcBorders>
                  <w:shd w:val="clear" w:color="auto" w:fill="auto"/>
                  <w:vAlign w:val="center"/>
                </w:tcPr>
                <w:p w14:paraId="3A84FBAE">
                  <w:pPr>
                    <w:adjustRightInd w:val="0"/>
                    <w:snapToGrid w:val="0"/>
                    <w:jc w:val="center"/>
                    <w:rPr>
                      <w:color w:val="auto"/>
                    </w:rPr>
                  </w:pPr>
                  <w:r>
                    <w:rPr>
                      <w:rFonts w:hint="eastAsia"/>
                      <w:color w:val="auto"/>
                    </w:rPr>
                    <w:t>常州市金坛区茅东污水处理厂接管限值</w:t>
                  </w:r>
                </w:p>
              </w:tc>
            </w:tr>
            <w:tr w14:paraId="3A84FBB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11" w:type="pct"/>
                  <w:vMerge w:val="continue"/>
                  <w:tcBorders>
                    <w:tl2br w:val="nil"/>
                    <w:tr2bl w:val="nil"/>
                  </w:tcBorders>
                  <w:shd w:val="clear" w:color="auto" w:fill="auto"/>
                  <w:vAlign w:val="center"/>
                </w:tcPr>
                <w:p w14:paraId="3A84FBB0">
                  <w:pPr>
                    <w:adjustRightInd w:val="0"/>
                    <w:snapToGrid w:val="0"/>
                    <w:jc w:val="center"/>
                    <w:rPr>
                      <w:color w:val="auto"/>
                    </w:rPr>
                  </w:pPr>
                </w:p>
              </w:tc>
              <w:tc>
                <w:tcPr>
                  <w:tcW w:w="1305" w:type="pct"/>
                  <w:tcBorders>
                    <w:tl2br w:val="nil"/>
                    <w:tr2bl w:val="nil"/>
                  </w:tcBorders>
                  <w:shd w:val="clear" w:color="auto" w:fill="auto"/>
                  <w:vAlign w:val="center"/>
                </w:tcPr>
                <w:p w14:paraId="3A84FBB1">
                  <w:pPr>
                    <w:adjustRightInd w:val="0"/>
                    <w:snapToGrid w:val="0"/>
                    <w:jc w:val="center"/>
                    <w:rPr>
                      <w:color w:val="auto"/>
                    </w:rPr>
                  </w:pPr>
                  <w:r>
                    <w:rPr>
                      <w:rFonts w:hint="eastAsia"/>
                      <w:color w:val="auto"/>
                    </w:rPr>
                    <w:t>COD</w:t>
                  </w:r>
                </w:p>
              </w:tc>
              <w:tc>
                <w:tcPr>
                  <w:tcW w:w="929" w:type="pct"/>
                  <w:tcBorders>
                    <w:tl2br w:val="nil"/>
                    <w:tr2bl w:val="nil"/>
                  </w:tcBorders>
                  <w:shd w:val="clear" w:color="auto" w:fill="auto"/>
                  <w:vAlign w:val="center"/>
                </w:tcPr>
                <w:p w14:paraId="3A84FBB2">
                  <w:pPr>
                    <w:adjustRightInd w:val="0"/>
                    <w:snapToGrid w:val="0"/>
                    <w:jc w:val="center"/>
                    <w:rPr>
                      <w:rFonts w:hint="default" w:eastAsia="宋体"/>
                      <w:color w:val="auto"/>
                      <w:lang w:val="en-US" w:eastAsia="zh-CN"/>
                    </w:rPr>
                  </w:pPr>
                  <w:r>
                    <w:rPr>
                      <w:rFonts w:hint="eastAsia"/>
                      <w:color w:val="auto"/>
                      <w:lang w:val="en-US" w:eastAsia="zh-CN"/>
                    </w:rPr>
                    <w:t>300</w:t>
                  </w:r>
                </w:p>
              </w:tc>
              <w:tc>
                <w:tcPr>
                  <w:tcW w:w="1754" w:type="pct"/>
                  <w:vMerge w:val="continue"/>
                  <w:tcBorders>
                    <w:tl2br w:val="nil"/>
                    <w:tr2bl w:val="nil"/>
                  </w:tcBorders>
                  <w:shd w:val="clear" w:color="auto" w:fill="auto"/>
                  <w:vAlign w:val="center"/>
                </w:tcPr>
                <w:p w14:paraId="3A84FBB3">
                  <w:pPr>
                    <w:adjustRightInd w:val="0"/>
                    <w:snapToGrid w:val="0"/>
                    <w:jc w:val="center"/>
                    <w:rPr>
                      <w:color w:val="auto"/>
                    </w:rPr>
                  </w:pPr>
                </w:p>
              </w:tc>
            </w:tr>
            <w:tr w14:paraId="3A84FBB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11" w:type="pct"/>
                  <w:vMerge w:val="continue"/>
                  <w:tcBorders>
                    <w:tl2br w:val="nil"/>
                    <w:tr2bl w:val="nil"/>
                  </w:tcBorders>
                  <w:shd w:val="clear" w:color="auto" w:fill="auto"/>
                  <w:vAlign w:val="center"/>
                </w:tcPr>
                <w:p w14:paraId="3A84FBB5">
                  <w:pPr>
                    <w:adjustRightInd w:val="0"/>
                    <w:snapToGrid w:val="0"/>
                    <w:jc w:val="center"/>
                    <w:rPr>
                      <w:color w:val="auto"/>
                    </w:rPr>
                  </w:pPr>
                </w:p>
              </w:tc>
              <w:tc>
                <w:tcPr>
                  <w:tcW w:w="1305" w:type="pct"/>
                  <w:tcBorders>
                    <w:tl2br w:val="nil"/>
                    <w:tr2bl w:val="nil"/>
                  </w:tcBorders>
                  <w:shd w:val="clear" w:color="auto" w:fill="auto"/>
                  <w:vAlign w:val="center"/>
                </w:tcPr>
                <w:p w14:paraId="3A84FBB6">
                  <w:pPr>
                    <w:adjustRightInd w:val="0"/>
                    <w:snapToGrid w:val="0"/>
                    <w:jc w:val="center"/>
                    <w:rPr>
                      <w:color w:val="auto"/>
                    </w:rPr>
                  </w:pPr>
                  <w:r>
                    <w:rPr>
                      <w:rFonts w:hint="eastAsia"/>
                      <w:color w:val="auto"/>
                    </w:rPr>
                    <w:t>SS</w:t>
                  </w:r>
                </w:p>
              </w:tc>
              <w:tc>
                <w:tcPr>
                  <w:tcW w:w="929" w:type="pct"/>
                  <w:tcBorders>
                    <w:tl2br w:val="nil"/>
                    <w:tr2bl w:val="nil"/>
                  </w:tcBorders>
                  <w:shd w:val="clear" w:color="auto" w:fill="auto"/>
                  <w:vAlign w:val="center"/>
                </w:tcPr>
                <w:p w14:paraId="3A84FBB7">
                  <w:pPr>
                    <w:adjustRightInd w:val="0"/>
                    <w:snapToGrid w:val="0"/>
                    <w:jc w:val="center"/>
                    <w:rPr>
                      <w:rFonts w:hint="default" w:eastAsia="宋体"/>
                      <w:color w:val="auto"/>
                      <w:lang w:val="en-US" w:eastAsia="zh-CN"/>
                    </w:rPr>
                  </w:pPr>
                  <w:r>
                    <w:rPr>
                      <w:rFonts w:hint="eastAsia"/>
                      <w:color w:val="auto"/>
                      <w:lang w:val="en-US" w:eastAsia="zh-CN"/>
                    </w:rPr>
                    <w:t>250</w:t>
                  </w:r>
                </w:p>
              </w:tc>
              <w:tc>
                <w:tcPr>
                  <w:tcW w:w="1754" w:type="pct"/>
                  <w:vMerge w:val="continue"/>
                  <w:tcBorders>
                    <w:tl2br w:val="nil"/>
                    <w:tr2bl w:val="nil"/>
                  </w:tcBorders>
                  <w:shd w:val="clear" w:color="auto" w:fill="auto"/>
                  <w:vAlign w:val="center"/>
                </w:tcPr>
                <w:p w14:paraId="3A84FBB8">
                  <w:pPr>
                    <w:adjustRightInd w:val="0"/>
                    <w:snapToGrid w:val="0"/>
                    <w:jc w:val="center"/>
                    <w:rPr>
                      <w:color w:val="auto"/>
                    </w:rPr>
                  </w:pPr>
                </w:p>
              </w:tc>
            </w:tr>
            <w:tr w14:paraId="3A84FB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11" w:type="pct"/>
                  <w:vMerge w:val="continue"/>
                  <w:tcBorders>
                    <w:tl2br w:val="nil"/>
                    <w:tr2bl w:val="nil"/>
                  </w:tcBorders>
                  <w:shd w:val="clear" w:color="auto" w:fill="auto"/>
                  <w:vAlign w:val="center"/>
                </w:tcPr>
                <w:p w14:paraId="3A84FBBA">
                  <w:pPr>
                    <w:adjustRightInd w:val="0"/>
                    <w:snapToGrid w:val="0"/>
                    <w:jc w:val="center"/>
                    <w:rPr>
                      <w:color w:val="auto"/>
                    </w:rPr>
                  </w:pPr>
                </w:p>
              </w:tc>
              <w:tc>
                <w:tcPr>
                  <w:tcW w:w="1305" w:type="pct"/>
                  <w:tcBorders>
                    <w:tl2br w:val="nil"/>
                    <w:tr2bl w:val="nil"/>
                  </w:tcBorders>
                  <w:shd w:val="clear" w:color="auto" w:fill="auto"/>
                  <w:vAlign w:val="center"/>
                </w:tcPr>
                <w:p w14:paraId="3A84FBBB">
                  <w:pPr>
                    <w:adjustRightInd w:val="0"/>
                    <w:snapToGrid w:val="0"/>
                    <w:jc w:val="center"/>
                    <w:rPr>
                      <w:color w:val="auto"/>
                    </w:rPr>
                  </w:pPr>
                  <w:r>
                    <w:rPr>
                      <w:rFonts w:hint="eastAsia"/>
                      <w:color w:val="auto"/>
                    </w:rPr>
                    <w:t>NH</w:t>
                  </w:r>
                  <w:r>
                    <w:rPr>
                      <w:rFonts w:hint="eastAsia"/>
                      <w:color w:val="auto"/>
                      <w:vertAlign w:val="subscript"/>
                    </w:rPr>
                    <w:t>3</w:t>
                  </w:r>
                  <w:r>
                    <w:rPr>
                      <w:rFonts w:hint="eastAsia"/>
                      <w:color w:val="auto"/>
                    </w:rPr>
                    <w:t>-N</w:t>
                  </w:r>
                </w:p>
              </w:tc>
              <w:tc>
                <w:tcPr>
                  <w:tcW w:w="929" w:type="pct"/>
                  <w:tcBorders>
                    <w:tl2br w:val="nil"/>
                    <w:tr2bl w:val="nil"/>
                  </w:tcBorders>
                  <w:shd w:val="clear" w:color="auto" w:fill="auto"/>
                  <w:vAlign w:val="center"/>
                </w:tcPr>
                <w:p w14:paraId="3A84FBBC">
                  <w:pPr>
                    <w:adjustRightInd w:val="0"/>
                    <w:snapToGrid w:val="0"/>
                    <w:jc w:val="center"/>
                    <w:rPr>
                      <w:rFonts w:hint="default" w:eastAsia="宋体"/>
                      <w:color w:val="auto"/>
                      <w:lang w:val="en-US" w:eastAsia="zh-CN"/>
                    </w:rPr>
                  </w:pPr>
                  <w:r>
                    <w:rPr>
                      <w:rFonts w:hint="eastAsia"/>
                      <w:color w:val="auto"/>
                      <w:lang w:val="en-US" w:eastAsia="zh-CN"/>
                    </w:rPr>
                    <w:t>25</w:t>
                  </w:r>
                </w:p>
              </w:tc>
              <w:tc>
                <w:tcPr>
                  <w:tcW w:w="1754" w:type="pct"/>
                  <w:vMerge w:val="continue"/>
                  <w:tcBorders>
                    <w:tl2br w:val="nil"/>
                    <w:tr2bl w:val="nil"/>
                  </w:tcBorders>
                  <w:shd w:val="clear" w:color="auto" w:fill="auto"/>
                  <w:vAlign w:val="center"/>
                </w:tcPr>
                <w:p w14:paraId="3A84FBBD">
                  <w:pPr>
                    <w:adjustRightInd w:val="0"/>
                    <w:snapToGrid w:val="0"/>
                    <w:jc w:val="center"/>
                    <w:rPr>
                      <w:color w:val="auto"/>
                    </w:rPr>
                  </w:pPr>
                </w:p>
              </w:tc>
            </w:tr>
            <w:tr w14:paraId="3A84FBC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11" w:type="pct"/>
                  <w:vMerge w:val="continue"/>
                  <w:tcBorders>
                    <w:tl2br w:val="nil"/>
                    <w:tr2bl w:val="nil"/>
                  </w:tcBorders>
                  <w:shd w:val="clear" w:color="auto" w:fill="auto"/>
                  <w:vAlign w:val="center"/>
                </w:tcPr>
                <w:p w14:paraId="3A84FBBF">
                  <w:pPr>
                    <w:adjustRightInd w:val="0"/>
                    <w:snapToGrid w:val="0"/>
                    <w:jc w:val="center"/>
                    <w:rPr>
                      <w:color w:val="auto"/>
                    </w:rPr>
                  </w:pPr>
                </w:p>
              </w:tc>
              <w:tc>
                <w:tcPr>
                  <w:tcW w:w="1305" w:type="pct"/>
                  <w:tcBorders>
                    <w:tl2br w:val="nil"/>
                    <w:tr2bl w:val="nil"/>
                  </w:tcBorders>
                  <w:shd w:val="clear" w:color="auto" w:fill="auto"/>
                  <w:vAlign w:val="center"/>
                </w:tcPr>
                <w:p w14:paraId="3A84FBC0">
                  <w:pPr>
                    <w:adjustRightInd w:val="0"/>
                    <w:snapToGrid w:val="0"/>
                    <w:jc w:val="center"/>
                    <w:rPr>
                      <w:color w:val="auto"/>
                    </w:rPr>
                  </w:pPr>
                  <w:r>
                    <w:rPr>
                      <w:rFonts w:hint="eastAsia"/>
                      <w:color w:val="auto"/>
                    </w:rPr>
                    <w:t>TP</w:t>
                  </w:r>
                </w:p>
              </w:tc>
              <w:tc>
                <w:tcPr>
                  <w:tcW w:w="929" w:type="pct"/>
                  <w:tcBorders>
                    <w:tl2br w:val="nil"/>
                    <w:tr2bl w:val="nil"/>
                  </w:tcBorders>
                  <w:shd w:val="clear" w:color="auto" w:fill="auto"/>
                  <w:vAlign w:val="center"/>
                </w:tcPr>
                <w:p w14:paraId="3A84FBC1">
                  <w:pPr>
                    <w:adjustRightInd w:val="0"/>
                    <w:snapToGrid w:val="0"/>
                    <w:jc w:val="center"/>
                    <w:rPr>
                      <w:rFonts w:hint="default" w:eastAsia="宋体"/>
                      <w:color w:val="auto"/>
                      <w:lang w:val="en-US" w:eastAsia="zh-CN"/>
                    </w:rPr>
                  </w:pPr>
                  <w:r>
                    <w:rPr>
                      <w:rFonts w:hint="eastAsia"/>
                      <w:color w:val="auto"/>
                      <w:lang w:val="en-US" w:eastAsia="zh-CN"/>
                    </w:rPr>
                    <w:t>4</w:t>
                  </w:r>
                </w:p>
              </w:tc>
              <w:tc>
                <w:tcPr>
                  <w:tcW w:w="1754" w:type="pct"/>
                  <w:vMerge w:val="continue"/>
                  <w:tcBorders>
                    <w:tl2br w:val="nil"/>
                    <w:tr2bl w:val="nil"/>
                  </w:tcBorders>
                  <w:shd w:val="clear" w:color="auto" w:fill="auto"/>
                  <w:vAlign w:val="center"/>
                </w:tcPr>
                <w:p w14:paraId="3A84FBC2">
                  <w:pPr>
                    <w:adjustRightInd w:val="0"/>
                    <w:snapToGrid w:val="0"/>
                    <w:jc w:val="center"/>
                    <w:rPr>
                      <w:color w:val="auto"/>
                    </w:rPr>
                  </w:pPr>
                </w:p>
              </w:tc>
            </w:tr>
            <w:tr w14:paraId="3A84FBC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11" w:type="pct"/>
                  <w:vMerge w:val="continue"/>
                  <w:tcBorders>
                    <w:tl2br w:val="nil"/>
                    <w:tr2bl w:val="nil"/>
                  </w:tcBorders>
                  <w:shd w:val="clear" w:color="auto" w:fill="auto"/>
                  <w:vAlign w:val="center"/>
                </w:tcPr>
                <w:p w14:paraId="3A84FBC4">
                  <w:pPr>
                    <w:adjustRightInd w:val="0"/>
                    <w:snapToGrid w:val="0"/>
                    <w:jc w:val="center"/>
                    <w:rPr>
                      <w:color w:val="auto"/>
                    </w:rPr>
                  </w:pPr>
                </w:p>
              </w:tc>
              <w:tc>
                <w:tcPr>
                  <w:tcW w:w="1305" w:type="pct"/>
                  <w:tcBorders>
                    <w:tl2br w:val="nil"/>
                    <w:tr2bl w:val="nil"/>
                  </w:tcBorders>
                  <w:shd w:val="clear" w:color="auto" w:fill="auto"/>
                  <w:vAlign w:val="center"/>
                </w:tcPr>
                <w:p w14:paraId="3A84FBC5">
                  <w:pPr>
                    <w:adjustRightInd w:val="0"/>
                    <w:snapToGrid w:val="0"/>
                    <w:jc w:val="center"/>
                    <w:rPr>
                      <w:color w:val="auto"/>
                    </w:rPr>
                  </w:pPr>
                  <w:r>
                    <w:rPr>
                      <w:rFonts w:hint="eastAsia"/>
                      <w:color w:val="auto"/>
                    </w:rPr>
                    <w:t>TN</w:t>
                  </w:r>
                </w:p>
              </w:tc>
              <w:tc>
                <w:tcPr>
                  <w:tcW w:w="929" w:type="pct"/>
                  <w:tcBorders>
                    <w:tl2br w:val="nil"/>
                    <w:tr2bl w:val="nil"/>
                  </w:tcBorders>
                  <w:shd w:val="clear" w:color="auto" w:fill="auto"/>
                  <w:vAlign w:val="center"/>
                </w:tcPr>
                <w:p w14:paraId="3A84FBC6">
                  <w:pPr>
                    <w:adjustRightInd w:val="0"/>
                    <w:snapToGrid w:val="0"/>
                    <w:jc w:val="center"/>
                    <w:rPr>
                      <w:rFonts w:hint="default" w:eastAsia="宋体"/>
                      <w:color w:val="auto"/>
                      <w:lang w:val="en-US" w:eastAsia="zh-CN"/>
                    </w:rPr>
                  </w:pPr>
                  <w:r>
                    <w:rPr>
                      <w:rFonts w:hint="eastAsia"/>
                      <w:color w:val="auto"/>
                      <w:lang w:val="en-US" w:eastAsia="zh-CN"/>
                    </w:rPr>
                    <w:t>45</w:t>
                  </w:r>
                </w:p>
              </w:tc>
              <w:tc>
                <w:tcPr>
                  <w:tcW w:w="1754" w:type="pct"/>
                  <w:vMerge w:val="continue"/>
                  <w:tcBorders>
                    <w:tl2br w:val="nil"/>
                    <w:tr2bl w:val="nil"/>
                  </w:tcBorders>
                  <w:shd w:val="clear" w:color="auto" w:fill="auto"/>
                  <w:vAlign w:val="center"/>
                </w:tcPr>
                <w:p w14:paraId="3A84FBC7">
                  <w:pPr>
                    <w:adjustRightInd w:val="0"/>
                    <w:snapToGrid w:val="0"/>
                    <w:jc w:val="center"/>
                    <w:rPr>
                      <w:color w:val="auto"/>
                    </w:rPr>
                  </w:pPr>
                </w:p>
              </w:tc>
            </w:tr>
            <w:tr w14:paraId="468BF5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11" w:type="pct"/>
                  <w:vMerge w:val="continue"/>
                  <w:tcBorders>
                    <w:tl2br w:val="nil"/>
                    <w:tr2bl w:val="nil"/>
                  </w:tcBorders>
                  <w:shd w:val="clear" w:color="auto" w:fill="auto"/>
                  <w:vAlign w:val="center"/>
                </w:tcPr>
                <w:p w14:paraId="6C7A5191">
                  <w:pPr>
                    <w:adjustRightInd w:val="0"/>
                    <w:snapToGrid w:val="0"/>
                    <w:jc w:val="center"/>
                    <w:rPr>
                      <w:color w:val="auto"/>
                    </w:rPr>
                  </w:pPr>
                </w:p>
              </w:tc>
              <w:tc>
                <w:tcPr>
                  <w:tcW w:w="1305" w:type="pct"/>
                  <w:tcBorders>
                    <w:tl2br w:val="nil"/>
                    <w:tr2bl w:val="nil"/>
                  </w:tcBorders>
                  <w:shd w:val="clear" w:color="auto" w:fill="auto"/>
                  <w:vAlign w:val="center"/>
                </w:tcPr>
                <w:p w14:paraId="457E7DE4">
                  <w:pPr>
                    <w:adjustRightInd w:val="0"/>
                    <w:snapToGrid w:val="0"/>
                    <w:jc w:val="center"/>
                    <w:rPr>
                      <w:rFonts w:hint="eastAsia" w:eastAsia="宋体"/>
                      <w:color w:val="auto"/>
                      <w:lang w:val="en-US" w:eastAsia="zh-CN"/>
                    </w:rPr>
                  </w:pPr>
                  <w:r>
                    <w:rPr>
                      <w:rFonts w:hint="eastAsia"/>
                      <w:color w:val="auto"/>
                      <w:lang w:val="en-US" w:eastAsia="zh-CN"/>
                    </w:rPr>
                    <w:t>动植物油</w:t>
                  </w:r>
                </w:p>
              </w:tc>
              <w:tc>
                <w:tcPr>
                  <w:tcW w:w="929" w:type="pct"/>
                  <w:tcBorders>
                    <w:tl2br w:val="nil"/>
                    <w:tr2bl w:val="nil"/>
                  </w:tcBorders>
                  <w:shd w:val="clear" w:color="auto" w:fill="auto"/>
                  <w:vAlign w:val="center"/>
                </w:tcPr>
                <w:p w14:paraId="0BDE5614">
                  <w:pPr>
                    <w:adjustRightInd w:val="0"/>
                    <w:snapToGrid w:val="0"/>
                    <w:jc w:val="center"/>
                    <w:rPr>
                      <w:rFonts w:hint="default"/>
                      <w:color w:val="auto"/>
                      <w:lang w:val="en-US" w:eastAsia="zh-CN"/>
                    </w:rPr>
                  </w:pPr>
                  <w:r>
                    <w:rPr>
                      <w:rFonts w:hint="eastAsia"/>
                      <w:color w:val="auto"/>
                      <w:lang w:val="en-US" w:eastAsia="zh-CN"/>
                    </w:rPr>
                    <w:t>100</w:t>
                  </w:r>
                </w:p>
              </w:tc>
              <w:tc>
                <w:tcPr>
                  <w:tcW w:w="1754" w:type="pct"/>
                  <w:tcBorders>
                    <w:tl2br w:val="nil"/>
                    <w:tr2bl w:val="nil"/>
                  </w:tcBorders>
                  <w:shd w:val="clear" w:color="auto" w:fill="auto"/>
                  <w:vAlign w:val="center"/>
                </w:tcPr>
                <w:p w14:paraId="4017301C">
                  <w:pPr>
                    <w:adjustRightInd w:val="0"/>
                    <w:snapToGrid w:val="0"/>
                    <w:jc w:val="center"/>
                    <w:rPr>
                      <w:color w:val="auto"/>
                    </w:rPr>
                  </w:pPr>
                  <w:r>
                    <w:rPr>
                      <w:rFonts w:hint="eastAsia" w:ascii="Times New Roman" w:hAnsi="Times New Roman" w:eastAsia="宋体" w:cs="Times New Roman"/>
                      <w:color w:val="auto"/>
                      <w:kern w:val="2"/>
                      <w:sz w:val="21"/>
                      <w:szCs w:val="21"/>
                      <w:lang w:val="en-US" w:eastAsia="zh-CN" w:bidi="ar-SA"/>
                    </w:rPr>
                    <w:t>《污水综合排放标准》（GB8978-1996）表4三级标准</w:t>
                  </w:r>
                </w:p>
              </w:tc>
            </w:tr>
          </w:tbl>
          <w:p w14:paraId="3A84FBC9">
            <w:pPr>
              <w:adjustRightInd w:val="0"/>
              <w:snapToGrid w:val="0"/>
              <w:spacing w:line="360" w:lineRule="auto"/>
              <w:ind w:firstLine="420" w:firstLineChars="200"/>
              <w:rPr>
                <w:color w:val="auto"/>
              </w:rPr>
            </w:pPr>
            <w:r>
              <w:rPr>
                <w:rFonts w:hint="eastAsia"/>
                <w:color w:val="auto"/>
              </w:rPr>
              <w:t>常州市金坛区茅东污水处理厂尾水排放标准执行《太湖地区城镇污水处理厂及重点工业行业主要水污染物排放限值》（DB32/1072-2018）中表2标准及《城镇污水处理厂污染物排放标准》（GB18918-2002）中表1一级A标准。</w:t>
            </w:r>
          </w:p>
          <w:p w14:paraId="3A84FBCA">
            <w:pPr>
              <w:pStyle w:val="16"/>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表3-</w:t>
            </w:r>
            <w:r>
              <w:rPr>
                <w:rFonts w:hint="eastAsia" w:ascii="Times New Roman" w:hAnsi="Times New Roman" w:eastAsia="宋体"/>
                <w:b/>
                <w:color w:val="auto"/>
                <w:sz w:val="21"/>
                <w:szCs w:val="21"/>
                <w:lang w:val="en-US" w:eastAsia="zh-CN"/>
              </w:rPr>
              <w:t>8</w:t>
            </w:r>
            <w:r>
              <w:rPr>
                <w:rFonts w:ascii="Times New Roman" w:hAnsi="Times New Roman" w:eastAsia="宋体"/>
                <w:b/>
                <w:color w:val="auto"/>
                <w:sz w:val="21"/>
                <w:szCs w:val="21"/>
              </w:rPr>
              <w:t xml:space="preserve">   </w:t>
            </w:r>
            <w:r>
              <w:rPr>
                <w:rFonts w:hint="eastAsia" w:ascii="Times New Roman" w:hAnsi="Times New Roman" w:eastAsia="宋体"/>
                <w:b/>
                <w:color w:val="auto"/>
                <w:sz w:val="21"/>
                <w:szCs w:val="21"/>
              </w:rPr>
              <w:t>常州市金坛区茅东污水处理厂</w:t>
            </w:r>
            <w:r>
              <w:rPr>
                <w:rFonts w:ascii="Times New Roman" w:hAnsi="Times New Roman" w:eastAsia="宋体"/>
                <w:b/>
                <w:color w:val="auto"/>
                <w:sz w:val="21"/>
                <w:szCs w:val="21"/>
              </w:rPr>
              <w:t>尾水排放标准 单位：mg/L</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893"/>
              <w:gridCol w:w="5002"/>
              <w:gridCol w:w="1835"/>
            </w:tblGrid>
            <w:tr w14:paraId="3A84FBC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3A84FBCB">
                  <w:pPr>
                    <w:adjustRightInd w:val="0"/>
                    <w:snapToGrid w:val="0"/>
                    <w:jc w:val="center"/>
                    <w:rPr>
                      <w:b/>
                      <w:bCs/>
                      <w:color w:val="auto"/>
                    </w:rPr>
                  </w:pPr>
                  <w:r>
                    <w:rPr>
                      <w:b/>
                      <w:bCs/>
                      <w:color w:val="auto"/>
                    </w:rPr>
                    <w:t>污染物</w:t>
                  </w:r>
                </w:p>
              </w:tc>
              <w:tc>
                <w:tcPr>
                  <w:tcW w:w="2865" w:type="pct"/>
                  <w:tcBorders>
                    <w:tl2br w:val="nil"/>
                    <w:tr2bl w:val="nil"/>
                  </w:tcBorders>
                  <w:vAlign w:val="center"/>
                </w:tcPr>
                <w:p w14:paraId="3A84FBCC">
                  <w:pPr>
                    <w:adjustRightInd w:val="0"/>
                    <w:snapToGrid w:val="0"/>
                    <w:jc w:val="center"/>
                    <w:rPr>
                      <w:b/>
                      <w:bCs/>
                      <w:color w:val="auto"/>
                    </w:rPr>
                  </w:pPr>
                  <w:r>
                    <w:rPr>
                      <w:b/>
                      <w:bCs/>
                      <w:color w:val="auto"/>
                    </w:rPr>
                    <w:t>标准</w:t>
                  </w:r>
                </w:p>
              </w:tc>
              <w:tc>
                <w:tcPr>
                  <w:tcW w:w="1049" w:type="pct"/>
                  <w:tcBorders>
                    <w:tl2br w:val="nil"/>
                    <w:tr2bl w:val="nil"/>
                  </w:tcBorders>
                  <w:vAlign w:val="center"/>
                </w:tcPr>
                <w:p w14:paraId="3A84FBCD">
                  <w:pPr>
                    <w:adjustRightInd w:val="0"/>
                    <w:snapToGrid w:val="0"/>
                    <w:jc w:val="center"/>
                    <w:rPr>
                      <w:b/>
                      <w:bCs/>
                      <w:color w:val="auto"/>
                    </w:rPr>
                  </w:pPr>
                  <w:r>
                    <w:rPr>
                      <w:b/>
                      <w:bCs/>
                      <w:color w:val="auto"/>
                    </w:rPr>
                    <w:t>污染物排放标准</w:t>
                  </w:r>
                </w:p>
              </w:tc>
            </w:tr>
            <w:tr w14:paraId="3A84FBD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3A84FBCF">
                  <w:pPr>
                    <w:adjustRightInd w:val="0"/>
                    <w:snapToGrid w:val="0"/>
                    <w:jc w:val="center"/>
                    <w:rPr>
                      <w:color w:val="auto"/>
                    </w:rPr>
                  </w:pPr>
                  <w:r>
                    <w:rPr>
                      <w:color w:val="auto"/>
                    </w:rPr>
                    <w:t>COD</w:t>
                  </w:r>
                </w:p>
              </w:tc>
              <w:tc>
                <w:tcPr>
                  <w:tcW w:w="2865" w:type="pct"/>
                  <w:vMerge w:val="restart"/>
                  <w:tcBorders>
                    <w:tl2br w:val="nil"/>
                    <w:tr2bl w:val="nil"/>
                  </w:tcBorders>
                  <w:vAlign w:val="center"/>
                </w:tcPr>
                <w:p w14:paraId="3A84FBD0">
                  <w:pPr>
                    <w:adjustRightInd w:val="0"/>
                    <w:snapToGrid w:val="0"/>
                    <w:jc w:val="center"/>
                    <w:rPr>
                      <w:color w:val="auto"/>
                    </w:rPr>
                  </w:pPr>
                  <w:r>
                    <w:rPr>
                      <w:color w:val="auto"/>
                    </w:rPr>
                    <w:t>《太湖地区城镇污水处理厂及重点工业行业主要水污染物排放限值》（DB32/1072-2018）</w:t>
                  </w:r>
                </w:p>
              </w:tc>
              <w:tc>
                <w:tcPr>
                  <w:tcW w:w="1049" w:type="pct"/>
                  <w:tcBorders>
                    <w:tl2br w:val="nil"/>
                    <w:tr2bl w:val="nil"/>
                  </w:tcBorders>
                  <w:vAlign w:val="center"/>
                </w:tcPr>
                <w:p w14:paraId="3A84FBD1">
                  <w:pPr>
                    <w:adjustRightInd w:val="0"/>
                    <w:snapToGrid w:val="0"/>
                    <w:jc w:val="center"/>
                    <w:rPr>
                      <w:color w:val="auto"/>
                    </w:rPr>
                  </w:pPr>
                  <w:r>
                    <w:rPr>
                      <w:color w:val="auto"/>
                    </w:rPr>
                    <w:t>50</w:t>
                  </w:r>
                </w:p>
              </w:tc>
            </w:tr>
            <w:tr w14:paraId="3A84FBD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3A84FBD3">
                  <w:pPr>
                    <w:adjustRightInd w:val="0"/>
                    <w:snapToGrid w:val="0"/>
                    <w:jc w:val="center"/>
                    <w:rPr>
                      <w:color w:val="auto"/>
                    </w:rPr>
                  </w:pPr>
                  <w:r>
                    <w:rPr>
                      <w:color w:val="auto"/>
                    </w:rPr>
                    <w:t>NH</w:t>
                  </w:r>
                  <w:r>
                    <w:rPr>
                      <w:color w:val="auto"/>
                      <w:vertAlign w:val="subscript"/>
                    </w:rPr>
                    <w:t>3</w:t>
                  </w:r>
                  <w:r>
                    <w:rPr>
                      <w:color w:val="auto"/>
                    </w:rPr>
                    <w:t>-N</w:t>
                  </w:r>
                </w:p>
              </w:tc>
              <w:tc>
                <w:tcPr>
                  <w:tcW w:w="2865" w:type="pct"/>
                  <w:vMerge w:val="continue"/>
                  <w:tcBorders>
                    <w:tl2br w:val="nil"/>
                    <w:tr2bl w:val="nil"/>
                  </w:tcBorders>
                  <w:vAlign w:val="center"/>
                </w:tcPr>
                <w:p w14:paraId="3A84FBD4">
                  <w:pPr>
                    <w:adjustRightInd w:val="0"/>
                    <w:snapToGrid w:val="0"/>
                    <w:jc w:val="center"/>
                    <w:rPr>
                      <w:color w:val="auto"/>
                    </w:rPr>
                  </w:pPr>
                </w:p>
              </w:tc>
              <w:tc>
                <w:tcPr>
                  <w:tcW w:w="1049" w:type="pct"/>
                  <w:tcBorders>
                    <w:tl2br w:val="nil"/>
                    <w:tr2bl w:val="nil"/>
                  </w:tcBorders>
                  <w:vAlign w:val="center"/>
                </w:tcPr>
                <w:p w14:paraId="3A84FBD5">
                  <w:pPr>
                    <w:adjustRightInd w:val="0"/>
                    <w:snapToGrid w:val="0"/>
                    <w:jc w:val="center"/>
                    <w:rPr>
                      <w:color w:val="auto"/>
                    </w:rPr>
                  </w:pPr>
                  <w:r>
                    <w:rPr>
                      <w:color w:val="auto"/>
                    </w:rPr>
                    <w:t>4（6）*</w:t>
                  </w:r>
                </w:p>
              </w:tc>
            </w:tr>
            <w:tr w14:paraId="3A84FBD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3A84FBD7">
                  <w:pPr>
                    <w:adjustRightInd w:val="0"/>
                    <w:snapToGrid w:val="0"/>
                    <w:jc w:val="center"/>
                    <w:rPr>
                      <w:color w:val="auto"/>
                    </w:rPr>
                  </w:pPr>
                  <w:r>
                    <w:rPr>
                      <w:color w:val="auto"/>
                    </w:rPr>
                    <w:t>TP</w:t>
                  </w:r>
                </w:p>
              </w:tc>
              <w:tc>
                <w:tcPr>
                  <w:tcW w:w="2865" w:type="pct"/>
                  <w:vMerge w:val="continue"/>
                  <w:tcBorders>
                    <w:tl2br w:val="nil"/>
                    <w:tr2bl w:val="nil"/>
                  </w:tcBorders>
                  <w:vAlign w:val="center"/>
                </w:tcPr>
                <w:p w14:paraId="3A84FBD8">
                  <w:pPr>
                    <w:adjustRightInd w:val="0"/>
                    <w:snapToGrid w:val="0"/>
                    <w:jc w:val="center"/>
                    <w:rPr>
                      <w:color w:val="auto"/>
                    </w:rPr>
                  </w:pPr>
                </w:p>
              </w:tc>
              <w:tc>
                <w:tcPr>
                  <w:tcW w:w="1049" w:type="pct"/>
                  <w:tcBorders>
                    <w:tl2br w:val="nil"/>
                    <w:tr2bl w:val="nil"/>
                  </w:tcBorders>
                  <w:vAlign w:val="center"/>
                </w:tcPr>
                <w:p w14:paraId="3A84FBD9">
                  <w:pPr>
                    <w:adjustRightInd w:val="0"/>
                    <w:snapToGrid w:val="0"/>
                    <w:jc w:val="center"/>
                    <w:rPr>
                      <w:color w:val="auto"/>
                    </w:rPr>
                  </w:pPr>
                  <w:r>
                    <w:rPr>
                      <w:color w:val="auto"/>
                    </w:rPr>
                    <w:t>0.5</w:t>
                  </w:r>
                </w:p>
              </w:tc>
            </w:tr>
            <w:tr w14:paraId="3A84FB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3A84FBDB">
                  <w:pPr>
                    <w:adjustRightInd w:val="0"/>
                    <w:snapToGrid w:val="0"/>
                    <w:jc w:val="center"/>
                    <w:rPr>
                      <w:color w:val="auto"/>
                    </w:rPr>
                  </w:pPr>
                  <w:r>
                    <w:rPr>
                      <w:color w:val="auto"/>
                    </w:rPr>
                    <w:t>TN</w:t>
                  </w:r>
                </w:p>
              </w:tc>
              <w:tc>
                <w:tcPr>
                  <w:tcW w:w="2865" w:type="pct"/>
                  <w:vMerge w:val="continue"/>
                  <w:tcBorders>
                    <w:tl2br w:val="nil"/>
                    <w:tr2bl w:val="nil"/>
                  </w:tcBorders>
                  <w:vAlign w:val="center"/>
                </w:tcPr>
                <w:p w14:paraId="3A84FBDC">
                  <w:pPr>
                    <w:adjustRightInd w:val="0"/>
                    <w:snapToGrid w:val="0"/>
                    <w:jc w:val="center"/>
                    <w:rPr>
                      <w:color w:val="auto"/>
                    </w:rPr>
                  </w:pPr>
                </w:p>
              </w:tc>
              <w:tc>
                <w:tcPr>
                  <w:tcW w:w="1049" w:type="pct"/>
                  <w:tcBorders>
                    <w:tl2br w:val="nil"/>
                    <w:tr2bl w:val="nil"/>
                  </w:tcBorders>
                  <w:vAlign w:val="center"/>
                </w:tcPr>
                <w:p w14:paraId="3A84FBDD">
                  <w:pPr>
                    <w:adjustRightInd w:val="0"/>
                    <w:snapToGrid w:val="0"/>
                    <w:jc w:val="center"/>
                    <w:rPr>
                      <w:color w:val="auto"/>
                    </w:rPr>
                  </w:pPr>
                  <w:r>
                    <w:rPr>
                      <w:color w:val="auto"/>
                    </w:rPr>
                    <w:t>12（15）*</w:t>
                  </w:r>
                </w:p>
              </w:tc>
            </w:tr>
            <w:tr w14:paraId="3A84FB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3A84FBDF">
                  <w:pPr>
                    <w:adjustRightInd w:val="0"/>
                    <w:snapToGrid w:val="0"/>
                    <w:jc w:val="center"/>
                    <w:rPr>
                      <w:color w:val="auto"/>
                    </w:rPr>
                  </w:pPr>
                  <w:r>
                    <w:rPr>
                      <w:color w:val="auto"/>
                    </w:rPr>
                    <w:t>SS</w:t>
                  </w:r>
                </w:p>
              </w:tc>
              <w:tc>
                <w:tcPr>
                  <w:tcW w:w="2865" w:type="pct"/>
                  <w:vMerge w:val="restart"/>
                  <w:tcBorders>
                    <w:tl2br w:val="nil"/>
                    <w:tr2bl w:val="nil"/>
                  </w:tcBorders>
                  <w:vAlign w:val="center"/>
                </w:tcPr>
                <w:p w14:paraId="3A84FBE0">
                  <w:pPr>
                    <w:adjustRightInd w:val="0"/>
                    <w:snapToGrid w:val="0"/>
                    <w:jc w:val="center"/>
                    <w:rPr>
                      <w:color w:val="auto"/>
                    </w:rPr>
                  </w:pPr>
                  <w:r>
                    <w:rPr>
                      <w:color w:val="auto"/>
                    </w:rPr>
                    <w:t>《城镇污水处理厂污染物排放标准》（GB18918－2002）一级A标准</w:t>
                  </w:r>
                </w:p>
              </w:tc>
              <w:tc>
                <w:tcPr>
                  <w:tcW w:w="1049" w:type="pct"/>
                  <w:tcBorders>
                    <w:tl2br w:val="nil"/>
                    <w:tr2bl w:val="nil"/>
                  </w:tcBorders>
                  <w:vAlign w:val="center"/>
                </w:tcPr>
                <w:p w14:paraId="3A84FBE1">
                  <w:pPr>
                    <w:adjustRightInd w:val="0"/>
                    <w:snapToGrid w:val="0"/>
                    <w:jc w:val="center"/>
                    <w:rPr>
                      <w:color w:val="auto"/>
                    </w:rPr>
                  </w:pPr>
                  <w:r>
                    <w:rPr>
                      <w:color w:val="auto"/>
                    </w:rPr>
                    <w:t>10</w:t>
                  </w:r>
                </w:p>
              </w:tc>
            </w:tr>
            <w:tr w14:paraId="3A84FBE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3A84FBE3">
                  <w:pPr>
                    <w:adjustRightInd w:val="0"/>
                    <w:snapToGrid w:val="0"/>
                    <w:jc w:val="center"/>
                    <w:rPr>
                      <w:color w:val="auto"/>
                    </w:rPr>
                  </w:pPr>
                  <w:r>
                    <w:rPr>
                      <w:color w:val="auto"/>
                    </w:rPr>
                    <w:t>pH值（无量纲）</w:t>
                  </w:r>
                </w:p>
              </w:tc>
              <w:tc>
                <w:tcPr>
                  <w:tcW w:w="2865" w:type="pct"/>
                  <w:vMerge w:val="continue"/>
                  <w:tcBorders>
                    <w:tl2br w:val="nil"/>
                    <w:tr2bl w:val="nil"/>
                  </w:tcBorders>
                  <w:vAlign w:val="center"/>
                </w:tcPr>
                <w:p w14:paraId="3A84FBE4">
                  <w:pPr>
                    <w:adjustRightInd w:val="0"/>
                    <w:snapToGrid w:val="0"/>
                    <w:jc w:val="center"/>
                    <w:rPr>
                      <w:color w:val="auto"/>
                    </w:rPr>
                  </w:pPr>
                </w:p>
              </w:tc>
              <w:tc>
                <w:tcPr>
                  <w:tcW w:w="1049" w:type="pct"/>
                  <w:tcBorders>
                    <w:tl2br w:val="nil"/>
                    <w:tr2bl w:val="nil"/>
                  </w:tcBorders>
                  <w:vAlign w:val="center"/>
                </w:tcPr>
                <w:p w14:paraId="3A84FBE5">
                  <w:pPr>
                    <w:adjustRightInd w:val="0"/>
                    <w:snapToGrid w:val="0"/>
                    <w:jc w:val="center"/>
                    <w:rPr>
                      <w:color w:val="auto"/>
                    </w:rPr>
                  </w:pPr>
                  <w:r>
                    <w:rPr>
                      <w:color w:val="auto"/>
                    </w:rPr>
                    <w:t>6-9</w:t>
                  </w:r>
                </w:p>
              </w:tc>
            </w:tr>
            <w:tr w14:paraId="66F2D28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478F345C">
                  <w:pPr>
                    <w:adjustRightInd w:val="0"/>
                    <w:snapToGrid w:val="0"/>
                    <w:jc w:val="center"/>
                    <w:rPr>
                      <w:rFonts w:hint="eastAsia" w:eastAsia="宋体"/>
                      <w:color w:val="auto"/>
                      <w:lang w:val="en-US" w:eastAsia="zh-CN"/>
                    </w:rPr>
                  </w:pPr>
                  <w:r>
                    <w:rPr>
                      <w:rFonts w:hint="eastAsia"/>
                      <w:color w:val="auto"/>
                      <w:lang w:val="en-US" w:eastAsia="zh-CN"/>
                    </w:rPr>
                    <w:t>动植物油</w:t>
                  </w:r>
                </w:p>
              </w:tc>
              <w:tc>
                <w:tcPr>
                  <w:tcW w:w="2865" w:type="pct"/>
                  <w:vMerge w:val="continue"/>
                  <w:tcBorders>
                    <w:tl2br w:val="nil"/>
                    <w:tr2bl w:val="nil"/>
                  </w:tcBorders>
                  <w:vAlign w:val="center"/>
                </w:tcPr>
                <w:p w14:paraId="589ACEAD">
                  <w:pPr>
                    <w:adjustRightInd w:val="0"/>
                    <w:snapToGrid w:val="0"/>
                    <w:jc w:val="center"/>
                    <w:rPr>
                      <w:color w:val="auto"/>
                    </w:rPr>
                  </w:pPr>
                </w:p>
              </w:tc>
              <w:tc>
                <w:tcPr>
                  <w:tcW w:w="1049" w:type="pct"/>
                  <w:tcBorders>
                    <w:tl2br w:val="nil"/>
                    <w:tr2bl w:val="nil"/>
                  </w:tcBorders>
                  <w:vAlign w:val="center"/>
                </w:tcPr>
                <w:p w14:paraId="39862047">
                  <w:pPr>
                    <w:adjustRightInd w:val="0"/>
                    <w:snapToGrid w:val="0"/>
                    <w:jc w:val="center"/>
                    <w:rPr>
                      <w:rFonts w:hint="eastAsia" w:eastAsia="宋体"/>
                      <w:color w:val="auto"/>
                      <w:lang w:val="en-US" w:eastAsia="zh-CN"/>
                    </w:rPr>
                  </w:pPr>
                  <w:r>
                    <w:rPr>
                      <w:rFonts w:hint="eastAsia"/>
                      <w:color w:val="auto"/>
                      <w:lang w:val="en-US" w:eastAsia="zh-CN"/>
                    </w:rPr>
                    <w:t>1</w:t>
                  </w:r>
                </w:p>
              </w:tc>
            </w:tr>
            <w:tr w14:paraId="3A84FBE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3"/>
                  <w:tcBorders>
                    <w:tl2br w:val="nil"/>
                    <w:tr2bl w:val="nil"/>
                  </w:tcBorders>
                  <w:vAlign w:val="center"/>
                </w:tcPr>
                <w:p w14:paraId="3A84FBE7">
                  <w:pPr>
                    <w:adjustRightInd w:val="0"/>
                    <w:snapToGrid w:val="0"/>
                    <w:jc w:val="left"/>
                    <w:rPr>
                      <w:color w:val="auto"/>
                    </w:rPr>
                  </w:pPr>
                  <w:r>
                    <w:rPr>
                      <w:b/>
                      <w:color w:val="auto"/>
                    </w:rPr>
                    <w:t>注*：括号外数值为水温＞12℃时的控制指标，括号内数值为水温≤12℃时的控制指标。</w:t>
                  </w:r>
                </w:p>
              </w:tc>
            </w:tr>
          </w:tbl>
          <w:p w14:paraId="3A84FBE9">
            <w:pPr>
              <w:adjustRightInd w:val="0"/>
              <w:snapToGrid w:val="0"/>
              <w:spacing w:line="360" w:lineRule="auto"/>
              <w:rPr>
                <w:b/>
                <w:bCs/>
                <w:color w:val="auto"/>
              </w:rPr>
            </w:pPr>
            <w:r>
              <w:rPr>
                <w:b/>
                <w:bCs/>
                <w:color w:val="auto"/>
              </w:rPr>
              <w:t>3</w:t>
            </w:r>
            <w:r>
              <w:rPr>
                <w:rFonts w:hint="eastAsia"/>
                <w:b/>
                <w:bCs/>
                <w:color w:val="auto"/>
              </w:rPr>
              <w:t>、</w:t>
            </w:r>
            <w:r>
              <w:rPr>
                <w:b/>
                <w:bCs/>
                <w:color w:val="auto"/>
              </w:rPr>
              <w:t>噪声</w:t>
            </w:r>
          </w:p>
          <w:p w14:paraId="3A84FBEA">
            <w:pPr>
              <w:adjustRightInd w:val="0"/>
              <w:snapToGrid w:val="0"/>
              <w:spacing w:line="360" w:lineRule="auto"/>
              <w:ind w:firstLine="420" w:firstLineChars="200"/>
              <w:rPr>
                <w:color w:val="auto"/>
              </w:rPr>
            </w:pPr>
            <w:r>
              <w:rPr>
                <w:rFonts w:hint="eastAsia"/>
                <w:color w:val="auto"/>
              </w:rPr>
              <w:t>本项目</w:t>
            </w:r>
            <w:r>
              <w:rPr>
                <w:color w:val="auto"/>
              </w:rPr>
              <w:t>营运期厂界执行《工业企业厂界环境噪声排放标准》</w:t>
            </w:r>
            <w:r>
              <w:rPr>
                <w:rFonts w:hint="eastAsia"/>
                <w:color w:val="auto"/>
              </w:rPr>
              <w:t>（</w:t>
            </w:r>
            <w:r>
              <w:rPr>
                <w:color w:val="auto"/>
              </w:rPr>
              <w:t>GB12348-2008</w:t>
            </w:r>
            <w:r>
              <w:rPr>
                <w:rFonts w:hint="eastAsia"/>
                <w:color w:val="auto"/>
              </w:rPr>
              <w:t>）</w:t>
            </w:r>
            <w:r>
              <w:rPr>
                <w:rFonts w:hint="eastAsia"/>
                <w:color w:val="auto"/>
                <w:lang w:eastAsia="zh-CN"/>
              </w:rPr>
              <w:t>2类</w:t>
            </w:r>
            <w:r>
              <w:rPr>
                <w:color w:val="auto"/>
              </w:rPr>
              <w:t>区标准要求，见</w:t>
            </w:r>
            <w:r>
              <w:rPr>
                <w:rFonts w:hint="eastAsia"/>
                <w:color w:val="auto"/>
              </w:rPr>
              <w:t>下表</w:t>
            </w:r>
            <w:r>
              <w:rPr>
                <w:color w:val="auto"/>
              </w:rPr>
              <w:t>。</w:t>
            </w:r>
          </w:p>
          <w:p w14:paraId="3A84FBEB">
            <w:pPr>
              <w:adjustRightInd w:val="0"/>
              <w:snapToGrid w:val="0"/>
              <w:jc w:val="center"/>
              <w:rPr>
                <w:color w:val="auto"/>
              </w:rPr>
            </w:pPr>
            <w:r>
              <w:rPr>
                <w:b/>
                <w:bCs/>
                <w:color w:val="auto"/>
              </w:rPr>
              <w:t>表3-</w:t>
            </w:r>
            <w:r>
              <w:rPr>
                <w:rFonts w:hint="eastAsia"/>
                <w:b/>
                <w:bCs/>
                <w:color w:val="auto"/>
                <w:lang w:val="en-US" w:eastAsia="zh-CN"/>
              </w:rPr>
              <w:t>9</w:t>
            </w:r>
            <w:r>
              <w:rPr>
                <w:rFonts w:hint="eastAsia"/>
                <w:b/>
                <w:bCs/>
                <w:color w:val="auto"/>
              </w:rPr>
              <w:t xml:space="preserve">   </w:t>
            </w:r>
            <w:r>
              <w:rPr>
                <w:b/>
                <w:bCs/>
                <w:color w:val="auto"/>
              </w:rPr>
              <w:t>工业企业厂界环境噪声标准限值   单位：dB（A）</w:t>
            </w:r>
          </w:p>
          <w:tbl>
            <w:tblPr>
              <w:tblStyle w:val="59"/>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909"/>
              <w:gridCol w:w="2909"/>
              <w:gridCol w:w="2910"/>
            </w:tblGrid>
            <w:tr w14:paraId="3A84FB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666" w:type="pct"/>
                  <w:vAlign w:val="center"/>
                </w:tcPr>
                <w:p w14:paraId="3A84FBEC">
                  <w:pPr>
                    <w:widowControl/>
                    <w:adjustRightInd w:val="0"/>
                    <w:snapToGrid w:val="0"/>
                    <w:jc w:val="center"/>
                    <w:textAlignment w:val="center"/>
                    <w:rPr>
                      <w:b/>
                      <w:color w:val="auto"/>
                      <w:kern w:val="0"/>
                      <w:lang w:bidi="ar"/>
                    </w:rPr>
                  </w:pPr>
                  <w:r>
                    <w:rPr>
                      <w:b/>
                      <w:color w:val="auto"/>
                      <w:kern w:val="0"/>
                      <w:lang w:bidi="ar"/>
                    </w:rPr>
                    <w:t>厂界外声环境功能区类别</w:t>
                  </w:r>
                </w:p>
              </w:tc>
              <w:tc>
                <w:tcPr>
                  <w:tcW w:w="1666" w:type="pct"/>
                  <w:vAlign w:val="center"/>
                </w:tcPr>
                <w:p w14:paraId="3A84FBED">
                  <w:pPr>
                    <w:widowControl/>
                    <w:adjustRightInd w:val="0"/>
                    <w:snapToGrid w:val="0"/>
                    <w:jc w:val="center"/>
                    <w:textAlignment w:val="center"/>
                    <w:rPr>
                      <w:b/>
                      <w:color w:val="auto"/>
                      <w:kern w:val="0"/>
                      <w:lang w:bidi="ar"/>
                    </w:rPr>
                  </w:pPr>
                  <w:r>
                    <w:rPr>
                      <w:b/>
                      <w:color w:val="auto"/>
                      <w:kern w:val="0"/>
                      <w:lang w:bidi="ar"/>
                    </w:rPr>
                    <w:t>昼间</w:t>
                  </w:r>
                </w:p>
              </w:tc>
              <w:tc>
                <w:tcPr>
                  <w:tcW w:w="1666" w:type="pct"/>
                  <w:vAlign w:val="center"/>
                </w:tcPr>
                <w:p w14:paraId="3A84FBEE">
                  <w:pPr>
                    <w:widowControl/>
                    <w:adjustRightInd w:val="0"/>
                    <w:snapToGrid w:val="0"/>
                    <w:jc w:val="center"/>
                    <w:textAlignment w:val="center"/>
                    <w:rPr>
                      <w:b/>
                      <w:color w:val="auto"/>
                      <w:kern w:val="0"/>
                      <w:lang w:bidi="ar"/>
                    </w:rPr>
                  </w:pPr>
                  <w:r>
                    <w:rPr>
                      <w:b/>
                      <w:color w:val="auto"/>
                      <w:kern w:val="0"/>
                      <w:lang w:bidi="ar"/>
                    </w:rPr>
                    <w:t>夜间</w:t>
                  </w:r>
                </w:p>
              </w:tc>
            </w:tr>
            <w:tr w14:paraId="3A84FB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666" w:type="pct"/>
                  <w:vAlign w:val="center"/>
                </w:tcPr>
                <w:p w14:paraId="3A84FBF0">
                  <w:pPr>
                    <w:widowControl/>
                    <w:adjustRightInd w:val="0"/>
                    <w:snapToGrid w:val="0"/>
                    <w:jc w:val="center"/>
                    <w:textAlignment w:val="center"/>
                    <w:rPr>
                      <w:rFonts w:hint="eastAsia" w:eastAsia="宋体"/>
                      <w:color w:val="auto"/>
                      <w:kern w:val="0"/>
                      <w:lang w:eastAsia="zh-CN" w:bidi="ar"/>
                    </w:rPr>
                  </w:pPr>
                  <w:r>
                    <w:rPr>
                      <w:rFonts w:hint="eastAsia"/>
                      <w:color w:val="auto"/>
                      <w:kern w:val="0"/>
                      <w:lang w:val="en-US" w:eastAsia="zh-CN" w:bidi="ar"/>
                    </w:rPr>
                    <w:t>2</w:t>
                  </w:r>
                </w:p>
              </w:tc>
              <w:tc>
                <w:tcPr>
                  <w:tcW w:w="1666" w:type="pct"/>
                  <w:vAlign w:val="center"/>
                </w:tcPr>
                <w:p w14:paraId="3A84FBF1">
                  <w:pPr>
                    <w:widowControl/>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60</w:t>
                  </w:r>
                </w:p>
              </w:tc>
              <w:tc>
                <w:tcPr>
                  <w:tcW w:w="1666" w:type="pct"/>
                  <w:vAlign w:val="center"/>
                </w:tcPr>
                <w:p w14:paraId="3A84FBF2">
                  <w:pPr>
                    <w:widowControl/>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50</w:t>
                  </w:r>
                </w:p>
              </w:tc>
            </w:tr>
          </w:tbl>
          <w:p w14:paraId="3A84FBF4">
            <w:pPr>
              <w:adjustRightInd w:val="0"/>
              <w:snapToGrid w:val="0"/>
              <w:spacing w:line="360" w:lineRule="auto"/>
              <w:rPr>
                <w:b/>
                <w:bCs/>
                <w:color w:val="auto"/>
              </w:rPr>
            </w:pPr>
            <w:r>
              <w:rPr>
                <w:b/>
                <w:bCs/>
                <w:color w:val="auto"/>
              </w:rPr>
              <w:t>4</w:t>
            </w:r>
            <w:r>
              <w:rPr>
                <w:rFonts w:hint="eastAsia"/>
                <w:b/>
                <w:bCs/>
                <w:color w:val="auto"/>
              </w:rPr>
              <w:t>、</w:t>
            </w:r>
            <w:r>
              <w:rPr>
                <w:b/>
                <w:bCs/>
                <w:color w:val="auto"/>
              </w:rPr>
              <w:t>固废</w:t>
            </w:r>
          </w:p>
          <w:p w14:paraId="3A84FBF5">
            <w:pPr>
              <w:adjustRightInd w:val="0"/>
              <w:snapToGrid w:val="0"/>
              <w:spacing w:line="360" w:lineRule="auto"/>
              <w:ind w:firstLine="420" w:firstLineChars="200"/>
              <w:rPr>
                <w:color w:val="auto"/>
              </w:rPr>
            </w:pPr>
            <w:r>
              <w:rPr>
                <w:color w:val="auto"/>
              </w:rPr>
              <w:t>固体废物主要是一般工业固废、危废和生活垃圾，一般工业固废厂内暂存须执行《一般工业固体废物贮存和填埋污染控制标准》（GB18599-2020）的相关规定；</w:t>
            </w:r>
          </w:p>
          <w:p w14:paraId="3A84FBF6">
            <w:pPr>
              <w:adjustRightInd w:val="0"/>
              <w:snapToGrid w:val="0"/>
              <w:spacing w:line="360" w:lineRule="auto"/>
              <w:ind w:firstLine="420" w:firstLineChars="200"/>
              <w:rPr>
                <w:color w:val="auto"/>
              </w:rPr>
            </w:pPr>
            <w:r>
              <w:rPr>
                <w:color w:val="auto"/>
              </w:rPr>
              <w:t>危险废物贮存执行《危险废物收集、贮存、运输技术规范》（HJ2025</w:t>
            </w:r>
            <w:r>
              <w:rPr>
                <w:rFonts w:hint="eastAsia"/>
                <w:color w:val="auto"/>
              </w:rPr>
              <w:t xml:space="preserve"> </w:t>
            </w:r>
            <w:r>
              <w:rPr>
                <w:color w:val="auto"/>
              </w:rPr>
              <w:t>2012）、</w:t>
            </w:r>
            <w:r>
              <w:rPr>
                <w:rFonts w:hint="eastAsia"/>
                <w:color w:val="auto"/>
                <w:sz w:val="21"/>
                <w:szCs w:val="21"/>
                <w:lang w:eastAsia="zh-CN"/>
              </w:rPr>
              <w:t>省生态环境厅关于印发《江苏省固体废物全过程环境监管工作意见》的通知（苏环办[2024]16号）、</w:t>
            </w:r>
            <w:r>
              <w:rPr>
                <w:color w:val="auto"/>
              </w:rPr>
              <w:t>《危险废物贮存污染控制标准》（GB 18597-2023）</w:t>
            </w:r>
            <w:r>
              <w:rPr>
                <w:rFonts w:hint="eastAsia"/>
                <w:color w:val="auto"/>
              </w:rPr>
              <w:t>；</w:t>
            </w:r>
          </w:p>
          <w:p w14:paraId="3A84FBF7">
            <w:pPr>
              <w:adjustRightInd w:val="0"/>
              <w:snapToGrid w:val="0"/>
              <w:spacing w:line="360" w:lineRule="auto"/>
              <w:ind w:firstLine="420" w:firstLineChars="200"/>
              <w:rPr>
                <w:color w:val="auto"/>
              </w:rPr>
            </w:pPr>
            <w:r>
              <w:rPr>
                <w:color w:val="auto"/>
              </w:rPr>
              <w:t>生活垃圾的储存与处置参照执行《城市生活垃圾管理办法》（建设部令第157号）</w:t>
            </w:r>
            <w:r>
              <w:rPr>
                <w:rFonts w:hint="eastAsia"/>
                <w:color w:val="auto"/>
              </w:rPr>
              <w:t>。</w:t>
            </w:r>
          </w:p>
          <w:p w14:paraId="3A84FBF8">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3A84FBF9">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3A84FBFA">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3A84FBFB">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3A84FBFC">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3A84FBFD">
            <w:pPr>
              <w:pStyle w:val="49"/>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3A84FBFE">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3A84FC10">
            <w:pPr>
              <w:pStyle w:val="49"/>
              <w:ind w:left="0"/>
              <w:rPr>
                <w:color w:val="auto"/>
              </w:rPr>
            </w:pPr>
          </w:p>
        </w:tc>
      </w:tr>
      <w:tr w14:paraId="3A84F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43" w:hRule="atLeast"/>
          <w:jc w:val="center"/>
        </w:trPr>
        <w:tc>
          <w:tcPr>
            <w:tcW w:w="456" w:type="dxa"/>
            <w:tcMar>
              <w:left w:w="28" w:type="dxa"/>
              <w:right w:w="28" w:type="dxa"/>
            </w:tcMar>
            <w:vAlign w:val="center"/>
          </w:tcPr>
          <w:p w14:paraId="3A84FC12">
            <w:pPr>
              <w:adjustRightInd w:val="0"/>
              <w:snapToGrid w:val="0"/>
              <w:jc w:val="center"/>
              <w:rPr>
                <w:color w:val="auto"/>
                <w:kern w:val="0"/>
              </w:rPr>
            </w:pPr>
            <w:r>
              <w:rPr>
                <w:b/>
                <w:bCs/>
                <w:color w:val="auto"/>
                <w:kern w:val="0"/>
              </w:rPr>
              <w:t>总量控制指标</w:t>
            </w:r>
          </w:p>
        </w:tc>
        <w:tc>
          <w:tcPr>
            <w:tcW w:w="8945" w:type="dxa"/>
          </w:tcPr>
          <w:p w14:paraId="3A84FC13">
            <w:pPr>
              <w:pStyle w:val="5"/>
              <w:adjustRightInd w:val="0"/>
              <w:snapToGrid w:val="0"/>
              <w:spacing w:line="360" w:lineRule="auto"/>
              <w:ind w:firstLine="422" w:firstLineChars="200"/>
              <w:rPr>
                <w:b/>
                <w:bCs/>
                <w:color w:val="auto"/>
                <w:szCs w:val="21"/>
              </w:rPr>
            </w:pPr>
            <w:r>
              <w:rPr>
                <w:rFonts w:hint="eastAsia"/>
                <w:b/>
                <w:bCs/>
                <w:color w:val="auto"/>
                <w:szCs w:val="21"/>
              </w:rPr>
              <w:t>1、总量控制建议指标</w:t>
            </w:r>
          </w:p>
          <w:p w14:paraId="3A84FC14">
            <w:pPr>
              <w:keepNext w:val="0"/>
              <w:keepLines w:val="0"/>
              <w:pageBreakBefore w:val="0"/>
              <w:widowControl w:val="0"/>
              <w:kinsoku/>
              <w:wordWrap/>
              <w:overflowPunct/>
              <w:topLinePunct w:val="0"/>
              <w:autoSpaceDE/>
              <w:autoSpaceDN/>
              <w:bidi w:val="0"/>
              <w:adjustRightInd w:val="0"/>
              <w:snapToGrid w:val="0"/>
              <w:jc w:val="center"/>
              <w:textAlignment w:val="auto"/>
              <w:rPr>
                <w:b/>
                <w:color w:val="auto"/>
              </w:rPr>
            </w:pPr>
            <w:r>
              <w:rPr>
                <w:b/>
                <w:color w:val="auto"/>
              </w:rPr>
              <w:t>表3-</w:t>
            </w:r>
            <w:r>
              <w:rPr>
                <w:rFonts w:hint="eastAsia"/>
                <w:b/>
                <w:color w:val="auto"/>
              </w:rPr>
              <w:t>1</w:t>
            </w:r>
            <w:r>
              <w:rPr>
                <w:rFonts w:hint="eastAsia"/>
                <w:b/>
                <w:color w:val="auto"/>
                <w:lang w:val="en-US" w:eastAsia="zh-CN"/>
              </w:rPr>
              <w:t>0</w:t>
            </w:r>
            <w:r>
              <w:rPr>
                <w:b/>
                <w:color w:val="auto"/>
              </w:rPr>
              <w:t xml:space="preserve">   总量控制建议值</w:t>
            </w:r>
            <w:r>
              <w:rPr>
                <w:rFonts w:hint="eastAsia"/>
                <w:b/>
                <w:color w:val="auto"/>
              </w:rPr>
              <w:t>（t/a）</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433"/>
              <w:gridCol w:w="896"/>
              <w:gridCol w:w="905"/>
              <w:gridCol w:w="860"/>
              <w:gridCol w:w="1085"/>
              <w:gridCol w:w="995"/>
              <w:gridCol w:w="798"/>
              <w:gridCol w:w="1018"/>
              <w:gridCol w:w="841"/>
              <w:gridCol w:w="899"/>
            </w:tblGrid>
            <w:tr w14:paraId="2ECDABB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cantSplit/>
                <w:trHeight w:val="0" w:hRule="atLeast"/>
                <w:jc w:val="center"/>
              </w:trPr>
              <w:tc>
                <w:tcPr>
                  <w:tcW w:w="254" w:type="pct"/>
                  <w:vMerge w:val="restart"/>
                  <w:tcBorders>
                    <w:tl2br w:val="nil"/>
                    <w:tr2bl w:val="nil"/>
                  </w:tcBorders>
                  <w:noWrap w:val="0"/>
                  <w:vAlign w:val="center"/>
                </w:tcPr>
                <w:p w14:paraId="2F616F35">
                  <w:pPr>
                    <w:pStyle w:val="700"/>
                    <w:spacing w:line="240" w:lineRule="auto"/>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种类</w:t>
                  </w:r>
                </w:p>
              </w:tc>
              <w:tc>
                <w:tcPr>
                  <w:tcW w:w="519" w:type="pct"/>
                  <w:vMerge w:val="restart"/>
                  <w:tcBorders>
                    <w:tl2br w:val="nil"/>
                    <w:tr2bl w:val="nil"/>
                  </w:tcBorders>
                  <w:noWrap w:val="0"/>
                  <w:vAlign w:val="center"/>
                </w:tcPr>
                <w:p w14:paraId="33A0950B">
                  <w:pPr>
                    <w:pStyle w:val="700"/>
                    <w:spacing w:line="240" w:lineRule="auto"/>
                    <w:jc w:val="center"/>
                    <w:rPr>
                      <w:rFonts w:hint="default" w:ascii="Times New Roman" w:hAnsi="Times New Roman" w:eastAsia="宋体" w:cs="Times New Roman"/>
                      <w:b/>
                      <w:bCs w:val="0"/>
                      <w:color w:val="auto"/>
                      <w:sz w:val="18"/>
                      <w:szCs w:val="18"/>
                      <w:highlight w:val="none"/>
                      <w:lang w:val="en-US" w:eastAsia="zh-CN"/>
                    </w:rPr>
                  </w:pPr>
                  <w:r>
                    <w:rPr>
                      <w:rFonts w:hint="default" w:ascii="Times New Roman" w:hAnsi="Times New Roman" w:eastAsia="宋体" w:cs="Times New Roman"/>
                      <w:b/>
                      <w:bCs w:val="0"/>
                      <w:color w:val="auto"/>
                      <w:sz w:val="18"/>
                      <w:szCs w:val="18"/>
                      <w:highlight w:val="none"/>
                    </w:rPr>
                    <w:t>污染物名称</w:t>
                  </w:r>
                </w:p>
              </w:tc>
              <w:tc>
                <w:tcPr>
                  <w:tcW w:w="487" w:type="pct"/>
                  <w:vMerge w:val="restart"/>
                  <w:tcBorders>
                    <w:tl2br w:val="nil"/>
                    <w:tr2bl w:val="nil"/>
                  </w:tcBorders>
                  <w:noWrap w:val="0"/>
                  <w:vAlign w:val="center"/>
                </w:tcPr>
                <w:p w14:paraId="5DBACA39">
                  <w:pPr>
                    <w:pStyle w:val="700"/>
                    <w:spacing w:line="240" w:lineRule="auto"/>
                    <w:jc w:val="center"/>
                    <w:rPr>
                      <w:rFonts w:hint="default" w:ascii="Times New Roman" w:hAnsi="Times New Roman" w:eastAsia="宋体" w:cs="Times New Roman"/>
                      <w:b/>
                      <w:bCs w:val="0"/>
                      <w:color w:val="auto"/>
                      <w:sz w:val="18"/>
                      <w:szCs w:val="18"/>
                      <w:highlight w:val="none"/>
                    </w:rPr>
                  </w:pPr>
                  <w:r>
                    <w:rPr>
                      <w:rFonts w:hint="eastAsia" w:eastAsia="宋体" w:cs="Times New Roman"/>
                      <w:b/>
                      <w:bCs w:val="0"/>
                      <w:color w:val="auto"/>
                      <w:sz w:val="18"/>
                      <w:szCs w:val="18"/>
                      <w:highlight w:val="none"/>
                      <w:lang w:val="en-US" w:eastAsia="zh-CN"/>
                    </w:rPr>
                    <w:t>环评批复</w:t>
                  </w:r>
                  <w:r>
                    <w:rPr>
                      <w:rFonts w:hint="default" w:ascii="Times New Roman" w:hAnsi="Times New Roman" w:eastAsia="宋体" w:cs="Times New Roman"/>
                      <w:b/>
                      <w:bCs w:val="0"/>
                      <w:color w:val="auto"/>
                      <w:sz w:val="18"/>
                      <w:szCs w:val="18"/>
                      <w:highlight w:val="none"/>
                      <w:lang w:val="en-US" w:eastAsia="zh-CN"/>
                    </w:rPr>
                    <w:t>量</w:t>
                  </w:r>
                </w:p>
              </w:tc>
              <w:tc>
                <w:tcPr>
                  <w:tcW w:w="1683" w:type="pct"/>
                  <w:gridSpan w:val="3"/>
                  <w:tcBorders>
                    <w:tl2br w:val="nil"/>
                    <w:tr2bl w:val="nil"/>
                  </w:tcBorders>
                  <w:noWrap w:val="0"/>
                  <w:vAlign w:val="center"/>
                </w:tcPr>
                <w:p w14:paraId="2606CE6B">
                  <w:pPr>
                    <w:pStyle w:val="700"/>
                    <w:spacing w:line="240" w:lineRule="auto"/>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lang w:val="en-US" w:eastAsia="zh-CN"/>
                    </w:rPr>
                    <w:t>本项目</w:t>
                  </w:r>
                </w:p>
              </w:tc>
              <w:tc>
                <w:tcPr>
                  <w:tcW w:w="1537" w:type="pct"/>
                  <w:gridSpan w:val="3"/>
                  <w:tcBorders>
                    <w:tl2br w:val="nil"/>
                    <w:tr2bl w:val="nil"/>
                  </w:tcBorders>
                  <w:noWrap w:val="0"/>
                  <w:vAlign w:val="center"/>
                </w:tcPr>
                <w:p w14:paraId="4CD35413">
                  <w:pPr>
                    <w:pStyle w:val="700"/>
                    <w:spacing w:line="240" w:lineRule="auto"/>
                    <w:jc w:val="center"/>
                    <w:rPr>
                      <w:rFonts w:hint="default" w:ascii="Times New Roman" w:hAnsi="Times New Roman" w:eastAsia="宋体" w:cs="Times New Roman"/>
                      <w:b/>
                      <w:bCs w:val="0"/>
                      <w:color w:val="auto"/>
                      <w:sz w:val="18"/>
                      <w:szCs w:val="18"/>
                      <w:highlight w:val="none"/>
                      <w:lang w:val="en-US" w:eastAsia="zh-CN"/>
                    </w:rPr>
                  </w:pPr>
                  <w:r>
                    <w:rPr>
                      <w:rFonts w:hint="default" w:ascii="Times New Roman" w:hAnsi="Times New Roman" w:eastAsia="宋体" w:cs="Times New Roman"/>
                      <w:b/>
                      <w:bCs w:val="0"/>
                      <w:color w:val="auto"/>
                      <w:sz w:val="18"/>
                      <w:szCs w:val="18"/>
                      <w:highlight w:val="none"/>
                      <w:lang w:val="en-US" w:eastAsia="zh-CN"/>
                    </w:rPr>
                    <w:t>全厂</w:t>
                  </w:r>
                </w:p>
              </w:tc>
              <w:tc>
                <w:tcPr>
                  <w:tcW w:w="517" w:type="pct"/>
                  <w:vMerge w:val="restart"/>
                  <w:tcBorders>
                    <w:tl2br w:val="nil"/>
                    <w:tr2bl w:val="nil"/>
                  </w:tcBorders>
                  <w:noWrap w:val="0"/>
                  <w:vAlign w:val="center"/>
                </w:tcPr>
                <w:p w14:paraId="4B28BA59">
                  <w:pPr>
                    <w:pStyle w:val="700"/>
                    <w:spacing w:line="240" w:lineRule="auto"/>
                    <w:jc w:val="center"/>
                    <w:rPr>
                      <w:rFonts w:hint="default" w:ascii="Times New Roman" w:hAnsi="Times New Roman" w:eastAsia="宋体" w:cs="Times New Roman"/>
                      <w:b/>
                      <w:bCs w:val="0"/>
                      <w:color w:val="auto"/>
                      <w:sz w:val="18"/>
                      <w:szCs w:val="18"/>
                      <w:highlight w:val="none"/>
                      <w:lang w:val="en-US" w:eastAsia="zh-CN"/>
                    </w:rPr>
                  </w:pPr>
                  <w:r>
                    <w:rPr>
                      <w:rFonts w:hint="default" w:ascii="Times New Roman" w:hAnsi="Times New Roman" w:eastAsia="宋体" w:cs="Times New Roman"/>
                      <w:b/>
                      <w:bCs w:val="0"/>
                      <w:color w:val="auto"/>
                      <w:sz w:val="18"/>
                      <w:szCs w:val="18"/>
                      <w:highlight w:val="none"/>
                      <w:lang w:val="en-US" w:eastAsia="zh-CN"/>
                    </w:rPr>
                    <w:t>本项目需申请总量</w:t>
                  </w:r>
                </w:p>
              </w:tc>
            </w:tr>
            <w:tr w14:paraId="3F6A91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510" w:hRule="atLeast"/>
                <w:jc w:val="center"/>
              </w:trPr>
              <w:tc>
                <w:tcPr>
                  <w:tcW w:w="254" w:type="pct"/>
                  <w:vMerge w:val="continue"/>
                  <w:tcBorders>
                    <w:tl2br w:val="nil"/>
                    <w:tr2bl w:val="nil"/>
                  </w:tcBorders>
                  <w:noWrap w:val="0"/>
                  <w:vAlign w:val="center"/>
                </w:tcPr>
                <w:p w14:paraId="1360C57E">
                  <w:pPr>
                    <w:pStyle w:val="700"/>
                    <w:spacing w:line="240" w:lineRule="auto"/>
                    <w:jc w:val="center"/>
                    <w:rPr>
                      <w:rFonts w:hint="default" w:ascii="Times New Roman" w:hAnsi="Times New Roman" w:eastAsia="宋体" w:cs="Times New Roman"/>
                      <w:b/>
                      <w:bCs w:val="0"/>
                      <w:color w:val="auto"/>
                      <w:sz w:val="18"/>
                      <w:szCs w:val="18"/>
                      <w:highlight w:val="none"/>
                    </w:rPr>
                  </w:pPr>
                </w:p>
              </w:tc>
              <w:tc>
                <w:tcPr>
                  <w:tcW w:w="519" w:type="pct"/>
                  <w:vMerge w:val="continue"/>
                  <w:tcBorders>
                    <w:tl2br w:val="nil"/>
                    <w:tr2bl w:val="nil"/>
                  </w:tcBorders>
                  <w:noWrap w:val="0"/>
                  <w:vAlign w:val="center"/>
                </w:tcPr>
                <w:p w14:paraId="5C763F09">
                  <w:pPr>
                    <w:pStyle w:val="700"/>
                    <w:spacing w:line="240" w:lineRule="auto"/>
                    <w:jc w:val="center"/>
                    <w:rPr>
                      <w:rFonts w:hint="default" w:ascii="Times New Roman" w:hAnsi="Times New Roman" w:eastAsia="宋体" w:cs="Times New Roman"/>
                      <w:b/>
                      <w:bCs w:val="0"/>
                      <w:color w:val="auto"/>
                      <w:sz w:val="18"/>
                      <w:szCs w:val="18"/>
                      <w:highlight w:val="none"/>
                      <w:lang w:val="en-US" w:eastAsia="zh-CN"/>
                    </w:rPr>
                  </w:pPr>
                </w:p>
              </w:tc>
              <w:tc>
                <w:tcPr>
                  <w:tcW w:w="487" w:type="pct"/>
                  <w:vMerge w:val="continue"/>
                  <w:tcBorders>
                    <w:tl2br w:val="nil"/>
                    <w:tr2bl w:val="nil"/>
                  </w:tcBorders>
                  <w:noWrap w:val="0"/>
                  <w:vAlign w:val="center"/>
                </w:tcPr>
                <w:p w14:paraId="66D5EDDF">
                  <w:pPr>
                    <w:pStyle w:val="700"/>
                    <w:spacing w:line="240" w:lineRule="auto"/>
                    <w:jc w:val="center"/>
                    <w:rPr>
                      <w:rFonts w:hint="default" w:ascii="Times New Roman" w:hAnsi="Times New Roman" w:eastAsia="宋体" w:cs="Times New Roman"/>
                      <w:b/>
                      <w:bCs w:val="0"/>
                      <w:color w:val="auto"/>
                      <w:sz w:val="18"/>
                      <w:szCs w:val="18"/>
                      <w:highlight w:val="none"/>
                    </w:rPr>
                  </w:pPr>
                </w:p>
              </w:tc>
              <w:tc>
                <w:tcPr>
                  <w:tcW w:w="492" w:type="pct"/>
                  <w:tcBorders>
                    <w:tl2br w:val="nil"/>
                    <w:tr2bl w:val="nil"/>
                  </w:tcBorders>
                  <w:noWrap w:val="0"/>
                  <w:vAlign w:val="center"/>
                </w:tcPr>
                <w:p w14:paraId="176F69A8">
                  <w:pPr>
                    <w:pStyle w:val="700"/>
                    <w:spacing w:line="240" w:lineRule="auto"/>
                    <w:jc w:val="center"/>
                    <w:rPr>
                      <w:rFonts w:hint="default" w:ascii="Times New Roman" w:hAnsi="Times New Roman" w:eastAsia="宋体" w:cs="Times New Roman"/>
                      <w:b/>
                      <w:bCs w:val="0"/>
                      <w:color w:val="auto"/>
                      <w:kern w:val="2"/>
                      <w:sz w:val="18"/>
                      <w:szCs w:val="18"/>
                      <w:highlight w:val="none"/>
                      <w:lang w:val="en-US" w:eastAsia="zh-CN" w:bidi="ar-SA"/>
                    </w:rPr>
                  </w:pPr>
                  <w:r>
                    <w:rPr>
                      <w:rFonts w:hint="default" w:ascii="Times New Roman" w:hAnsi="Times New Roman" w:eastAsia="宋体" w:cs="Times New Roman"/>
                      <w:b/>
                      <w:bCs w:val="0"/>
                      <w:color w:val="auto"/>
                      <w:sz w:val="18"/>
                      <w:szCs w:val="18"/>
                      <w:highlight w:val="none"/>
                    </w:rPr>
                    <w:t>产生量</w:t>
                  </w:r>
                </w:p>
              </w:tc>
              <w:tc>
                <w:tcPr>
                  <w:tcW w:w="621" w:type="pct"/>
                  <w:tcBorders>
                    <w:tl2br w:val="nil"/>
                    <w:tr2bl w:val="nil"/>
                  </w:tcBorders>
                  <w:noWrap w:val="0"/>
                  <w:vAlign w:val="center"/>
                </w:tcPr>
                <w:p w14:paraId="36531C1A">
                  <w:pPr>
                    <w:pStyle w:val="700"/>
                    <w:spacing w:line="240" w:lineRule="auto"/>
                    <w:jc w:val="center"/>
                    <w:rPr>
                      <w:rFonts w:hint="default" w:ascii="Times New Roman" w:hAnsi="Times New Roman" w:eastAsia="宋体" w:cs="Times New Roman"/>
                      <w:b/>
                      <w:bCs w:val="0"/>
                      <w:color w:val="auto"/>
                      <w:kern w:val="2"/>
                      <w:sz w:val="18"/>
                      <w:szCs w:val="18"/>
                      <w:highlight w:val="none"/>
                      <w:lang w:val="en-US" w:eastAsia="zh-CN" w:bidi="ar-SA"/>
                    </w:rPr>
                  </w:pPr>
                  <w:r>
                    <w:rPr>
                      <w:rFonts w:hint="default" w:ascii="Times New Roman" w:hAnsi="Times New Roman" w:eastAsia="宋体" w:cs="Times New Roman"/>
                      <w:b/>
                      <w:bCs w:val="0"/>
                      <w:color w:val="auto"/>
                      <w:sz w:val="18"/>
                      <w:szCs w:val="18"/>
                      <w:highlight w:val="none"/>
                    </w:rPr>
                    <w:t>削减量</w:t>
                  </w:r>
                </w:p>
              </w:tc>
              <w:tc>
                <w:tcPr>
                  <w:tcW w:w="569" w:type="pct"/>
                  <w:tcBorders>
                    <w:tl2br w:val="nil"/>
                    <w:tr2bl w:val="nil"/>
                  </w:tcBorders>
                  <w:noWrap w:val="0"/>
                  <w:vAlign w:val="center"/>
                </w:tcPr>
                <w:p w14:paraId="5915E8BF">
                  <w:pPr>
                    <w:pStyle w:val="700"/>
                    <w:spacing w:line="240" w:lineRule="auto"/>
                    <w:jc w:val="center"/>
                    <w:rPr>
                      <w:rFonts w:hint="default" w:ascii="Times New Roman" w:hAnsi="Times New Roman" w:eastAsia="宋体" w:cs="Times New Roman"/>
                      <w:b/>
                      <w:bCs w:val="0"/>
                      <w:color w:val="auto"/>
                      <w:kern w:val="2"/>
                      <w:sz w:val="18"/>
                      <w:szCs w:val="18"/>
                      <w:highlight w:val="none"/>
                      <w:lang w:val="en-US" w:eastAsia="zh-CN" w:bidi="ar-SA"/>
                    </w:rPr>
                  </w:pPr>
                  <w:r>
                    <w:rPr>
                      <w:rFonts w:hint="default" w:ascii="Times New Roman" w:hAnsi="Times New Roman" w:eastAsia="宋体" w:cs="Times New Roman"/>
                      <w:b/>
                      <w:bCs w:val="0"/>
                      <w:color w:val="auto"/>
                      <w:kern w:val="2"/>
                      <w:sz w:val="18"/>
                      <w:szCs w:val="18"/>
                      <w:highlight w:val="none"/>
                      <w:lang w:val="en-US" w:eastAsia="zh-CN" w:bidi="ar-SA"/>
                    </w:rPr>
                    <w:t>排放量</w:t>
                  </w:r>
                </w:p>
              </w:tc>
              <w:tc>
                <w:tcPr>
                  <w:tcW w:w="462" w:type="pct"/>
                  <w:tcBorders>
                    <w:tl2br w:val="nil"/>
                    <w:tr2bl w:val="nil"/>
                  </w:tcBorders>
                  <w:noWrap w:val="0"/>
                  <w:vAlign w:val="center"/>
                </w:tcPr>
                <w:p w14:paraId="43AA0353">
                  <w:pPr>
                    <w:pStyle w:val="700"/>
                    <w:spacing w:line="240" w:lineRule="auto"/>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color w:val="auto"/>
                      <w:sz w:val="18"/>
                      <w:szCs w:val="18"/>
                      <w:highlight w:val="none"/>
                    </w:rPr>
                    <w:t>以新带老削减量</w:t>
                  </w:r>
                </w:p>
              </w:tc>
              <w:tc>
                <w:tcPr>
                  <w:tcW w:w="588" w:type="pct"/>
                  <w:tcBorders>
                    <w:tl2br w:val="nil"/>
                    <w:tr2bl w:val="nil"/>
                  </w:tcBorders>
                  <w:noWrap w:val="0"/>
                  <w:vAlign w:val="center"/>
                </w:tcPr>
                <w:p w14:paraId="44107D9F">
                  <w:pPr>
                    <w:pStyle w:val="700"/>
                    <w:spacing w:line="240" w:lineRule="auto"/>
                    <w:jc w:val="center"/>
                    <w:rPr>
                      <w:rFonts w:hint="default" w:ascii="Times New Roman" w:hAnsi="Times New Roman" w:eastAsia="宋体" w:cs="Times New Roman"/>
                      <w:b/>
                      <w:bCs w:val="0"/>
                      <w:color w:val="auto"/>
                      <w:kern w:val="2"/>
                      <w:sz w:val="18"/>
                      <w:szCs w:val="18"/>
                      <w:highlight w:val="none"/>
                      <w:lang w:val="en-US" w:eastAsia="zh-CN" w:bidi="ar-SA"/>
                    </w:rPr>
                  </w:pPr>
                  <w:r>
                    <w:rPr>
                      <w:rFonts w:hint="default" w:ascii="Times New Roman" w:hAnsi="Times New Roman" w:eastAsia="宋体" w:cs="Times New Roman"/>
                      <w:b/>
                      <w:bCs w:val="0"/>
                      <w:color w:val="auto"/>
                      <w:kern w:val="2"/>
                      <w:sz w:val="18"/>
                      <w:szCs w:val="18"/>
                      <w:highlight w:val="none"/>
                      <w:lang w:val="en-US" w:eastAsia="zh-CN" w:bidi="ar-SA"/>
                    </w:rPr>
                    <w:t>全厂排放总量</w:t>
                  </w:r>
                </w:p>
              </w:tc>
              <w:tc>
                <w:tcPr>
                  <w:tcW w:w="486" w:type="pct"/>
                  <w:tcBorders>
                    <w:tl2br w:val="nil"/>
                    <w:tr2bl w:val="nil"/>
                  </w:tcBorders>
                  <w:noWrap w:val="0"/>
                  <w:vAlign w:val="center"/>
                </w:tcPr>
                <w:p w14:paraId="394C5C3B">
                  <w:pPr>
                    <w:pStyle w:val="700"/>
                    <w:spacing w:line="240" w:lineRule="auto"/>
                    <w:jc w:val="center"/>
                    <w:rPr>
                      <w:rFonts w:hint="default" w:ascii="Times New Roman" w:hAnsi="Times New Roman" w:eastAsia="宋体" w:cs="Times New Roman"/>
                      <w:b/>
                      <w:bCs w:val="0"/>
                      <w:color w:val="auto"/>
                      <w:sz w:val="18"/>
                      <w:szCs w:val="18"/>
                      <w:highlight w:val="none"/>
                      <w:lang w:val="en-US" w:eastAsia="zh-CN"/>
                    </w:rPr>
                  </w:pPr>
                  <w:r>
                    <w:rPr>
                      <w:rFonts w:hint="default" w:ascii="Times New Roman" w:hAnsi="Times New Roman" w:eastAsia="宋体" w:cs="Times New Roman"/>
                      <w:b/>
                      <w:bCs w:val="0"/>
                      <w:color w:val="auto"/>
                      <w:sz w:val="18"/>
                      <w:szCs w:val="18"/>
                      <w:highlight w:val="none"/>
                      <w:lang w:val="en-US" w:eastAsia="zh-CN"/>
                    </w:rPr>
                    <w:t>排放增减量</w:t>
                  </w:r>
                </w:p>
              </w:tc>
              <w:tc>
                <w:tcPr>
                  <w:tcW w:w="517" w:type="pct"/>
                  <w:vMerge w:val="continue"/>
                  <w:tcBorders>
                    <w:tl2br w:val="nil"/>
                    <w:tr2bl w:val="nil"/>
                  </w:tcBorders>
                  <w:noWrap w:val="0"/>
                  <w:vAlign w:val="center"/>
                </w:tcPr>
                <w:p w14:paraId="7CD46A92">
                  <w:pPr>
                    <w:pStyle w:val="700"/>
                    <w:spacing w:line="240" w:lineRule="auto"/>
                    <w:jc w:val="center"/>
                    <w:rPr>
                      <w:rFonts w:hint="default" w:ascii="Times New Roman" w:hAnsi="Times New Roman" w:eastAsia="宋体" w:cs="Times New Roman"/>
                      <w:b/>
                      <w:bCs w:val="0"/>
                      <w:color w:val="auto"/>
                      <w:sz w:val="18"/>
                      <w:szCs w:val="18"/>
                      <w:highlight w:val="none"/>
                      <w:lang w:val="en-US" w:eastAsia="zh-CN"/>
                    </w:rPr>
                  </w:pPr>
                </w:p>
              </w:tc>
            </w:tr>
            <w:tr w14:paraId="420525E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254" w:type="pct"/>
                  <w:vMerge w:val="restart"/>
                  <w:tcBorders>
                    <w:tl2br w:val="nil"/>
                    <w:tr2bl w:val="nil"/>
                  </w:tcBorders>
                  <w:noWrap w:val="0"/>
                  <w:vAlign w:val="center"/>
                </w:tcPr>
                <w:p w14:paraId="24ACA732">
                  <w:pPr>
                    <w:pStyle w:val="698"/>
                    <w:spacing w:line="240" w:lineRule="auto"/>
                    <w:jc w:val="center"/>
                    <w:rPr>
                      <w:rFonts w:hint="eastAsia" w:eastAsia="宋体" w:cs="Times New Roman"/>
                      <w:b w:val="0"/>
                      <w:bCs/>
                      <w:color w:val="auto"/>
                      <w:sz w:val="18"/>
                      <w:szCs w:val="18"/>
                      <w:highlight w:val="none"/>
                      <w:lang w:val="en-US" w:eastAsia="zh-CN"/>
                    </w:rPr>
                  </w:pPr>
                  <w:r>
                    <w:rPr>
                      <w:rFonts w:hint="eastAsia" w:eastAsia="宋体" w:cs="Times New Roman"/>
                      <w:b w:val="0"/>
                      <w:bCs/>
                      <w:color w:val="auto"/>
                      <w:sz w:val="18"/>
                      <w:szCs w:val="18"/>
                      <w:highlight w:val="none"/>
                      <w:lang w:val="en-US" w:eastAsia="zh-CN"/>
                    </w:rPr>
                    <w:t>生活</w:t>
                  </w:r>
                </w:p>
                <w:p w14:paraId="3D1192B5">
                  <w:pPr>
                    <w:pStyle w:val="698"/>
                    <w:spacing w:line="240" w:lineRule="auto"/>
                    <w:jc w:val="center"/>
                    <w:rPr>
                      <w:rFonts w:hint="eastAsia" w:ascii="Times New Roman" w:hAnsi="Times New Roman" w:eastAsia="宋体" w:cs="Times New Roman"/>
                      <w:b w:val="0"/>
                      <w:bCs/>
                      <w:color w:val="auto"/>
                      <w:sz w:val="18"/>
                      <w:szCs w:val="18"/>
                      <w:highlight w:val="none"/>
                      <w:lang w:val="en-US" w:eastAsia="zh-CN"/>
                    </w:rPr>
                  </w:pPr>
                  <w:r>
                    <w:rPr>
                      <w:rFonts w:hint="eastAsia" w:eastAsia="宋体" w:cs="Times New Roman"/>
                      <w:b w:val="0"/>
                      <w:bCs/>
                      <w:color w:val="auto"/>
                      <w:sz w:val="18"/>
                      <w:szCs w:val="18"/>
                      <w:highlight w:val="none"/>
                      <w:lang w:val="en-US" w:eastAsia="zh-CN"/>
                    </w:rPr>
                    <w:t>污水</w:t>
                  </w:r>
                </w:p>
              </w:tc>
              <w:tc>
                <w:tcPr>
                  <w:tcW w:w="519" w:type="pct"/>
                  <w:tcBorders>
                    <w:tl2br w:val="nil"/>
                    <w:tr2bl w:val="nil"/>
                  </w:tcBorders>
                  <w:noWrap w:val="0"/>
                  <w:vAlign w:val="center"/>
                </w:tcPr>
                <w:p w14:paraId="0812F950">
                  <w:pPr>
                    <w:widowControl/>
                    <w:adjustRightInd w:val="0"/>
                    <w:snapToGrid w:val="0"/>
                    <w:jc w:val="center"/>
                    <w:rPr>
                      <w:rFonts w:hint="default"/>
                      <w:color w:val="auto"/>
                      <w:sz w:val="18"/>
                      <w:szCs w:val="18"/>
                      <w:lang w:val="en-US" w:eastAsia="zh-CN"/>
                    </w:rPr>
                  </w:pPr>
                  <w:r>
                    <w:rPr>
                      <w:rFonts w:hint="eastAsia"/>
                      <w:color w:val="auto"/>
                      <w:sz w:val="18"/>
                      <w:szCs w:val="18"/>
                      <w:lang w:val="en-US" w:eastAsia="zh-CN"/>
                    </w:rPr>
                    <w:t>废水量</w:t>
                  </w:r>
                </w:p>
              </w:tc>
              <w:tc>
                <w:tcPr>
                  <w:tcW w:w="487" w:type="pct"/>
                  <w:tcBorders>
                    <w:tl2br w:val="nil"/>
                    <w:tr2bl w:val="nil"/>
                  </w:tcBorders>
                  <w:noWrap w:val="0"/>
                  <w:vAlign w:val="center"/>
                </w:tcPr>
                <w:p w14:paraId="4E6D735C">
                  <w:pPr>
                    <w:keepNext w:val="0"/>
                    <w:keepLines w:val="0"/>
                    <w:pageBreakBefore w:val="0"/>
                    <w:widowControl/>
                    <w:kinsoku/>
                    <w:wordWrap/>
                    <w:overflowPunct/>
                    <w:topLinePunct w:val="0"/>
                    <w:autoSpaceDE/>
                    <w:autoSpaceDN/>
                    <w:bidi w:val="0"/>
                    <w:adjustRightInd w:val="0"/>
                    <w:snapToGrid w:val="0"/>
                    <w:jc w:val="center"/>
                    <w:rPr>
                      <w:rFonts w:hint="default"/>
                      <w:color w:val="auto"/>
                      <w:sz w:val="18"/>
                      <w:szCs w:val="18"/>
                      <w:lang w:val="en-US" w:eastAsia="zh-CN"/>
                    </w:rPr>
                  </w:pPr>
                  <w:r>
                    <w:rPr>
                      <w:rFonts w:hint="eastAsia"/>
                      <w:color w:val="auto"/>
                      <w:kern w:val="0"/>
                      <w:sz w:val="18"/>
                      <w:szCs w:val="18"/>
                      <w:lang w:val="en-US" w:eastAsia="zh-CN"/>
                    </w:rPr>
                    <w:t>44670</w:t>
                  </w:r>
                </w:p>
              </w:tc>
              <w:tc>
                <w:tcPr>
                  <w:tcW w:w="492" w:type="pct"/>
                  <w:tcBorders>
                    <w:tl2br w:val="nil"/>
                    <w:tr2bl w:val="nil"/>
                  </w:tcBorders>
                  <w:noWrap w:val="0"/>
                  <w:vAlign w:val="center"/>
                </w:tcPr>
                <w:p w14:paraId="5427D965">
                  <w:pPr>
                    <w:keepNext w:val="0"/>
                    <w:keepLines w:val="0"/>
                    <w:pageBreakBefore w:val="0"/>
                    <w:widowControl/>
                    <w:kinsoku/>
                    <w:wordWrap/>
                    <w:overflowPunct/>
                    <w:topLinePunct w:val="0"/>
                    <w:autoSpaceDE/>
                    <w:autoSpaceDN/>
                    <w:bidi w:val="0"/>
                    <w:adjustRightInd w:val="0"/>
                    <w:snapToGrid w:val="0"/>
                    <w:jc w:val="center"/>
                    <w:textAlignment w:val="center"/>
                    <w:rPr>
                      <w:rFonts w:hint="default"/>
                      <w:color w:val="auto"/>
                      <w:sz w:val="18"/>
                      <w:szCs w:val="18"/>
                      <w:lang w:val="en-US" w:eastAsia="zh-CN"/>
                    </w:rPr>
                  </w:pPr>
                  <w:r>
                    <w:rPr>
                      <w:rFonts w:hint="eastAsia"/>
                      <w:color w:val="auto"/>
                      <w:kern w:val="0"/>
                      <w:sz w:val="18"/>
                      <w:szCs w:val="18"/>
                      <w:lang w:val="en-US" w:eastAsia="zh-CN" w:bidi="ar"/>
                    </w:rPr>
                    <w:t>896</w:t>
                  </w:r>
                </w:p>
              </w:tc>
              <w:tc>
                <w:tcPr>
                  <w:tcW w:w="621" w:type="pct"/>
                  <w:tcBorders>
                    <w:tl2br w:val="nil"/>
                    <w:tr2bl w:val="nil"/>
                  </w:tcBorders>
                  <w:noWrap w:val="0"/>
                  <w:vAlign w:val="center"/>
                </w:tcPr>
                <w:p w14:paraId="2A0DA776">
                  <w:pPr>
                    <w:adjustRightInd w:val="0"/>
                    <w:snapToGrid w:val="0"/>
                    <w:jc w:val="center"/>
                    <w:rPr>
                      <w:rFonts w:hint="default"/>
                      <w:color w:val="auto"/>
                      <w:sz w:val="18"/>
                      <w:szCs w:val="18"/>
                      <w:lang w:val="en-US" w:eastAsia="zh-CN"/>
                    </w:rPr>
                  </w:pPr>
                  <w:r>
                    <w:rPr>
                      <w:rFonts w:hint="eastAsia"/>
                      <w:color w:val="auto"/>
                      <w:sz w:val="18"/>
                      <w:szCs w:val="18"/>
                      <w:lang w:val="en-US" w:eastAsia="zh-CN"/>
                    </w:rPr>
                    <w:t>0</w:t>
                  </w:r>
                </w:p>
              </w:tc>
              <w:tc>
                <w:tcPr>
                  <w:tcW w:w="569" w:type="pct"/>
                  <w:tcBorders>
                    <w:tl2br w:val="nil"/>
                    <w:tr2bl w:val="nil"/>
                  </w:tcBorders>
                  <w:noWrap w:val="0"/>
                  <w:vAlign w:val="center"/>
                </w:tcPr>
                <w:p w14:paraId="39B65E3C">
                  <w:pPr>
                    <w:keepNext w:val="0"/>
                    <w:keepLines w:val="0"/>
                    <w:pageBreakBefore w:val="0"/>
                    <w:widowControl/>
                    <w:kinsoku/>
                    <w:wordWrap/>
                    <w:overflowPunct/>
                    <w:topLinePunct w:val="0"/>
                    <w:autoSpaceDE/>
                    <w:autoSpaceDN/>
                    <w:bidi w:val="0"/>
                    <w:adjustRightInd w:val="0"/>
                    <w:snapToGrid w:val="0"/>
                    <w:jc w:val="center"/>
                    <w:textAlignment w:val="center"/>
                    <w:rPr>
                      <w:rFonts w:hint="default"/>
                      <w:color w:val="auto"/>
                      <w:sz w:val="18"/>
                      <w:szCs w:val="18"/>
                      <w:lang w:val="en-US" w:eastAsia="zh-CN"/>
                    </w:rPr>
                  </w:pPr>
                  <w:r>
                    <w:rPr>
                      <w:rFonts w:hint="eastAsia"/>
                      <w:color w:val="auto"/>
                      <w:kern w:val="0"/>
                      <w:sz w:val="18"/>
                      <w:szCs w:val="18"/>
                      <w:lang w:val="en-US" w:eastAsia="zh-CN" w:bidi="ar"/>
                    </w:rPr>
                    <w:t>896</w:t>
                  </w:r>
                </w:p>
              </w:tc>
              <w:tc>
                <w:tcPr>
                  <w:tcW w:w="462" w:type="pct"/>
                  <w:tcBorders>
                    <w:tl2br w:val="nil"/>
                    <w:tr2bl w:val="nil"/>
                  </w:tcBorders>
                  <w:noWrap w:val="0"/>
                  <w:vAlign w:val="center"/>
                </w:tcPr>
                <w:p w14:paraId="54D1FD90">
                  <w:pPr>
                    <w:adjustRightInd w:val="0"/>
                    <w:snapToGrid w:val="0"/>
                    <w:jc w:val="center"/>
                    <w:rPr>
                      <w:rFonts w:hint="eastAsia"/>
                      <w:color w:val="auto"/>
                      <w:sz w:val="18"/>
                      <w:szCs w:val="18"/>
                      <w:lang w:val="en-US" w:eastAsia="zh-CN"/>
                    </w:rPr>
                  </w:pPr>
                  <w:r>
                    <w:rPr>
                      <w:rFonts w:hint="eastAsia"/>
                      <w:color w:val="auto"/>
                      <w:sz w:val="18"/>
                      <w:szCs w:val="18"/>
                      <w:lang w:val="en-US" w:eastAsia="zh-CN"/>
                    </w:rPr>
                    <w:t>0</w:t>
                  </w:r>
                </w:p>
              </w:tc>
              <w:tc>
                <w:tcPr>
                  <w:tcW w:w="588" w:type="pct"/>
                  <w:tcBorders>
                    <w:tl2br w:val="nil"/>
                    <w:tr2bl w:val="nil"/>
                  </w:tcBorders>
                  <w:noWrap w:val="0"/>
                  <w:vAlign w:val="center"/>
                </w:tcPr>
                <w:p w14:paraId="7FBBDA3D">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45566</w:t>
                  </w:r>
                </w:p>
              </w:tc>
              <w:tc>
                <w:tcPr>
                  <w:tcW w:w="486" w:type="pct"/>
                  <w:tcBorders>
                    <w:tl2br w:val="nil"/>
                    <w:tr2bl w:val="nil"/>
                  </w:tcBorders>
                  <w:noWrap w:val="0"/>
                  <w:vAlign w:val="center"/>
                </w:tcPr>
                <w:p w14:paraId="21646D75">
                  <w:pPr>
                    <w:keepNext w:val="0"/>
                    <w:keepLines w:val="0"/>
                    <w:pageBreakBefore w:val="0"/>
                    <w:widowControl/>
                    <w:kinsoku/>
                    <w:wordWrap/>
                    <w:overflowPunct/>
                    <w:topLinePunct w:val="0"/>
                    <w:autoSpaceDE/>
                    <w:autoSpaceDN/>
                    <w:bidi w:val="0"/>
                    <w:adjustRightInd w:val="0"/>
                    <w:snapToGrid w:val="0"/>
                    <w:jc w:val="center"/>
                    <w:textAlignment w:val="center"/>
                    <w:rPr>
                      <w:rFonts w:hint="eastAsia"/>
                      <w:color w:val="auto"/>
                      <w:sz w:val="18"/>
                      <w:szCs w:val="18"/>
                      <w:lang w:val="en-US" w:eastAsia="zh-CN"/>
                    </w:rPr>
                  </w:pPr>
                  <w:r>
                    <w:rPr>
                      <w:rFonts w:hint="eastAsia"/>
                      <w:color w:val="auto"/>
                      <w:kern w:val="0"/>
                      <w:sz w:val="18"/>
                      <w:szCs w:val="18"/>
                      <w:lang w:val="en-US" w:eastAsia="zh-CN" w:bidi="ar"/>
                    </w:rPr>
                    <w:t>+896</w:t>
                  </w:r>
                </w:p>
              </w:tc>
              <w:tc>
                <w:tcPr>
                  <w:tcW w:w="517" w:type="pct"/>
                  <w:tcBorders>
                    <w:tl2br w:val="nil"/>
                    <w:tr2bl w:val="nil"/>
                  </w:tcBorders>
                  <w:noWrap w:val="0"/>
                  <w:vAlign w:val="center"/>
                </w:tcPr>
                <w:p w14:paraId="08C0F779">
                  <w:pPr>
                    <w:keepNext w:val="0"/>
                    <w:keepLines w:val="0"/>
                    <w:pageBreakBefore w:val="0"/>
                    <w:widowControl/>
                    <w:kinsoku/>
                    <w:wordWrap/>
                    <w:overflowPunct/>
                    <w:topLinePunct w:val="0"/>
                    <w:autoSpaceDE/>
                    <w:autoSpaceDN/>
                    <w:bidi w:val="0"/>
                    <w:adjustRightInd w:val="0"/>
                    <w:snapToGrid w:val="0"/>
                    <w:jc w:val="center"/>
                    <w:textAlignment w:val="center"/>
                    <w:rPr>
                      <w:rFonts w:hint="default"/>
                      <w:b/>
                      <w:bCs/>
                      <w:color w:val="auto"/>
                      <w:sz w:val="18"/>
                      <w:szCs w:val="18"/>
                      <w:lang w:val="en-US" w:eastAsia="zh-CN"/>
                    </w:rPr>
                  </w:pPr>
                  <w:r>
                    <w:rPr>
                      <w:rFonts w:hint="eastAsia"/>
                      <w:b/>
                      <w:bCs/>
                      <w:color w:val="auto"/>
                      <w:kern w:val="0"/>
                      <w:sz w:val="18"/>
                      <w:szCs w:val="18"/>
                      <w:lang w:val="en-US" w:eastAsia="zh-CN" w:bidi="ar"/>
                    </w:rPr>
                    <w:t>896</w:t>
                  </w:r>
                </w:p>
              </w:tc>
            </w:tr>
            <w:tr w14:paraId="421DB09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254" w:type="pct"/>
                  <w:vMerge w:val="continue"/>
                  <w:tcBorders>
                    <w:tl2br w:val="nil"/>
                    <w:tr2bl w:val="nil"/>
                  </w:tcBorders>
                  <w:noWrap w:val="0"/>
                  <w:vAlign w:val="center"/>
                </w:tcPr>
                <w:p w14:paraId="381C58F8">
                  <w:pPr>
                    <w:pStyle w:val="698"/>
                    <w:spacing w:line="240" w:lineRule="auto"/>
                    <w:jc w:val="center"/>
                    <w:rPr>
                      <w:rFonts w:hint="default" w:ascii="Times New Roman" w:hAnsi="Times New Roman" w:eastAsia="宋体" w:cs="Times New Roman"/>
                      <w:b w:val="0"/>
                      <w:bCs/>
                      <w:color w:val="auto"/>
                      <w:sz w:val="18"/>
                      <w:szCs w:val="18"/>
                      <w:highlight w:val="none"/>
                    </w:rPr>
                  </w:pPr>
                </w:p>
              </w:tc>
              <w:tc>
                <w:tcPr>
                  <w:tcW w:w="519" w:type="pct"/>
                  <w:tcBorders>
                    <w:tl2br w:val="nil"/>
                    <w:tr2bl w:val="nil"/>
                  </w:tcBorders>
                  <w:shd w:val="clear" w:color="auto" w:fill="auto"/>
                  <w:noWrap w:val="0"/>
                  <w:vAlign w:val="center"/>
                </w:tcPr>
                <w:p w14:paraId="517C657F">
                  <w:pPr>
                    <w:widowControl/>
                    <w:adjustRightInd w:val="0"/>
                    <w:snapToGrid w:val="0"/>
                    <w:jc w:val="center"/>
                    <w:rPr>
                      <w:rFonts w:hint="eastAsia" w:ascii="Times New Roman" w:hAnsi="Times New Roman" w:eastAsia="宋体" w:cs="Times New Roman"/>
                      <w:b w:val="0"/>
                      <w:bCs/>
                      <w:snapToGrid w:val="0"/>
                      <w:color w:val="auto"/>
                      <w:kern w:val="2"/>
                      <w:sz w:val="18"/>
                      <w:szCs w:val="18"/>
                      <w:highlight w:val="none"/>
                      <w:lang w:val="en-US" w:eastAsia="zh-CN" w:bidi="ar-SA"/>
                    </w:rPr>
                  </w:pPr>
                  <w:r>
                    <w:rPr>
                      <w:color w:val="auto"/>
                      <w:kern w:val="0"/>
                      <w:sz w:val="18"/>
                      <w:szCs w:val="18"/>
                    </w:rPr>
                    <w:t>COD</w:t>
                  </w:r>
                </w:p>
              </w:tc>
              <w:tc>
                <w:tcPr>
                  <w:tcW w:w="487" w:type="pct"/>
                  <w:tcBorders>
                    <w:tl2br w:val="nil"/>
                    <w:tr2bl w:val="nil"/>
                  </w:tcBorders>
                  <w:noWrap w:val="0"/>
                  <w:vAlign w:val="center"/>
                </w:tcPr>
                <w:p w14:paraId="7D080EC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color w:val="auto"/>
                      <w:spacing w:val="0"/>
                      <w:kern w:val="0"/>
                      <w:position w:val="0"/>
                      <w:sz w:val="18"/>
                      <w:szCs w:val="18"/>
                      <w:lang w:val="en-US" w:eastAsia="zh-CN"/>
                    </w:rPr>
                  </w:pPr>
                  <w:r>
                    <w:rPr>
                      <w:rFonts w:hint="eastAsia" w:cs="Times New Roman"/>
                      <w:color w:val="auto"/>
                      <w:sz w:val="18"/>
                      <w:szCs w:val="18"/>
                      <w:highlight w:val="none"/>
                      <w:lang w:val="en-US" w:eastAsia="zh-CN"/>
                    </w:rPr>
                    <w:t>14.672</w:t>
                  </w:r>
                </w:p>
              </w:tc>
              <w:tc>
                <w:tcPr>
                  <w:tcW w:w="492" w:type="pct"/>
                  <w:tcBorders>
                    <w:tl2br w:val="nil"/>
                    <w:tr2bl w:val="nil"/>
                  </w:tcBorders>
                  <w:noWrap w:val="0"/>
                  <w:vAlign w:val="center"/>
                </w:tcPr>
                <w:p w14:paraId="65C8FEA4">
                  <w:pPr>
                    <w:keepNext w:val="0"/>
                    <w:keepLines w:val="0"/>
                    <w:pageBreakBefore w:val="0"/>
                    <w:widowControl/>
                    <w:kinsoku/>
                    <w:wordWrap/>
                    <w:overflowPunct/>
                    <w:topLinePunct w:val="0"/>
                    <w:autoSpaceDE/>
                    <w:autoSpaceDN/>
                    <w:bidi w:val="0"/>
                    <w:adjustRightInd w:val="0"/>
                    <w:snapToGrid w:val="0"/>
                    <w:jc w:val="center"/>
                    <w:rPr>
                      <w:rFonts w:hint="eastAsia"/>
                      <w:color w:val="auto"/>
                      <w:sz w:val="18"/>
                      <w:szCs w:val="18"/>
                      <w:lang w:val="en-US" w:eastAsia="zh-CN"/>
                    </w:rPr>
                  </w:pPr>
                  <w:r>
                    <w:rPr>
                      <w:rFonts w:hint="eastAsia"/>
                      <w:color w:val="auto"/>
                      <w:kern w:val="0"/>
                      <w:sz w:val="18"/>
                      <w:szCs w:val="18"/>
                      <w:lang w:val="en-US" w:eastAsia="zh-CN"/>
                    </w:rPr>
                    <w:t>0.2688</w:t>
                  </w:r>
                </w:p>
              </w:tc>
              <w:tc>
                <w:tcPr>
                  <w:tcW w:w="621" w:type="pct"/>
                  <w:tcBorders>
                    <w:tl2br w:val="nil"/>
                    <w:tr2bl w:val="nil"/>
                  </w:tcBorders>
                  <w:noWrap w:val="0"/>
                  <w:vAlign w:val="center"/>
                </w:tcPr>
                <w:p w14:paraId="20085E44">
                  <w:pPr>
                    <w:adjustRightInd w:val="0"/>
                    <w:snapToGrid w:val="0"/>
                    <w:jc w:val="center"/>
                    <w:rPr>
                      <w:rFonts w:hint="default"/>
                      <w:color w:val="auto"/>
                      <w:sz w:val="18"/>
                      <w:szCs w:val="18"/>
                      <w:lang w:val="en-US" w:eastAsia="zh-CN"/>
                    </w:rPr>
                  </w:pPr>
                  <w:r>
                    <w:rPr>
                      <w:rFonts w:hint="eastAsia"/>
                      <w:color w:val="auto"/>
                      <w:sz w:val="18"/>
                      <w:szCs w:val="18"/>
                      <w:lang w:val="en-US" w:eastAsia="zh-CN"/>
                    </w:rPr>
                    <w:t>0</w:t>
                  </w:r>
                </w:p>
              </w:tc>
              <w:tc>
                <w:tcPr>
                  <w:tcW w:w="569" w:type="pct"/>
                  <w:tcBorders>
                    <w:tl2br w:val="nil"/>
                    <w:tr2bl w:val="nil"/>
                  </w:tcBorders>
                  <w:noWrap w:val="0"/>
                  <w:vAlign w:val="center"/>
                </w:tcPr>
                <w:p w14:paraId="422DA02B">
                  <w:pPr>
                    <w:keepNext w:val="0"/>
                    <w:keepLines w:val="0"/>
                    <w:pageBreakBefore w:val="0"/>
                    <w:widowControl/>
                    <w:kinsoku/>
                    <w:wordWrap/>
                    <w:overflowPunct/>
                    <w:topLinePunct w:val="0"/>
                    <w:autoSpaceDE/>
                    <w:autoSpaceDN/>
                    <w:bidi w:val="0"/>
                    <w:adjustRightInd w:val="0"/>
                    <w:snapToGrid w:val="0"/>
                    <w:jc w:val="center"/>
                    <w:rPr>
                      <w:rFonts w:hint="eastAsia"/>
                      <w:color w:val="auto"/>
                      <w:sz w:val="18"/>
                      <w:szCs w:val="18"/>
                      <w:lang w:val="en-US" w:eastAsia="zh-CN"/>
                    </w:rPr>
                  </w:pPr>
                  <w:r>
                    <w:rPr>
                      <w:rFonts w:hint="eastAsia"/>
                      <w:color w:val="auto"/>
                      <w:kern w:val="0"/>
                      <w:sz w:val="18"/>
                      <w:szCs w:val="18"/>
                      <w:lang w:val="en-US" w:eastAsia="zh-CN"/>
                    </w:rPr>
                    <w:t>0.2688</w:t>
                  </w:r>
                </w:p>
              </w:tc>
              <w:tc>
                <w:tcPr>
                  <w:tcW w:w="462" w:type="pct"/>
                  <w:tcBorders>
                    <w:tl2br w:val="nil"/>
                    <w:tr2bl w:val="nil"/>
                  </w:tcBorders>
                  <w:noWrap w:val="0"/>
                  <w:vAlign w:val="center"/>
                </w:tcPr>
                <w:p w14:paraId="3B25ADF3">
                  <w:pPr>
                    <w:adjustRightInd w:val="0"/>
                    <w:snapToGrid w:val="0"/>
                    <w:jc w:val="center"/>
                    <w:rPr>
                      <w:rFonts w:hint="eastAsia"/>
                      <w:color w:val="auto"/>
                      <w:sz w:val="18"/>
                      <w:szCs w:val="18"/>
                      <w:lang w:val="en-US" w:eastAsia="zh-CN"/>
                    </w:rPr>
                  </w:pPr>
                  <w:r>
                    <w:rPr>
                      <w:rFonts w:hint="eastAsia"/>
                      <w:color w:val="auto"/>
                      <w:sz w:val="18"/>
                      <w:szCs w:val="18"/>
                      <w:lang w:val="en-US" w:eastAsia="zh-CN"/>
                    </w:rPr>
                    <w:t>0</w:t>
                  </w:r>
                </w:p>
              </w:tc>
              <w:tc>
                <w:tcPr>
                  <w:tcW w:w="588" w:type="pct"/>
                  <w:tcBorders>
                    <w:tl2br w:val="nil"/>
                    <w:tr2bl w:val="nil"/>
                  </w:tcBorders>
                  <w:noWrap w:val="0"/>
                  <w:vAlign w:val="center"/>
                </w:tcPr>
                <w:p w14:paraId="0E0C565F">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13.67</w:t>
                  </w:r>
                </w:p>
              </w:tc>
              <w:tc>
                <w:tcPr>
                  <w:tcW w:w="486" w:type="pct"/>
                  <w:tcBorders>
                    <w:tl2br w:val="nil"/>
                    <w:tr2bl w:val="nil"/>
                  </w:tcBorders>
                  <w:noWrap w:val="0"/>
                  <w:vAlign w:val="center"/>
                </w:tcPr>
                <w:p w14:paraId="26F776E1">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-1.002</w:t>
                  </w:r>
                </w:p>
              </w:tc>
              <w:tc>
                <w:tcPr>
                  <w:tcW w:w="517" w:type="pct"/>
                  <w:tcBorders>
                    <w:tl2br w:val="nil"/>
                    <w:tr2bl w:val="nil"/>
                  </w:tcBorders>
                  <w:noWrap w:val="0"/>
                  <w:vAlign w:val="center"/>
                </w:tcPr>
                <w:p w14:paraId="63578606">
                  <w:pPr>
                    <w:keepNext w:val="0"/>
                    <w:keepLines w:val="0"/>
                    <w:pageBreakBefore w:val="0"/>
                    <w:widowControl/>
                    <w:kinsoku/>
                    <w:wordWrap/>
                    <w:overflowPunct/>
                    <w:topLinePunct w:val="0"/>
                    <w:autoSpaceDE/>
                    <w:autoSpaceDN/>
                    <w:bidi w:val="0"/>
                    <w:adjustRightInd w:val="0"/>
                    <w:snapToGrid w:val="0"/>
                    <w:jc w:val="center"/>
                    <w:rPr>
                      <w:rFonts w:hint="default"/>
                      <w:b/>
                      <w:bCs/>
                      <w:color w:val="auto"/>
                      <w:sz w:val="18"/>
                      <w:szCs w:val="18"/>
                      <w:lang w:val="en-US" w:eastAsia="zh-CN"/>
                    </w:rPr>
                  </w:pPr>
                  <w:r>
                    <w:rPr>
                      <w:rFonts w:hint="eastAsia"/>
                      <w:b/>
                      <w:bCs/>
                      <w:color w:val="auto"/>
                      <w:kern w:val="0"/>
                      <w:sz w:val="18"/>
                      <w:szCs w:val="18"/>
                      <w:lang w:val="en-US" w:eastAsia="zh-CN"/>
                    </w:rPr>
                    <w:t>0</w:t>
                  </w:r>
                </w:p>
              </w:tc>
            </w:tr>
            <w:tr w14:paraId="21DA3A9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254" w:type="pct"/>
                  <w:vMerge w:val="continue"/>
                  <w:tcBorders>
                    <w:tl2br w:val="nil"/>
                    <w:tr2bl w:val="nil"/>
                  </w:tcBorders>
                  <w:noWrap w:val="0"/>
                  <w:vAlign w:val="center"/>
                </w:tcPr>
                <w:p w14:paraId="3CCA3598">
                  <w:pPr>
                    <w:pStyle w:val="698"/>
                    <w:spacing w:line="240" w:lineRule="auto"/>
                    <w:jc w:val="center"/>
                    <w:rPr>
                      <w:rFonts w:hint="default" w:ascii="Times New Roman" w:hAnsi="Times New Roman" w:eastAsia="宋体" w:cs="Times New Roman"/>
                      <w:b w:val="0"/>
                      <w:bCs/>
                      <w:color w:val="auto"/>
                      <w:sz w:val="18"/>
                      <w:szCs w:val="18"/>
                      <w:highlight w:val="none"/>
                    </w:rPr>
                  </w:pPr>
                </w:p>
              </w:tc>
              <w:tc>
                <w:tcPr>
                  <w:tcW w:w="519" w:type="pct"/>
                  <w:tcBorders>
                    <w:tl2br w:val="nil"/>
                    <w:tr2bl w:val="nil"/>
                  </w:tcBorders>
                  <w:shd w:val="clear" w:color="auto" w:fill="auto"/>
                  <w:noWrap w:val="0"/>
                  <w:vAlign w:val="center"/>
                </w:tcPr>
                <w:p w14:paraId="34355052">
                  <w:pPr>
                    <w:widowControl/>
                    <w:adjustRightInd w:val="0"/>
                    <w:snapToGrid w:val="0"/>
                    <w:jc w:val="center"/>
                    <w:rPr>
                      <w:rFonts w:hint="eastAsia" w:ascii="Times New Roman" w:hAnsi="Times New Roman" w:eastAsia="宋体" w:cs="Times New Roman"/>
                      <w:b w:val="0"/>
                      <w:bCs/>
                      <w:snapToGrid w:val="0"/>
                      <w:color w:val="auto"/>
                      <w:kern w:val="2"/>
                      <w:sz w:val="18"/>
                      <w:szCs w:val="18"/>
                      <w:highlight w:val="none"/>
                      <w:lang w:val="en-US" w:eastAsia="zh-CN" w:bidi="ar-SA"/>
                    </w:rPr>
                  </w:pPr>
                  <w:r>
                    <w:rPr>
                      <w:color w:val="auto"/>
                      <w:kern w:val="0"/>
                      <w:sz w:val="18"/>
                      <w:szCs w:val="18"/>
                    </w:rPr>
                    <w:t>SS</w:t>
                  </w:r>
                </w:p>
              </w:tc>
              <w:tc>
                <w:tcPr>
                  <w:tcW w:w="487" w:type="pct"/>
                  <w:tcBorders>
                    <w:tl2br w:val="nil"/>
                    <w:tr2bl w:val="nil"/>
                  </w:tcBorders>
                  <w:noWrap w:val="0"/>
                  <w:vAlign w:val="center"/>
                </w:tcPr>
                <w:p w14:paraId="7DE3154D">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ascii="Times New Roman" w:hAnsi="Times New Roman" w:eastAsia="宋体" w:cs="Times New Roman"/>
                      <w:color w:val="auto"/>
                      <w:spacing w:val="0"/>
                      <w:kern w:val="0"/>
                      <w:position w:val="0"/>
                      <w:sz w:val="18"/>
                      <w:szCs w:val="18"/>
                      <w:lang w:val="en-US" w:eastAsia="zh-CN"/>
                    </w:rPr>
                  </w:pPr>
                  <w:r>
                    <w:rPr>
                      <w:rFonts w:hint="eastAsia" w:cs="Times New Roman"/>
                      <w:color w:val="auto"/>
                      <w:sz w:val="18"/>
                      <w:szCs w:val="18"/>
                      <w:highlight w:val="none"/>
                      <w:lang w:val="en-US" w:eastAsia="zh-CN"/>
                    </w:rPr>
                    <w:t>8.848</w:t>
                  </w:r>
                </w:p>
              </w:tc>
              <w:tc>
                <w:tcPr>
                  <w:tcW w:w="492" w:type="pct"/>
                  <w:tcBorders>
                    <w:tl2br w:val="nil"/>
                    <w:tr2bl w:val="nil"/>
                  </w:tcBorders>
                  <w:noWrap w:val="0"/>
                  <w:vAlign w:val="center"/>
                </w:tcPr>
                <w:p w14:paraId="0C4C13A4">
                  <w:pPr>
                    <w:keepNext w:val="0"/>
                    <w:keepLines w:val="0"/>
                    <w:pageBreakBefore w:val="0"/>
                    <w:widowControl/>
                    <w:kinsoku/>
                    <w:wordWrap/>
                    <w:overflowPunct/>
                    <w:topLinePunct w:val="0"/>
                    <w:autoSpaceDE/>
                    <w:autoSpaceDN/>
                    <w:bidi w:val="0"/>
                    <w:adjustRightInd w:val="0"/>
                    <w:snapToGrid w:val="0"/>
                    <w:jc w:val="center"/>
                    <w:rPr>
                      <w:rFonts w:hint="eastAsia"/>
                      <w:color w:val="auto"/>
                      <w:sz w:val="18"/>
                      <w:szCs w:val="18"/>
                      <w:lang w:val="en-US" w:eastAsia="zh-CN"/>
                    </w:rPr>
                  </w:pPr>
                  <w:r>
                    <w:rPr>
                      <w:rFonts w:hint="eastAsia"/>
                      <w:color w:val="auto"/>
                      <w:kern w:val="0"/>
                      <w:sz w:val="18"/>
                      <w:szCs w:val="18"/>
                      <w:lang w:val="en-US" w:eastAsia="zh-CN"/>
                    </w:rPr>
                    <w:t>0.224</w:t>
                  </w:r>
                </w:p>
              </w:tc>
              <w:tc>
                <w:tcPr>
                  <w:tcW w:w="621" w:type="pct"/>
                  <w:tcBorders>
                    <w:tl2br w:val="nil"/>
                    <w:tr2bl w:val="nil"/>
                  </w:tcBorders>
                  <w:noWrap w:val="0"/>
                  <w:vAlign w:val="center"/>
                </w:tcPr>
                <w:p w14:paraId="1AD3576B">
                  <w:pPr>
                    <w:adjustRightInd w:val="0"/>
                    <w:snapToGrid w:val="0"/>
                    <w:jc w:val="center"/>
                    <w:rPr>
                      <w:rFonts w:hint="default"/>
                      <w:color w:val="auto"/>
                      <w:sz w:val="18"/>
                      <w:szCs w:val="18"/>
                      <w:lang w:val="en-US" w:eastAsia="zh-CN"/>
                    </w:rPr>
                  </w:pPr>
                  <w:r>
                    <w:rPr>
                      <w:rFonts w:hint="eastAsia"/>
                      <w:color w:val="auto"/>
                      <w:sz w:val="18"/>
                      <w:szCs w:val="18"/>
                      <w:lang w:val="en-US" w:eastAsia="zh-CN"/>
                    </w:rPr>
                    <w:t>0</w:t>
                  </w:r>
                </w:p>
              </w:tc>
              <w:tc>
                <w:tcPr>
                  <w:tcW w:w="569" w:type="pct"/>
                  <w:tcBorders>
                    <w:tl2br w:val="nil"/>
                    <w:tr2bl w:val="nil"/>
                  </w:tcBorders>
                  <w:noWrap w:val="0"/>
                  <w:vAlign w:val="center"/>
                </w:tcPr>
                <w:p w14:paraId="23258A04">
                  <w:pPr>
                    <w:keepNext w:val="0"/>
                    <w:keepLines w:val="0"/>
                    <w:pageBreakBefore w:val="0"/>
                    <w:widowControl/>
                    <w:kinsoku/>
                    <w:wordWrap/>
                    <w:overflowPunct/>
                    <w:topLinePunct w:val="0"/>
                    <w:autoSpaceDE/>
                    <w:autoSpaceDN/>
                    <w:bidi w:val="0"/>
                    <w:adjustRightInd w:val="0"/>
                    <w:snapToGrid w:val="0"/>
                    <w:jc w:val="center"/>
                    <w:rPr>
                      <w:rFonts w:hint="eastAsia"/>
                      <w:color w:val="auto"/>
                      <w:sz w:val="18"/>
                      <w:szCs w:val="18"/>
                      <w:lang w:val="en-US" w:eastAsia="zh-CN"/>
                    </w:rPr>
                  </w:pPr>
                  <w:r>
                    <w:rPr>
                      <w:rFonts w:hint="eastAsia"/>
                      <w:color w:val="auto"/>
                      <w:kern w:val="0"/>
                      <w:sz w:val="18"/>
                      <w:szCs w:val="18"/>
                      <w:lang w:val="en-US" w:eastAsia="zh-CN"/>
                    </w:rPr>
                    <w:t>0.224</w:t>
                  </w:r>
                </w:p>
              </w:tc>
              <w:tc>
                <w:tcPr>
                  <w:tcW w:w="462" w:type="pct"/>
                  <w:tcBorders>
                    <w:tl2br w:val="nil"/>
                    <w:tr2bl w:val="nil"/>
                  </w:tcBorders>
                  <w:noWrap w:val="0"/>
                  <w:vAlign w:val="center"/>
                </w:tcPr>
                <w:p w14:paraId="6B00EAA7">
                  <w:pPr>
                    <w:adjustRightInd w:val="0"/>
                    <w:snapToGrid w:val="0"/>
                    <w:jc w:val="center"/>
                    <w:rPr>
                      <w:rFonts w:hint="eastAsia"/>
                      <w:color w:val="auto"/>
                      <w:sz w:val="18"/>
                      <w:szCs w:val="18"/>
                      <w:lang w:val="en-US" w:eastAsia="zh-CN"/>
                    </w:rPr>
                  </w:pPr>
                  <w:r>
                    <w:rPr>
                      <w:rFonts w:hint="eastAsia"/>
                      <w:color w:val="auto"/>
                      <w:sz w:val="18"/>
                      <w:szCs w:val="18"/>
                      <w:lang w:val="en-US" w:eastAsia="zh-CN"/>
                    </w:rPr>
                    <w:t>0</w:t>
                  </w:r>
                </w:p>
              </w:tc>
              <w:tc>
                <w:tcPr>
                  <w:tcW w:w="588" w:type="pct"/>
                  <w:tcBorders>
                    <w:tl2br w:val="nil"/>
                    <w:tr2bl w:val="nil"/>
                  </w:tcBorders>
                  <w:noWrap w:val="0"/>
                  <w:vAlign w:val="center"/>
                </w:tcPr>
                <w:p w14:paraId="62E91723">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9.15</w:t>
                  </w:r>
                </w:p>
              </w:tc>
              <w:tc>
                <w:tcPr>
                  <w:tcW w:w="486" w:type="pct"/>
                  <w:tcBorders>
                    <w:tl2br w:val="nil"/>
                    <w:tr2bl w:val="nil"/>
                  </w:tcBorders>
                  <w:noWrap w:val="0"/>
                  <w:vAlign w:val="center"/>
                </w:tcPr>
                <w:p w14:paraId="7F92E845">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0.302</w:t>
                  </w:r>
                </w:p>
              </w:tc>
              <w:tc>
                <w:tcPr>
                  <w:tcW w:w="517" w:type="pct"/>
                  <w:tcBorders>
                    <w:tl2br w:val="nil"/>
                    <w:tr2bl w:val="nil"/>
                  </w:tcBorders>
                  <w:noWrap w:val="0"/>
                  <w:vAlign w:val="center"/>
                </w:tcPr>
                <w:p w14:paraId="018822C3">
                  <w:pPr>
                    <w:keepNext w:val="0"/>
                    <w:keepLines w:val="0"/>
                    <w:pageBreakBefore w:val="0"/>
                    <w:widowControl/>
                    <w:kinsoku/>
                    <w:wordWrap/>
                    <w:overflowPunct/>
                    <w:topLinePunct w:val="0"/>
                    <w:autoSpaceDE/>
                    <w:autoSpaceDN/>
                    <w:bidi w:val="0"/>
                    <w:adjustRightInd w:val="0"/>
                    <w:snapToGrid w:val="0"/>
                    <w:jc w:val="center"/>
                    <w:rPr>
                      <w:rFonts w:hint="default"/>
                      <w:b/>
                      <w:bCs/>
                      <w:color w:val="auto"/>
                      <w:sz w:val="18"/>
                      <w:szCs w:val="18"/>
                      <w:lang w:val="en-US" w:eastAsia="zh-CN"/>
                    </w:rPr>
                  </w:pPr>
                  <w:r>
                    <w:rPr>
                      <w:rFonts w:hint="eastAsia"/>
                      <w:b/>
                      <w:bCs/>
                      <w:color w:val="auto"/>
                      <w:kern w:val="0"/>
                      <w:sz w:val="18"/>
                      <w:szCs w:val="18"/>
                      <w:lang w:val="en-US" w:eastAsia="zh-CN"/>
                    </w:rPr>
                    <w:t>0.302</w:t>
                  </w:r>
                </w:p>
              </w:tc>
            </w:tr>
            <w:tr w14:paraId="1C1C7D3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254" w:type="pct"/>
                  <w:vMerge w:val="continue"/>
                  <w:tcBorders>
                    <w:tl2br w:val="nil"/>
                    <w:tr2bl w:val="nil"/>
                  </w:tcBorders>
                  <w:noWrap w:val="0"/>
                  <w:vAlign w:val="center"/>
                </w:tcPr>
                <w:p w14:paraId="16656212">
                  <w:pPr>
                    <w:pStyle w:val="698"/>
                    <w:spacing w:line="240" w:lineRule="auto"/>
                    <w:jc w:val="center"/>
                    <w:rPr>
                      <w:rFonts w:hint="default" w:ascii="Times New Roman" w:hAnsi="Times New Roman" w:eastAsia="宋体" w:cs="Times New Roman"/>
                      <w:b w:val="0"/>
                      <w:bCs/>
                      <w:color w:val="auto"/>
                      <w:sz w:val="18"/>
                      <w:szCs w:val="18"/>
                      <w:highlight w:val="none"/>
                    </w:rPr>
                  </w:pPr>
                </w:p>
              </w:tc>
              <w:tc>
                <w:tcPr>
                  <w:tcW w:w="519" w:type="pct"/>
                  <w:tcBorders>
                    <w:tl2br w:val="nil"/>
                    <w:tr2bl w:val="nil"/>
                  </w:tcBorders>
                  <w:shd w:val="clear" w:color="auto" w:fill="auto"/>
                  <w:noWrap w:val="0"/>
                  <w:vAlign w:val="center"/>
                </w:tcPr>
                <w:p w14:paraId="2F92C7D9">
                  <w:pPr>
                    <w:widowControl/>
                    <w:adjustRightInd w:val="0"/>
                    <w:snapToGrid w:val="0"/>
                    <w:jc w:val="center"/>
                    <w:rPr>
                      <w:rFonts w:hint="eastAsia" w:ascii="Times New Roman" w:hAnsi="Times New Roman" w:eastAsia="宋体" w:cs="Times New Roman"/>
                      <w:b w:val="0"/>
                      <w:bCs/>
                      <w:snapToGrid w:val="0"/>
                      <w:color w:val="auto"/>
                      <w:kern w:val="2"/>
                      <w:sz w:val="18"/>
                      <w:szCs w:val="18"/>
                      <w:highlight w:val="none"/>
                      <w:lang w:val="en-US" w:eastAsia="zh-CN" w:bidi="ar-SA"/>
                    </w:rPr>
                  </w:pPr>
                  <w:r>
                    <w:rPr>
                      <w:color w:val="auto"/>
                      <w:kern w:val="0"/>
                      <w:sz w:val="18"/>
                      <w:szCs w:val="18"/>
                    </w:rPr>
                    <w:t>NH</w:t>
                  </w:r>
                  <w:r>
                    <w:rPr>
                      <w:color w:val="auto"/>
                      <w:kern w:val="0"/>
                      <w:sz w:val="18"/>
                      <w:szCs w:val="18"/>
                      <w:vertAlign w:val="subscript"/>
                    </w:rPr>
                    <w:t>3</w:t>
                  </w:r>
                  <w:r>
                    <w:rPr>
                      <w:color w:val="auto"/>
                      <w:kern w:val="0"/>
                      <w:sz w:val="18"/>
                      <w:szCs w:val="18"/>
                    </w:rPr>
                    <w:t>-N</w:t>
                  </w:r>
                </w:p>
              </w:tc>
              <w:tc>
                <w:tcPr>
                  <w:tcW w:w="487" w:type="pct"/>
                  <w:tcBorders>
                    <w:tl2br w:val="nil"/>
                    <w:tr2bl w:val="nil"/>
                  </w:tcBorders>
                  <w:noWrap w:val="0"/>
                  <w:vAlign w:val="center"/>
                </w:tcPr>
                <w:p w14:paraId="750BE78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color w:val="auto"/>
                      <w:spacing w:val="0"/>
                      <w:kern w:val="0"/>
                      <w:position w:val="0"/>
                      <w:sz w:val="18"/>
                      <w:szCs w:val="18"/>
                      <w:lang w:val="en-US" w:eastAsia="zh-CN"/>
                    </w:rPr>
                  </w:pPr>
                  <w:r>
                    <w:rPr>
                      <w:rFonts w:hint="eastAsia" w:cs="Times New Roman"/>
                      <w:color w:val="auto"/>
                      <w:sz w:val="18"/>
                      <w:szCs w:val="18"/>
                      <w:highlight w:val="none"/>
                      <w:lang w:val="en-US" w:eastAsia="zh-CN"/>
                    </w:rPr>
                    <w:t>1.126</w:t>
                  </w:r>
                </w:p>
              </w:tc>
              <w:tc>
                <w:tcPr>
                  <w:tcW w:w="492" w:type="pct"/>
                  <w:tcBorders>
                    <w:tl2br w:val="nil"/>
                    <w:tr2bl w:val="nil"/>
                  </w:tcBorders>
                  <w:noWrap w:val="0"/>
                  <w:vAlign w:val="center"/>
                </w:tcPr>
                <w:p w14:paraId="3C7BD9EB">
                  <w:pPr>
                    <w:keepNext w:val="0"/>
                    <w:keepLines w:val="0"/>
                    <w:pageBreakBefore w:val="0"/>
                    <w:widowControl/>
                    <w:kinsoku/>
                    <w:wordWrap/>
                    <w:overflowPunct/>
                    <w:topLinePunct w:val="0"/>
                    <w:autoSpaceDE/>
                    <w:autoSpaceDN/>
                    <w:bidi w:val="0"/>
                    <w:adjustRightInd w:val="0"/>
                    <w:snapToGrid w:val="0"/>
                    <w:jc w:val="center"/>
                    <w:rPr>
                      <w:rFonts w:hint="eastAsia"/>
                      <w:color w:val="auto"/>
                      <w:sz w:val="18"/>
                      <w:szCs w:val="18"/>
                      <w:lang w:val="en-US" w:eastAsia="zh-CN"/>
                    </w:rPr>
                  </w:pPr>
                  <w:r>
                    <w:rPr>
                      <w:rFonts w:hint="eastAsia"/>
                      <w:color w:val="auto"/>
                      <w:kern w:val="0"/>
                      <w:sz w:val="18"/>
                      <w:szCs w:val="18"/>
                      <w:lang w:val="en-US" w:eastAsia="zh-CN"/>
                    </w:rPr>
                    <w:t>0.0224</w:t>
                  </w:r>
                </w:p>
              </w:tc>
              <w:tc>
                <w:tcPr>
                  <w:tcW w:w="621" w:type="pct"/>
                  <w:tcBorders>
                    <w:tl2br w:val="nil"/>
                    <w:tr2bl w:val="nil"/>
                  </w:tcBorders>
                  <w:noWrap w:val="0"/>
                  <w:vAlign w:val="center"/>
                </w:tcPr>
                <w:p w14:paraId="50FFDFB0">
                  <w:pPr>
                    <w:adjustRightInd w:val="0"/>
                    <w:snapToGrid w:val="0"/>
                    <w:jc w:val="center"/>
                    <w:rPr>
                      <w:rFonts w:hint="default"/>
                      <w:color w:val="auto"/>
                      <w:sz w:val="18"/>
                      <w:szCs w:val="18"/>
                      <w:lang w:val="en-US" w:eastAsia="zh-CN"/>
                    </w:rPr>
                  </w:pPr>
                  <w:r>
                    <w:rPr>
                      <w:rFonts w:hint="eastAsia"/>
                      <w:color w:val="auto"/>
                      <w:sz w:val="18"/>
                      <w:szCs w:val="18"/>
                      <w:lang w:val="en-US" w:eastAsia="zh-CN"/>
                    </w:rPr>
                    <w:t>0</w:t>
                  </w:r>
                </w:p>
              </w:tc>
              <w:tc>
                <w:tcPr>
                  <w:tcW w:w="569" w:type="pct"/>
                  <w:tcBorders>
                    <w:tl2br w:val="nil"/>
                    <w:tr2bl w:val="nil"/>
                  </w:tcBorders>
                  <w:noWrap w:val="0"/>
                  <w:vAlign w:val="center"/>
                </w:tcPr>
                <w:p w14:paraId="1A78807A">
                  <w:pPr>
                    <w:keepNext w:val="0"/>
                    <w:keepLines w:val="0"/>
                    <w:pageBreakBefore w:val="0"/>
                    <w:widowControl/>
                    <w:kinsoku/>
                    <w:wordWrap/>
                    <w:overflowPunct/>
                    <w:topLinePunct w:val="0"/>
                    <w:autoSpaceDE/>
                    <w:autoSpaceDN/>
                    <w:bidi w:val="0"/>
                    <w:adjustRightInd w:val="0"/>
                    <w:snapToGrid w:val="0"/>
                    <w:jc w:val="center"/>
                    <w:rPr>
                      <w:rFonts w:hint="eastAsia"/>
                      <w:color w:val="auto"/>
                      <w:sz w:val="18"/>
                      <w:szCs w:val="18"/>
                      <w:lang w:val="en-US" w:eastAsia="zh-CN"/>
                    </w:rPr>
                  </w:pPr>
                  <w:r>
                    <w:rPr>
                      <w:rFonts w:hint="eastAsia"/>
                      <w:color w:val="auto"/>
                      <w:kern w:val="0"/>
                      <w:sz w:val="18"/>
                      <w:szCs w:val="18"/>
                      <w:lang w:val="en-US" w:eastAsia="zh-CN"/>
                    </w:rPr>
                    <w:t>0.0224</w:t>
                  </w:r>
                </w:p>
              </w:tc>
              <w:tc>
                <w:tcPr>
                  <w:tcW w:w="462" w:type="pct"/>
                  <w:tcBorders>
                    <w:tl2br w:val="nil"/>
                    <w:tr2bl w:val="nil"/>
                  </w:tcBorders>
                  <w:noWrap w:val="0"/>
                  <w:vAlign w:val="center"/>
                </w:tcPr>
                <w:p w14:paraId="22B44C5A">
                  <w:pPr>
                    <w:adjustRightInd w:val="0"/>
                    <w:snapToGrid w:val="0"/>
                    <w:jc w:val="center"/>
                    <w:rPr>
                      <w:rFonts w:hint="eastAsia"/>
                      <w:color w:val="auto"/>
                      <w:sz w:val="18"/>
                      <w:szCs w:val="18"/>
                      <w:lang w:val="en-US" w:eastAsia="zh-CN"/>
                    </w:rPr>
                  </w:pPr>
                  <w:r>
                    <w:rPr>
                      <w:rFonts w:hint="eastAsia"/>
                      <w:color w:val="auto"/>
                      <w:sz w:val="18"/>
                      <w:szCs w:val="18"/>
                      <w:lang w:val="en-US" w:eastAsia="zh-CN"/>
                    </w:rPr>
                    <w:t>0</w:t>
                  </w:r>
                </w:p>
              </w:tc>
              <w:tc>
                <w:tcPr>
                  <w:tcW w:w="588" w:type="pct"/>
                  <w:tcBorders>
                    <w:tl2br w:val="nil"/>
                    <w:tr2bl w:val="nil"/>
                  </w:tcBorders>
                  <w:noWrap w:val="0"/>
                  <w:vAlign w:val="center"/>
                </w:tcPr>
                <w:p w14:paraId="45E6B336">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0.92</w:t>
                  </w:r>
                </w:p>
              </w:tc>
              <w:tc>
                <w:tcPr>
                  <w:tcW w:w="486" w:type="pct"/>
                  <w:tcBorders>
                    <w:tl2br w:val="nil"/>
                    <w:tr2bl w:val="nil"/>
                  </w:tcBorders>
                  <w:noWrap w:val="0"/>
                  <w:vAlign w:val="center"/>
                </w:tcPr>
                <w:p w14:paraId="00BEC6DC">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-0.206</w:t>
                  </w:r>
                </w:p>
              </w:tc>
              <w:tc>
                <w:tcPr>
                  <w:tcW w:w="517" w:type="pct"/>
                  <w:tcBorders>
                    <w:tl2br w:val="nil"/>
                    <w:tr2bl w:val="nil"/>
                  </w:tcBorders>
                  <w:noWrap w:val="0"/>
                  <w:vAlign w:val="center"/>
                </w:tcPr>
                <w:p w14:paraId="59663339">
                  <w:pPr>
                    <w:keepNext w:val="0"/>
                    <w:keepLines w:val="0"/>
                    <w:pageBreakBefore w:val="0"/>
                    <w:widowControl/>
                    <w:kinsoku/>
                    <w:wordWrap/>
                    <w:overflowPunct/>
                    <w:topLinePunct w:val="0"/>
                    <w:autoSpaceDE/>
                    <w:autoSpaceDN/>
                    <w:bidi w:val="0"/>
                    <w:adjustRightInd w:val="0"/>
                    <w:snapToGrid w:val="0"/>
                    <w:jc w:val="center"/>
                    <w:rPr>
                      <w:rFonts w:hint="default"/>
                      <w:b/>
                      <w:bCs/>
                      <w:color w:val="auto"/>
                      <w:sz w:val="18"/>
                      <w:szCs w:val="18"/>
                      <w:lang w:val="en-US" w:eastAsia="zh-CN"/>
                    </w:rPr>
                  </w:pPr>
                  <w:r>
                    <w:rPr>
                      <w:rFonts w:hint="eastAsia"/>
                      <w:b/>
                      <w:bCs/>
                      <w:color w:val="auto"/>
                      <w:kern w:val="0"/>
                      <w:sz w:val="18"/>
                      <w:szCs w:val="18"/>
                      <w:lang w:val="en-US" w:eastAsia="zh-CN"/>
                    </w:rPr>
                    <w:t>0</w:t>
                  </w:r>
                </w:p>
              </w:tc>
            </w:tr>
            <w:tr w14:paraId="11A0C3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254" w:type="pct"/>
                  <w:vMerge w:val="continue"/>
                  <w:tcBorders>
                    <w:tl2br w:val="nil"/>
                    <w:tr2bl w:val="nil"/>
                  </w:tcBorders>
                  <w:noWrap w:val="0"/>
                  <w:vAlign w:val="center"/>
                </w:tcPr>
                <w:p w14:paraId="5CE17B2D">
                  <w:pPr>
                    <w:pStyle w:val="698"/>
                    <w:spacing w:line="240" w:lineRule="auto"/>
                    <w:jc w:val="center"/>
                    <w:rPr>
                      <w:rFonts w:hint="default" w:ascii="Times New Roman" w:hAnsi="Times New Roman" w:eastAsia="宋体" w:cs="Times New Roman"/>
                      <w:b w:val="0"/>
                      <w:bCs/>
                      <w:color w:val="auto"/>
                      <w:sz w:val="18"/>
                      <w:szCs w:val="18"/>
                      <w:highlight w:val="none"/>
                    </w:rPr>
                  </w:pPr>
                </w:p>
              </w:tc>
              <w:tc>
                <w:tcPr>
                  <w:tcW w:w="519" w:type="pct"/>
                  <w:tcBorders>
                    <w:tl2br w:val="nil"/>
                    <w:tr2bl w:val="nil"/>
                  </w:tcBorders>
                  <w:shd w:val="clear" w:color="auto" w:fill="auto"/>
                  <w:noWrap w:val="0"/>
                  <w:vAlign w:val="center"/>
                </w:tcPr>
                <w:p w14:paraId="1737606A">
                  <w:pPr>
                    <w:adjustRightInd w:val="0"/>
                    <w:snapToGrid w:val="0"/>
                    <w:jc w:val="center"/>
                    <w:textAlignment w:val="center"/>
                    <w:rPr>
                      <w:rFonts w:hint="eastAsia" w:ascii="Times New Roman" w:hAnsi="Times New Roman" w:eastAsia="宋体" w:cs="Times New Roman"/>
                      <w:b w:val="0"/>
                      <w:bCs/>
                      <w:snapToGrid w:val="0"/>
                      <w:color w:val="auto"/>
                      <w:kern w:val="2"/>
                      <w:sz w:val="18"/>
                      <w:szCs w:val="18"/>
                      <w:highlight w:val="none"/>
                      <w:lang w:val="en-US" w:eastAsia="zh-CN" w:bidi="ar-SA"/>
                    </w:rPr>
                  </w:pPr>
                  <w:r>
                    <w:rPr>
                      <w:color w:val="auto"/>
                      <w:kern w:val="0"/>
                      <w:sz w:val="18"/>
                      <w:szCs w:val="18"/>
                    </w:rPr>
                    <w:t>TP</w:t>
                  </w:r>
                </w:p>
              </w:tc>
              <w:tc>
                <w:tcPr>
                  <w:tcW w:w="487" w:type="pct"/>
                  <w:tcBorders>
                    <w:tl2br w:val="nil"/>
                    <w:tr2bl w:val="nil"/>
                  </w:tcBorders>
                  <w:noWrap w:val="0"/>
                  <w:vAlign w:val="center"/>
                </w:tcPr>
                <w:p w14:paraId="49522CF1">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ascii="Times New Roman" w:hAnsi="Times New Roman" w:eastAsia="宋体" w:cs="Times New Roman"/>
                      <w:color w:val="auto"/>
                      <w:spacing w:val="0"/>
                      <w:kern w:val="0"/>
                      <w:position w:val="0"/>
                      <w:sz w:val="18"/>
                      <w:szCs w:val="18"/>
                      <w:lang w:val="en-US" w:eastAsia="zh-CN"/>
                    </w:rPr>
                  </w:pPr>
                  <w:r>
                    <w:rPr>
                      <w:rFonts w:hint="eastAsia" w:cs="Times New Roman"/>
                      <w:color w:val="auto"/>
                      <w:sz w:val="18"/>
                      <w:szCs w:val="18"/>
                      <w:highlight w:val="none"/>
                      <w:lang w:val="en-US" w:eastAsia="zh-CN"/>
                    </w:rPr>
                    <w:t>0.219</w:t>
                  </w:r>
                </w:p>
              </w:tc>
              <w:tc>
                <w:tcPr>
                  <w:tcW w:w="492" w:type="pct"/>
                  <w:tcBorders>
                    <w:tl2br w:val="nil"/>
                    <w:tr2bl w:val="nil"/>
                  </w:tcBorders>
                  <w:noWrap w:val="0"/>
                  <w:vAlign w:val="center"/>
                </w:tcPr>
                <w:p w14:paraId="7F5E7AC2">
                  <w:pPr>
                    <w:keepNext w:val="0"/>
                    <w:keepLines w:val="0"/>
                    <w:pageBreakBefore w:val="0"/>
                    <w:widowControl/>
                    <w:kinsoku/>
                    <w:wordWrap/>
                    <w:overflowPunct/>
                    <w:topLinePunct w:val="0"/>
                    <w:autoSpaceDE/>
                    <w:autoSpaceDN/>
                    <w:bidi w:val="0"/>
                    <w:adjustRightInd w:val="0"/>
                    <w:snapToGrid w:val="0"/>
                    <w:jc w:val="center"/>
                    <w:rPr>
                      <w:rFonts w:hint="eastAsia"/>
                      <w:color w:val="auto"/>
                      <w:sz w:val="18"/>
                      <w:szCs w:val="18"/>
                      <w:lang w:val="en-US" w:eastAsia="zh-CN"/>
                    </w:rPr>
                  </w:pPr>
                  <w:r>
                    <w:rPr>
                      <w:rFonts w:hint="eastAsia"/>
                      <w:color w:val="auto"/>
                      <w:kern w:val="0"/>
                      <w:sz w:val="18"/>
                      <w:szCs w:val="18"/>
                      <w:lang w:val="en-US" w:eastAsia="zh-CN"/>
                    </w:rPr>
                    <w:t>0.003584</w:t>
                  </w:r>
                </w:p>
              </w:tc>
              <w:tc>
                <w:tcPr>
                  <w:tcW w:w="621" w:type="pct"/>
                  <w:tcBorders>
                    <w:tl2br w:val="nil"/>
                    <w:tr2bl w:val="nil"/>
                  </w:tcBorders>
                  <w:noWrap w:val="0"/>
                  <w:vAlign w:val="center"/>
                </w:tcPr>
                <w:p w14:paraId="6C4A4790">
                  <w:pPr>
                    <w:adjustRightInd w:val="0"/>
                    <w:snapToGrid w:val="0"/>
                    <w:jc w:val="center"/>
                    <w:rPr>
                      <w:rFonts w:hint="default"/>
                      <w:color w:val="auto"/>
                      <w:sz w:val="18"/>
                      <w:szCs w:val="18"/>
                      <w:lang w:val="en-US" w:eastAsia="zh-CN"/>
                    </w:rPr>
                  </w:pPr>
                  <w:r>
                    <w:rPr>
                      <w:rFonts w:hint="eastAsia"/>
                      <w:color w:val="auto"/>
                      <w:sz w:val="18"/>
                      <w:szCs w:val="18"/>
                      <w:lang w:val="en-US" w:eastAsia="zh-CN"/>
                    </w:rPr>
                    <w:t>0</w:t>
                  </w:r>
                </w:p>
              </w:tc>
              <w:tc>
                <w:tcPr>
                  <w:tcW w:w="569" w:type="pct"/>
                  <w:tcBorders>
                    <w:tl2br w:val="nil"/>
                    <w:tr2bl w:val="nil"/>
                  </w:tcBorders>
                  <w:noWrap w:val="0"/>
                  <w:vAlign w:val="center"/>
                </w:tcPr>
                <w:p w14:paraId="50AC4F2F">
                  <w:pPr>
                    <w:keepNext w:val="0"/>
                    <w:keepLines w:val="0"/>
                    <w:pageBreakBefore w:val="0"/>
                    <w:widowControl/>
                    <w:kinsoku/>
                    <w:wordWrap/>
                    <w:overflowPunct/>
                    <w:topLinePunct w:val="0"/>
                    <w:autoSpaceDE/>
                    <w:autoSpaceDN/>
                    <w:bidi w:val="0"/>
                    <w:adjustRightInd w:val="0"/>
                    <w:snapToGrid w:val="0"/>
                    <w:jc w:val="center"/>
                    <w:rPr>
                      <w:rFonts w:hint="eastAsia"/>
                      <w:color w:val="auto"/>
                      <w:sz w:val="18"/>
                      <w:szCs w:val="18"/>
                      <w:lang w:val="en-US" w:eastAsia="zh-CN"/>
                    </w:rPr>
                  </w:pPr>
                  <w:r>
                    <w:rPr>
                      <w:rFonts w:hint="eastAsia"/>
                      <w:color w:val="auto"/>
                      <w:kern w:val="0"/>
                      <w:sz w:val="18"/>
                      <w:szCs w:val="18"/>
                      <w:lang w:val="en-US" w:eastAsia="zh-CN"/>
                    </w:rPr>
                    <w:t>0.003584</w:t>
                  </w:r>
                </w:p>
              </w:tc>
              <w:tc>
                <w:tcPr>
                  <w:tcW w:w="462" w:type="pct"/>
                  <w:tcBorders>
                    <w:tl2br w:val="nil"/>
                    <w:tr2bl w:val="nil"/>
                  </w:tcBorders>
                  <w:noWrap w:val="0"/>
                  <w:vAlign w:val="center"/>
                </w:tcPr>
                <w:p w14:paraId="4BEE352B">
                  <w:pPr>
                    <w:adjustRightInd w:val="0"/>
                    <w:snapToGrid w:val="0"/>
                    <w:jc w:val="center"/>
                    <w:rPr>
                      <w:rFonts w:hint="eastAsia"/>
                      <w:color w:val="auto"/>
                      <w:sz w:val="18"/>
                      <w:szCs w:val="18"/>
                      <w:lang w:val="en-US" w:eastAsia="zh-CN"/>
                    </w:rPr>
                  </w:pPr>
                  <w:r>
                    <w:rPr>
                      <w:rFonts w:hint="eastAsia"/>
                      <w:color w:val="auto"/>
                      <w:sz w:val="18"/>
                      <w:szCs w:val="18"/>
                      <w:lang w:val="en-US" w:eastAsia="zh-CN"/>
                    </w:rPr>
                    <w:t>0</w:t>
                  </w:r>
                </w:p>
              </w:tc>
              <w:tc>
                <w:tcPr>
                  <w:tcW w:w="588" w:type="pct"/>
                  <w:tcBorders>
                    <w:tl2br w:val="nil"/>
                    <w:tr2bl w:val="nil"/>
                  </w:tcBorders>
                  <w:noWrap w:val="0"/>
                  <w:vAlign w:val="center"/>
                </w:tcPr>
                <w:p w14:paraId="1073EA02">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1.34</w:t>
                  </w:r>
                </w:p>
              </w:tc>
              <w:tc>
                <w:tcPr>
                  <w:tcW w:w="486" w:type="pct"/>
                  <w:tcBorders>
                    <w:tl2br w:val="nil"/>
                    <w:tr2bl w:val="nil"/>
                  </w:tcBorders>
                  <w:noWrap w:val="0"/>
                  <w:vAlign w:val="center"/>
                </w:tcPr>
                <w:p w14:paraId="21882E20">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1.121</w:t>
                  </w:r>
                </w:p>
              </w:tc>
              <w:tc>
                <w:tcPr>
                  <w:tcW w:w="517" w:type="pct"/>
                  <w:tcBorders>
                    <w:tl2br w:val="nil"/>
                    <w:tr2bl w:val="nil"/>
                  </w:tcBorders>
                  <w:noWrap w:val="0"/>
                  <w:vAlign w:val="center"/>
                </w:tcPr>
                <w:p w14:paraId="1A1C9B3E">
                  <w:pPr>
                    <w:keepNext w:val="0"/>
                    <w:keepLines w:val="0"/>
                    <w:pageBreakBefore w:val="0"/>
                    <w:widowControl/>
                    <w:kinsoku/>
                    <w:wordWrap/>
                    <w:overflowPunct/>
                    <w:topLinePunct w:val="0"/>
                    <w:autoSpaceDE/>
                    <w:autoSpaceDN/>
                    <w:bidi w:val="0"/>
                    <w:adjustRightInd w:val="0"/>
                    <w:snapToGrid w:val="0"/>
                    <w:jc w:val="center"/>
                    <w:rPr>
                      <w:rFonts w:hint="default"/>
                      <w:b/>
                      <w:bCs/>
                      <w:color w:val="auto"/>
                      <w:sz w:val="18"/>
                      <w:szCs w:val="18"/>
                      <w:lang w:val="en-US" w:eastAsia="zh-CN"/>
                    </w:rPr>
                  </w:pPr>
                  <w:r>
                    <w:rPr>
                      <w:rFonts w:hint="eastAsia"/>
                      <w:b/>
                      <w:bCs/>
                      <w:color w:val="auto"/>
                      <w:kern w:val="0"/>
                      <w:sz w:val="18"/>
                      <w:szCs w:val="18"/>
                      <w:lang w:val="en-US" w:eastAsia="zh-CN"/>
                    </w:rPr>
                    <w:t>1.121</w:t>
                  </w:r>
                </w:p>
              </w:tc>
            </w:tr>
            <w:tr w14:paraId="376D3F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254" w:type="pct"/>
                  <w:vMerge w:val="continue"/>
                  <w:tcBorders>
                    <w:tl2br w:val="nil"/>
                    <w:tr2bl w:val="nil"/>
                  </w:tcBorders>
                  <w:noWrap w:val="0"/>
                  <w:vAlign w:val="center"/>
                </w:tcPr>
                <w:p w14:paraId="4618F7DA">
                  <w:pPr>
                    <w:pStyle w:val="698"/>
                    <w:spacing w:line="240" w:lineRule="auto"/>
                    <w:jc w:val="center"/>
                    <w:rPr>
                      <w:rFonts w:hint="default" w:ascii="Times New Roman" w:hAnsi="Times New Roman" w:eastAsia="宋体" w:cs="Times New Roman"/>
                      <w:b w:val="0"/>
                      <w:bCs/>
                      <w:color w:val="auto"/>
                      <w:sz w:val="18"/>
                      <w:szCs w:val="18"/>
                      <w:highlight w:val="none"/>
                    </w:rPr>
                  </w:pPr>
                </w:p>
              </w:tc>
              <w:tc>
                <w:tcPr>
                  <w:tcW w:w="519" w:type="pct"/>
                  <w:tcBorders>
                    <w:tl2br w:val="nil"/>
                    <w:tr2bl w:val="nil"/>
                  </w:tcBorders>
                  <w:shd w:val="clear" w:color="auto" w:fill="auto"/>
                  <w:noWrap w:val="0"/>
                  <w:vAlign w:val="center"/>
                </w:tcPr>
                <w:p w14:paraId="313EA016">
                  <w:pPr>
                    <w:adjustRightInd w:val="0"/>
                    <w:snapToGrid w:val="0"/>
                    <w:jc w:val="center"/>
                    <w:textAlignment w:val="center"/>
                    <w:rPr>
                      <w:rFonts w:hint="eastAsia" w:ascii="Times New Roman" w:hAnsi="Times New Roman" w:eastAsia="宋体" w:cs="Times New Roman"/>
                      <w:b w:val="0"/>
                      <w:bCs/>
                      <w:snapToGrid w:val="0"/>
                      <w:color w:val="auto"/>
                      <w:kern w:val="2"/>
                      <w:sz w:val="18"/>
                      <w:szCs w:val="18"/>
                      <w:highlight w:val="none"/>
                      <w:lang w:val="en-US" w:eastAsia="zh-CN" w:bidi="ar-SA"/>
                    </w:rPr>
                  </w:pPr>
                  <w:r>
                    <w:rPr>
                      <w:color w:val="auto"/>
                      <w:kern w:val="0"/>
                      <w:sz w:val="18"/>
                      <w:szCs w:val="18"/>
                    </w:rPr>
                    <w:t>TN</w:t>
                  </w:r>
                </w:p>
              </w:tc>
              <w:tc>
                <w:tcPr>
                  <w:tcW w:w="487" w:type="pct"/>
                  <w:tcBorders>
                    <w:tl2br w:val="nil"/>
                    <w:tr2bl w:val="nil"/>
                  </w:tcBorders>
                  <w:noWrap w:val="0"/>
                  <w:vAlign w:val="center"/>
                </w:tcPr>
                <w:p w14:paraId="4EA9B5B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color w:val="auto"/>
                      <w:spacing w:val="0"/>
                      <w:kern w:val="0"/>
                      <w:position w:val="0"/>
                      <w:sz w:val="18"/>
                      <w:szCs w:val="18"/>
                      <w:lang w:val="en-US" w:eastAsia="zh-CN"/>
                    </w:rPr>
                  </w:pPr>
                  <w:r>
                    <w:rPr>
                      <w:rFonts w:hint="eastAsia" w:ascii="Times New Roman" w:hAnsi="Times New Roman" w:eastAsia="宋体" w:cs="Times New Roman"/>
                      <w:color w:val="auto"/>
                      <w:sz w:val="18"/>
                      <w:szCs w:val="18"/>
                      <w:highlight w:val="none"/>
                      <w:lang w:val="en-US" w:eastAsia="zh-CN"/>
                    </w:rPr>
                    <w:t>0.</w:t>
                  </w:r>
                  <w:r>
                    <w:rPr>
                      <w:rFonts w:hint="eastAsia" w:cs="Times New Roman"/>
                      <w:color w:val="auto"/>
                      <w:sz w:val="18"/>
                      <w:szCs w:val="18"/>
                      <w:highlight w:val="none"/>
                      <w:lang w:val="en-US" w:eastAsia="zh-CN"/>
                    </w:rPr>
                    <w:t>182</w:t>
                  </w:r>
                </w:p>
              </w:tc>
              <w:tc>
                <w:tcPr>
                  <w:tcW w:w="492" w:type="pct"/>
                  <w:tcBorders>
                    <w:tl2br w:val="nil"/>
                    <w:tr2bl w:val="nil"/>
                  </w:tcBorders>
                  <w:noWrap w:val="0"/>
                  <w:vAlign w:val="center"/>
                </w:tcPr>
                <w:p w14:paraId="556A602E">
                  <w:pPr>
                    <w:keepNext w:val="0"/>
                    <w:keepLines w:val="0"/>
                    <w:pageBreakBefore w:val="0"/>
                    <w:widowControl/>
                    <w:kinsoku/>
                    <w:wordWrap/>
                    <w:overflowPunct/>
                    <w:topLinePunct w:val="0"/>
                    <w:autoSpaceDE/>
                    <w:autoSpaceDN/>
                    <w:bidi w:val="0"/>
                    <w:adjustRightInd w:val="0"/>
                    <w:snapToGrid w:val="0"/>
                    <w:jc w:val="center"/>
                    <w:rPr>
                      <w:rFonts w:hint="eastAsia"/>
                      <w:color w:val="auto"/>
                      <w:sz w:val="18"/>
                      <w:szCs w:val="18"/>
                      <w:lang w:val="en-US" w:eastAsia="zh-CN"/>
                    </w:rPr>
                  </w:pPr>
                  <w:r>
                    <w:rPr>
                      <w:rFonts w:hint="eastAsia"/>
                      <w:color w:val="auto"/>
                      <w:kern w:val="0"/>
                      <w:sz w:val="18"/>
                      <w:szCs w:val="18"/>
                      <w:lang w:val="en-US" w:eastAsia="zh-CN"/>
                    </w:rPr>
                    <w:t>0.04032</w:t>
                  </w:r>
                </w:p>
              </w:tc>
              <w:tc>
                <w:tcPr>
                  <w:tcW w:w="621" w:type="pct"/>
                  <w:tcBorders>
                    <w:tl2br w:val="nil"/>
                    <w:tr2bl w:val="nil"/>
                  </w:tcBorders>
                  <w:noWrap w:val="0"/>
                  <w:vAlign w:val="center"/>
                </w:tcPr>
                <w:p w14:paraId="3A2460C4">
                  <w:pPr>
                    <w:adjustRightInd w:val="0"/>
                    <w:snapToGrid w:val="0"/>
                    <w:jc w:val="center"/>
                    <w:rPr>
                      <w:rFonts w:hint="default"/>
                      <w:color w:val="auto"/>
                      <w:sz w:val="18"/>
                      <w:szCs w:val="18"/>
                      <w:lang w:val="en-US" w:eastAsia="zh-CN"/>
                    </w:rPr>
                  </w:pPr>
                  <w:r>
                    <w:rPr>
                      <w:rFonts w:hint="eastAsia"/>
                      <w:color w:val="auto"/>
                      <w:sz w:val="18"/>
                      <w:szCs w:val="18"/>
                      <w:lang w:val="en-US" w:eastAsia="zh-CN"/>
                    </w:rPr>
                    <w:t>0</w:t>
                  </w:r>
                </w:p>
              </w:tc>
              <w:tc>
                <w:tcPr>
                  <w:tcW w:w="569" w:type="pct"/>
                  <w:tcBorders>
                    <w:tl2br w:val="nil"/>
                    <w:tr2bl w:val="nil"/>
                  </w:tcBorders>
                  <w:noWrap w:val="0"/>
                  <w:vAlign w:val="center"/>
                </w:tcPr>
                <w:p w14:paraId="08980682">
                  <w:pPr>
                    <w:keepNext w:val="0"/>
                    <w:keepLines w:val="0"/>
                    <w:pageBreakBefore w:val="0"/>
                    <w:widowControl/>
                    <w:kinsoku/>
                    <w:wordWrap/>
                    <w:overflowPunct/>
                    <w:topLinePunct w:val="0"/>
                    <w:autoSpaceDE/>
                    <w:autoSpaceDN/>
                    <w:bidi w:val="0"/>
                    <w:adjustRightInd w:val="0"/>
                    <w:snapToGrid w:val="0"/>
                    <w:jc w:val="center"/>
                    <w:rPr>
                      <w:rFonts w:hint="eastAsia"/>
                      <w:color w:val="auto"/>
                      <w:sz w:val="18"/>
                      <w:szCs w:val="18"/>
                      <w:lang w:val="en-US" w:eastAsia="zh-CN"/>
                    </w:rPr>
                  </w:pPr>
                  <w:r>
                    <w:rPr>
                      <w:rFonts w:hint="eastAsia"/>
                      <w:color w:val="auto"/>
                      <w:kern w:val="0"/>
                      <w:sz w:val="18"/>
                      <w:szCs w:val="18"/>
                      <w:lang w:val="en-US" w:eastAsia="zh-CN"/>
                    </w:rPr>
                    <w:t>0.04032</w:t>
                  </w:r>
                </w:p>
              </w:tc>
              <w:tc>
                <w:tcPr>
                  <w:tcW w:w="462" w:type="pct"/>
                  <w:tcBorders>
                    <w:tl2br w:val="nil"/>
                    <w:tr2bl w:val="nil"/>
                  </w:tcBorders>
                  <w:noWrap w:val="0"/>
                  <w:vAlign w:val="center"/>
                </w:tcPr>
                <w:p w14:paraId="56138F42">
                  <w:pPr>
                    <w:adjustRightInd w:val="0"/>
                    <w:snapToGrid w:val="0"/>
                    <w:jc w:val="center"/>
                    <w:rPr>
                      <w:rFonts w:hint="eastAsia"/>
                      <w:color w:val="auto"/>
                      <w:sz w:val="18"/>
                      <w:szCs w:val="18"/>
                      <w:lang w:val="en-US" w:eastAsia="zh-CN"/>
                    </w:rPr>
                  </w:pPr>
                  <w:r>
                    <w:rPr>
                      <w:rFonts w:hint="eastAsia"/>
                      <w:color w:val="auto"/>
                      <w:sz w:val="18"/>
                      <w:szCs w:val="18"/>
                      <w:lang w:val="en-US" w:eastAsia="zh-CN"/>
                    </w:rPr>
                    <w:t>0</w:t>
                  </w:r>
                </w:p>
              </w:tc>
              <w:tc>
                <w:tcPr>
                  <w:tcW w:w="588" w:type="pct"/>
                  <w:tcBorders>
                    <w:tl2br w:val="nil"/>
                    <w:tr2bl w:val="nil"/>
                  </w:tcBorders>
                  <w:noWrap w:val="0"/>
                  <w:vAlign w:val="center"/>
                </w:tcPr>
                <w:p w14:paraId="31187727">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0.17</w:t>
                  </w:r>
                </w:p>
              </w:tc>
              <w:tc>
                <w:tcPr>
                  <w:tcW w:w="486" w:type="pct"/>
                  <w:tcBorders>
                    <w:tl2br w:val="nil"/>
                    <w:tr2bl w:val="nil"/>
                  </w:tcBorders>
                  <w:noWrap w:val="0"/>
                  <w:vAlign w:val="center"/>
                </w:tcPr>
                <w:p w14:paraId="332B630B">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-0.012</w:t>
                  </w:r>
                </w:p>
              </w:tc>
              <w:tc>
                <w:tcPr>
                  <w:tcW w:w="517" w:type="pct"/>
                  <w:tcBorders>
                    <w:tl2br w:val="nil"/>
                    <w:tr2bl w:val="nil"/>
                  </w:tcBorders>
                  <w:noWrap w:val="0"/>
                  <w:vAlign w:val="center"/>
                </w:tcPr>
                <w:p w14:paraId="3E5BA759">
                  <w:pPr>
                    <w:keepNext w:val="0"/>
                    <w:keepLines w:val="0"/>
                    <w:pageBreakBefore w:val="0"/>
                    <w:widowControl/>
                    <w:kinsoku/>
                    <w:wordWrap/>
                    <w:overflowPunct/>
                    <w:topLinePunct w:val="0"/>
                    <w:autoSpaceDE/>
                    <w:autoSpaceDN/>
                    <w:bidi w:val="0"/>
                    <w:adjustRightInd w:val="0"/>
                    <w:snapToGrid w:val="0"/>
                    <w:jc w:val="center"/>
                    <w:rPr>
                      <w:rFonts w:hint="default"/>
                      <w:b/>
                      <w:bCs/>
                      <w:color w:val="auto"/>
                      <w:sz w:val="18"/>
                      <w:szCs w:val="18"/>
                      <w:lang w:val="en-US" w:eastAsia="zh-CN"/>
                    </w:rPr>
                  </w:pPr>
                  <w:r>
                    <w:rPr>
                      <w:rFonts w:hint="eastAsia"/>
                      <w:b/>
                      <w:bCs/>
                      <w:color w:val="auto"/>
                      <w:kern w:val="0"/>
                      <w:sz w:val="18"/>
                      <w:szCs w:val="18"/>
                      <w:lang w:val="en-US" w:eastAsia="zh-CN"/>
                    </w:rPr>
                    <w:t>0</w:t>
                  </w:r>
                </w:p>
              </w:tc>
            </w:tr>
            <w:tr w14:paraId="0F6554D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254" w:type="pct"/>
                  <w:vMerge w:val="continue"/>
                  <w:tcBorders>
                    <w:tl2br w:val="nil"/>
                    <w:tr2bl w:val="nil"/>
                  </w:tcBorders>
                  <w:noWrap w:val="0"/>
                  <w:vAlign w:val="center"/>
                </w:tcPr>
                <w:p w14:paraId="799DF0F7">
                  <w:pPr>
                    <w:pStyle w:val="698"/>
                    <w:spacing w:line="240" w:lineRule="auto"/>
                    <w:jc w:val="center"/>
                    <w:rPr>
                      <w:rFonts w:hint="default" w:ascii="Times New Roman" w:hAnsi="Times New Roman" w:eastAsia="宋体" w:cs="Times New Roman"/>
                      <w:b w:val="0"/>
                      <w:bCs/>
                      <w:color w:val="auto"/>
                      <w:sz w:val="18"/>
                      <w:szCs w:val="18"/>
                      <w:highlight w:val="none"/>
                    </w:rPr>
                  </w:pPr>
                </w:p>
              </w:tc>
              <w:tc>
                <w:tcPr>
                  <w:tcW w:w="519" w:type="pct"/>
                  <w:tcBorders>
                    <w:tl2br w:val="nil"/>
                    <w:tr2bl w:val="nil"/>
                  </w:tcBorders>
                  <w:shd w:val="clear" w:color="auto" w:fill="auto"/>
                  <w:noWrap w:val="0"/>
                  <w:vAlign w:val="center"/>
                </w:tcPr>
                <w:p w14:paraId="3842B6EF">
                  <w:pPr>
                    <w:adjustRightInd w:val="0"/>
                    <w:snapToGrid w:val="0"/>
                    <w:jc w:val="center"/>
                    <w:textAlignment w:val="center"/>
                    <w:rPr>
                      <w:rFonts w:hint="eastAsia" w:eastAsia="宋体"/>
                      <w:color w:val="auto"/>
                      <w:kern w:val="0"/>
                      <w:sz w:val="18"/>
                      <w:szCs w:val="18"/>
                      <w:lang w:val="en-US" w:eastAsia="zh-CN"/>
                    </w:rPr>
                  </w:pPr>
                  <w:r>
                    <w:rPr>
                      <w:rFonts w:hint="eastAsia"/>
                      <w:color w:val="auto"/>
                      <w:kern w:val="0"/>
                      <w:sz w:val="18"/>
                      <w:szCs w:val="18"/>
                      <w:lang w:val="en-US" w:eastAsia="zh-CN"/>
                    </w:rPr>
                    <w:t>动植物油</w:t>
                  </w:r>
                </w:p>
              </w:tc>
              <w:tc>
                <w:tcPr>
                  <w:tcW w:w="487" w:type="pct"/>
                  <w:tcBorders>
                    <w:tl2br w:val="nil"/>
                    <w:tr2bl w:val="nil"/>
                  </w:tcBorders>
                  <w:noWrap w:val="0"/>
                  <w:vAlign w:val="center"/>
                </w:tcPr>
                <w:p w14:paraId="527E9120">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ascii="Times New Roman" w:hAnsi="Times New Roman" w:eastAsia="宋体" w:cs="Times New Roman"/>
                      <w:color w:val="auto"/>
                      <w:spacing w:val="0"/>
                      <w:kern w:val="0"/>
                      <w:position w:val="0"/>
                      <w:sz w:val="18"/>
                      <w:szCs w:val="18"/>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w:t>
                  </w:r>
                  <w:r>
                    <w:rPr>
                      <w:rFonts w:hint="eastAsia" w:cs="Times New Roman"/>
                      <w:i w:val="0"/>
                      <w:iCs w:val="0"/>
                      <w:color w:val="auto"/>
                      <w:kern w:val="0"/>
                      <w:sz w:val="18"/>
                      <w:szCs w:val="18"/>
                      <w:highlight w:val="none"/>
                      <w:u w:val="none"/>
                      <w:lang w:val="en-US" w:eastAsia="zh-CN" w:bidi="ar"/>
                    </w:rPr>
                    <w:t>438</w:t>
                  </w:r>
                </w:p>
              </w:tc>
              <w:tc>
                <w:tcPr>
                  <w:tcW w:w="492" w:type="pct"/>
                  <w:tcBorders>
                    <w:tl2br w:val="nil"/>
                    <w:tr2bl w:val="nil"/>
                  </w:tcBorders>
                  <w:noWrap w:val="0"/>
                  <w:vAlign w:val="center"/>
                </w:tcPr>
                <w:p w14:paraId="16150FCE">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color w:val="auto"/>
                      <w:spacing w:val="0"/>
                      <w:kern w:val="0"/>
                      <w:position w:val="0"/>
                      <w:sz w:val="18"/>
                      <w:szCs w:val="18"/>
                      <w:lang w:val="en-US" w:eastAsia="zh-CN"/>
                    </w:rPr>
                  </w:pPr>
                  <w:r>
                    <w:rPr>
                      <w:rFonts w:hint="eastAsia" w:eastAsia="宋体"/>
                      <w:color w:val="auto"/>
                      <w:kern w:val="0"/>
                      <w:sz w:val="18"/>
                      <w:szCs w:val="18"/>
                      <w:lang w:val="en-US" w:eastAsia="zh-CN"/>
                    </w:rPr>
                    <w:t>0</w:t>
                  </w:r>
                </w:p>
              </w:tc>
              <w:tc>
                <w:tcPr>
                  <w:tcW w:w="621" w:type="pct"/>
                  <w:tcBorders>
                    <w:tl2br w:val="nil"/>
                    <w:tr2bl w:val="nil"/>
                  </w:tcBorders>
                  <w:noWrap w:val="0"/>
                  <w:vAlign w:val="center"/>
                </w:tcPr>
                <w:p w14:paraId="03D609FF">
                  <w:pPr>
                    <w:adjustRightInd w:val="0"/>
                    <w:snapToGrid w:val="0"/>
                    <w:jc w:val="center"/>
                    <w:rPr>
                      <w:rFonts w:hint="default"/>
                      <w:color w:val="auto"/>
                      <w:sz w:val="18"/>
                      <w:szCs w:val="18"/>
                      <w:lang w:val="en-US" w:eastAsia="zh-CN"/>
                    </w:rPr>
                  </w:pPr>
                  <w:r>
                    <w:rPr>
                      <w:rFonts w:hint="eastAsia"/>
                      <w:color w:val="auto"/>
                      <w:sz w:val="18"/>
                      <w:szCs w:val="18"/>
                      <w:lang w:val="en-US" w:eastAsia="zh-CN"/>
                    </w:rPr>
                    <w:t>0</w:t>
                  </w:r>
                </w:p>
              </w:tc>
              <w:tc>
                <w:tcPr>
                  <w:tcW w:w="569" w:type="pct"/>
                  <w:tcBorders>
                    <w:tl2br w:val="nil"/>
                    <w:tr2bl w:val="nil"/>
                  </w:tcBorders>
                  <w:noWrap w:val="0"/>
                  <w:vAlign w:val="center"/>
                </w:tcPr>
                <w:p w14:paraId="446C7568">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color w:val="auto"/>
                      <w:spacing w:val="0"/>
                      <w:kern w:val="0"/>
                      <w:position w:val="0"/>
                      <w:sz w:val="18"/>
                      <w:szCs w:val="18"/>
                      <w:lang w:val="en-US" w:eastAsia="zh-CN"/>
                    </w:rPr>
                  </w:pPr>
                  <w:r>
                    <w:rPr>
                      <w:rFonts w:hint="eastAsia" w:eastAsia="宋体"/>
                      <w:color w:val="auto"/>
                      <w:kern w:val="0"/>
                      <w:sz w:val="18"/>
                      <w:szCs w:val="18"/>
                      <w:lang w:val="en-US" w:eastAsia="zh-CN"/>
                    </w:rPr>
                    <w:t>0</w:t>
                  </w:r>
                </w:p>
              </w:tc>
              <w:tc>
                <w:tcPr>
                  <w:tcW w:w="462" w:type="pct"/>
                  <w:tcBorders>
                    <w:tl2br w:val="nil"/>
                    <w:tr2bl w:val="nil"/>
                  </w:tcBorders>
                  <w:noWrap w:val="0"/>
                  <w:vAlign w:val="center"/>
                </w:tcPr>
                <w:p w14:paraId="7E27725F">
                  <w:pPr>
                    <w:adjustRightInd w:val="0"/>
                    <w:snapToGrid w:val="0"/>
                    <w:jc w:val="center"/>
                    <w:rPr>
                      <w:rFonts w:hint="default"/>
                      <w:color w:val="auto"/>
                      <w:sz w:val="18"/>
                      <w:szCs w:val="18"/>
                      <w:lang w:val="en-US" w:eastAsia="zh-CN"/>
                    </w:rPr>
                  </w:pPr>
                  <w:r>
                    <w:rPr>
                      <w:rFonts w:hint="eastAsia"/>
                      <w:color w:val="auto"/>
                      <w:sz w:val="18"/>
                      <w:szCs w:val="18"/>
                      <w:lang w:val="en-US" w:eastAsia="zh-CN"/>
                    </w:rPr>
                    <w:t>0</w:t>
                  </w:r>
                </w:p>
              </w:tc>
              <w:tc>
                <w:tcPr>
                  <w:tcW w:w="588" w:type="pct"/>
                  <w:tcBorders>
                    <w:tl2br w:val="nil"/>
                    <w:tr2bl w:val="nil"/>
                  </w:tcBorders>
                  <w:noWrap w:val="0"/>
                  <w:vAlign w:val="center"/>
                </w:tcPr>
                <w:p w14:paraId="10710B88">
                  <w:pPr>
                    <w:keepNext w:val="0"/>
                    <w:keepLines w:val="0"/>
                    <w:pageBreakBefore w:val="0"/>
                    <w:widowControl/>
                    <w:kinsoku/>
                    <w:wordWrap/>
                    <w:overflowPunct/>
                    <w:topLinePunct w:val="0"/>
                    <w:autoSpaceDE/>
                    <w:autoSpaceDN/>
                    <w:bidi w:val="0"/>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2.68</w:t>
                  </w:r>
                </w:p>
              </w:tc>
              <w:tc>
                <w:tcPr>
                  <w:tcW w:w="486" w:type="pct"/>
                  <w:tcBorders>
                    <w:tl2br w:val="nil"/>
                    <w:tr2bl w:val="nil"/>
                  </w:tcBorders>
                  <w:noWrap w:val="0"/>
                  <w:vAlign w:val="center"/>
                </w:tcPr>
                <w:p w14:paraId="7629C656">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2.242</w:t>
                  </w:r>
                </w:p>
              </w:tc>
              <w:tc>
                <w:tcPr>
                  <w:tcW w:w="517" w:type="pct"/>
                  <w:tcBorders>
                    <w:tl2br w:val="nil"/>
                    <w:tr2bl w:val="nil"/>
                  </w:tcBorders>
                  <w:noWrap w:val="0"/>
                  <w:vAlign w:val="center"/>
                </w:tcPr>
                <w:p w14:paraId="7BEA808D">
                  <w:pPr>
                    <w:adjustRightInd w:val="0"/>
                    <w:snapToGrid w:val="0"/>
                    <w:jc w:val="center"/>
                    <w:rPr>
                      <w:rFonts w:hint="default" w:ascii="Times New Roman" w:hAnsi="Times New Roman" w:eastAsia="宋体" w:cs="Times New Roman"/>
                      <w:b/>
                      <w:bCs/>
                      <w:color w:val="auto"/>
                      <w:spacing w:val="0"/>
                      <w:kern w:val="0"/>
                      <w:position w:val="0"/>
                      <w:sz w:val="18"/>
                      <w:szCs w:val="18"/>
                      <w:lang w:val="en-US" w:eastAsia="zh-CN"/>
                    </w:rPr>
                  </w:pPr>
                  <w:r>
                    <w:rPr>
                      <w:rFonts w:hint="eastAsia" w:cs="Times New Roman"/>
                      <w:b/>
                      <w:bCs/>
                      <w:color w:val="auto"/>
                      <w:spacing w:val="0"/>
                      <w:kern w:val="0"/>
                      <w:position w:val="0"/>
                      <w:sz w:val="18"/>
                      <w:szCs w:val="18"/>
                      <w:lang w:val="en-US" w:eastAsia="zh-CN"/>
                    </w:rPr>
                    <w:t>2.242</w:t>
                  </w:r>
                </w:p>
              </w:tc>
            </w:tr>
            <w:tr w14:paraId="372617A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254" w:type="pct"/>
                  <w:vMerge w:val="restart"/>
                  <w:tcBorders>
                    <w:tl2br w:val="nil"/>
                    <w:tr2bl w:val="nil"/>
                  </w:tcBorders>
                  <w:noWrap w:val="0"/>
                  <w:vAlign w:val="center"/>
                </w:tcPr>
                <w:p w14:paraId="7A0959E4">
                  <w:pPr>
                    <w:pStyle w:val="698"/>
                    <w:spacing w:line="240" w:lineRule="auto"/>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有组织废气</w:t>
                  </w:r>
                </w:p>
              </w:tc>
              <w:tc>
                <w:tcPr>
                  <w:tcW w:w="519" w:type="pct"/>
                  <w:tcBorders>
                    <w:tl2br w:val="nil"/>
                    <w:tr2bl w:val="nil"/>
                  </w:tcBorders>
                  <w:noWrap w:val="0"/>
                  <w:vAlign w:val="center"/>
                </w:tcPr>
                <w:p w14:paraId="3D02B6A6">
                  <w:pPr>
                    <w:pStyle w:val="656"/>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b w:val="0"/>
                      <w:bCs/>
                      <w:color w:val="auto"/>
                      <w:kern w:val="2"/>
                      <w:sz w:val="18"/>
                      <w:szCs w:val="18"/>
                      <w:highlight w:val="none"/>
                      <w:lang w:val="en-US" w:eastAsia="zh-CN" w:bidi="ar-SA"/>
                    </w:rPr>
                  </w:pPr>
                  <w:r>
                    <w:rPr>
                      <w:rFonts w:hint="eastAsia" w:eastAsia="宋体"/>
                      <w:color w:val="auto"/>
                      <w:sz w:val="18"/>
                      <w:szCs w:val="18"/>
                      <w:lang w:val="en-US" w:eastAsia="zh-CN"/>
                    </w:rPr>
                    <w:t>颗粒物</w:t>
                  </w:r>
                </w:p>
              </w:tc>
              <w:tc>
                <w:tcPr>
                  <w:tcW w:w="487" w:type="pct"/>
                  <w:tcBorders>
                    <w:tl2br w:val="nil"/>
                    <w:tr2bl w:val="nil"/>
                  </w:tcBorders>
                  <w:noWrap w:val="0"/>
                  <w:vAlign w:val="center"/>
                </w:tcPr>
                <w:p w14:paraId="2B2335C2">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color w:val="auto"/>
                      <w:kern w:val="2"/>
                      <w:sz w:val="18"/>
                      <w:szCs w:val="18"/>
                      <w:highlight w:val="none"/>
                      <w:lang w:val="en-US" w:eastAsia="zh-CN" w:bidi="ar-SA"/>
                    </w:rPr>
                  </w:pPr>
                  <w:r>
                    <w:rPr>
                      <w:rFonts w:hint="eastAsia"/>
                      <w:color w:val="auto"/>
                      <w:kern w:val="0"/>
                      <w:sz w:val="18"/>
                      <w:szCs w:val="18"/>
                      <w:lang w:val="en-US" w:eastAsia="zh-CN"/>
                    </w:rPr>
                    <w:t>0.614</w:t>
                  </w:r>
                </w:p>
              </w:tc>
              <w:tc>
                <w:tcPr>
                  <w:tcW w:w="492" w:type="pct"/>
                  <w:tcBorders>
                    <w:tl2br w:val="nil"/>
                    <w:tr2bl w:val="nil"/>
                  </w:tcBorders>
                  <w:noWrap w:val="0"/>
                  <w:vAlign w:val="center"/>
                </w:tcPr>
                <w:p w14:paraId="7DCCEEB9">
                  <w:pPr>
                    <w:pStyle w:val="656"/>
                    <w:snapToGrid w:val="0"/>
                    <w:rPr>
                      <w:rFonts w:hint="default" w:ascii="Times New Roman" w:hAnsi="Times New Roman" w:eastAsia="宋体" w:cs="Times New Roman"/>
                      <w:b w:val="0"/>
                      <w:bCs/>
                      <w:color w:val="auto"/>
                      <w:sz w:val="18"/>
                      <w:szCs w:val="18"/>
                      <w:highlight w:val="none"/>
                      <w:lang w:val="en-US" w:eastAsia="zh-CN"/>
                    </w:rPr>
                  </w:pPr>
                  <w:r>
                    <w:rPr>
                      <w:rFonts w:hint="eastAsia" w:eastAsia="宋体" w:cs="Times New Roman"/>
                      <w:b w:val="0"/>
                      <w:bCs/>
                      <w:color w:val="auto"/>
                      <w:sz w:val="18"/>
                      <w:szCs w:val="18"/>
                      <w:highlight w:val="none"/>
                      <w:lang w:val="en-US" w:eastAsia="zh-CN"/>
                    </w:rPr>
                    <w:t>6.697</w:t>
                  </w:r>
                </w:p>
              </w:tc>
              <w:tc>
                <w:tcPr>
                  <w:tcW w:w="621" w:type="pct"/>
                  <w:tcBorders>
                    <w:tl2br w:val="nil"/>
                    <w:tr2bl w:val="nil"/>
                  </w:tcBorders>
                  <w:noWrap w:val="0"/>
                  <w:vAlign w:val="center"/>
                </w:tcPr>
                <w:p w14:paraId="329EE93C">
                  <w:pPr>
                    <w:keepNext w:val="0"/>
                    <w:keepLines w:val="0"/>
                    <w:widowControl/>
                    <w:suppressLineNumbers w:val="0"/>
                    <w:jc w:val="center"/>
                    <w:textAlignment w:val="center"/>
                    <w:rPr>
                      <w:rFonts w:hint="default" w:eastAsia="宋体"/>
                      <w:color w:val="auto"/>
                      <w:sz w:val="18"/>
                      <w:szCs w:val="18"/>
                      <w:lang w:val="en-US" w:eastAsia="zh-CN"/>
                    </w:rPr>
                  </w:pPr>
                  <w:r>
                    <w:rPr>
                      <w:rFonts w:hint="eastAsia"/>
                      <w:color w:val="auto"/>
                      <w:sz w:val="18"/>
                      <w:szCs w:val="18"/>
                      <w:lang w:val="en-US" w:eastAsia="zh-CN"/>
                    </w:rPr>
                    <w:t>6.664</w:t>
                  </w:r>
                </w:p>
              </w:tc>
              <w:tc>
                <w:tcPr>
                  <w:tcW w:w="569" w:type="pct"/>
                  <w:tcBorders>
                    <w:tl2br w:val="nil"/>
                    <w:tr2bl w:val="nil"/>
                  </w:tcBorders>
                  <w:noWrap w:val="0"/>
                  <w:vAlign w:val="center"/>
                </w:tcPr>
                <w:p w14:paraId="52CE4B76">
                  <w:pPr>
                    <w:pStyle w:val="656"/>
                    <w:snapToGrid w:val="0"/>
                    <w:rPr>
                      <w:rFonts w:hint="default" w:ascii="Times New Roman" w:hAnsi="Times New Roman" w:eastAsia="宋体" w:cs="Times New Roman"/>
                      <w:b w:val="0"/>
                      <w:bCs/>
                      <w:color w:val="auto"/>
                      <w:sz w:val="18"/>
                      <w:szCs w:val="18"/>
                      <w:highlight w:val="none"/>
                      <w:lang w:val="en-US" w:eastAsia="zh-CN"/>
                    </w:rPr>
                  </w:pPr>
                  <w:r>
                    <w:rPr>
                      <w:rFonts w:hint="eastAsia" w:eastAsia="宋体" w:cs="Times New Roman"/>
                      <w:b w:val="0"/>
                      <w:bCs/>
                      <w:color w:val="auto"/>
                      <w:sz w:val="18"/>
                      <w:szCs w:val="18"/>
                      <w:highlight w:val="none"/>
                      <w:lang w:val="en-US" w:eastAsia="zh-CN"/>
                    </w:rPr>
                    <w:t>0.033</w:t>
                  </w:r>
                </w:p>
              </w:tc>
              <w:tc>
                <w:tcPr>
                  <w:tcW w:w="462" w:type="pct"/>
                  <w:tcBorders>
                    <w:tl2br w:val="nil"/>
                    <w:tr2bl w:val="nil"/>
                  </w:tcBorders>
                  <w:noWrap w:val="0"/>
                  <w:vAlign w:val="center"/>
                </w:tcPr>
                <w:p w14:paraId="58A102F9">
                  <w:pPr>
                    <w:widowControl/>
                    <w:adjustRightInd w:val="0"/>
                    <w:snapToGrid w:val="0"/>
                    <w:jc w:val="center"/>
                    <w:rPr>
                      <w:rFonts w:hint="default" w:ascii="Times New Roman" w:hAnsi="Times New Roman" w:eastAsia="宋体" w:cs="Times New Roman"/>
                      <w:b/>
                      <w:bCs/>
                      <w:snapToGrid w:val="0"/>
                      <w:color w:val="auto"/>
                      <w:kern w:val="2"/>
                      <w:sz w:val="18"/>
                      <w:szCs w:val="18"/>
                      <w:highlight w:val="none"/>
                      <w:lang w:val="en-US" w:eastAsia="zh-CN" w:bidi="ar-SA"/>
                    </w:rPr>
                  </w:pPr>
                  <w:r>
                    <w:rPr>
                      <w:rFonts w:hint="eastAsia"/>
                      <w:color w:val="auto"/>
                      <w:sz w:val="18"/>
                      <w:szCs w:val="18"/>
                      <w:lang w:val="en-US" w:eastAsia="zh-CN"/>
                    </w:rPr>
                    <w:t>0</w:t>
                  </w:r>
                </w:p>
              </w:tc>
              <w:tc>
                <w:tcPr>
                  <w:tcW w:w="588" w:type="pct"/>
                  <w:tcBorders>
                    <w:tl2br w:val="nil"/>
                    <w:tr2bl w:val="nil"/>
                  </w:tcBorders>
                  <w:noWrap w:val="0"/>
                  <w:vAlign w:val="center"/>
                </w:tcPr>
                <w:p w14:paraId="1A63801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0.2512</w:t>
                  </w:r>
                </w:p>
              </w:tc>
              <w:tc>
                <w:tcPr>
                  <w:tcW w:w="486" w:type="pct"/>
                  <w:tcBorders>
                    <w:tl2br w:val="nil"/>
                    <w:tr2bl w:val="nil"/>
                  </w:tcBorders>
                  <w:noWrap w:val="0"/>
                  <w:vAlign w:val="center"/>
                </w:tcPr>
                <w:p w14:paraId="7A468C08">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color w:val="auto"/>
                      <w:sz w:val="18"/>
                      <w:szCs w:val="18"/>
                      <w:lang w:val="en-US" w:eastAsia="zh-CN"/>
                    </w:rPr>
                    <w:t>0</w:t>
                  </w:r>
                </w:p>
              </w:tc>
              <w:tc>
                <w:tcPr>
                  <w:tcW w:w="517" w:type="pct"/>
                  <w:tcBorders>
                    <w:tl2br w:val="nil"/>
                    <w:tr2bl w:val="nil"/>
                  </w:tcBorders>
                  <w:noWrap w:val="0"/>
                  <w:vAlign w:val="center"/>
                </w:tcPr>
                <w:p w14:paraId="4BB6735C">
                  <w:pPr>
                    <w:pStyle w:val="656"/>
                    <w:snapToGrid w:val="0"/>
                    <w:rPr>
                      <w:rFonts w:hint="default" w:ascii="Times New Roman" w:hAnsi="Times New Roman" w:eastAsia="宋体" w:cs="Times New Roman"/>
                      <w:b/>
                      <w:bCs/>
                      <w:snapToGrid w:val="0"/>
                      <w:color w:val="auto"/>
                      <w:kern w:val="2"/>
                      <w:sz w:val="18"/>
                      <w:szCs w:val="18"/>
                      <w:lang w:val="en-US" w:eastAsia="zh-CN" w:bidi="ar-SA"/>
                    </w:rPr>
                  </w:pPr>
                  <w:r>
                    <w:rPr>
                      <w:rFonts w:hint="eastAsia" w:eastAsia="宋体"/>
                      <w:b/>
                      <w:bCs/>
                      <w:color w:val="auto"/>
                      <w:sz w:val="18"/>
                      <w:szCs w:val="18"/>
                      <w:lang w:val="en-US" w:eastAsia="zh-CN"/>
                    </w:rPr>
                    <w:t>0</w:t>
                  </w:r>
                </w:p>
              </w:tc>
            </w:tr>
            <w:tr w14:paraId="16F940D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254" w:type="pct"/>
                  <w:vMerge w:val="continue"/>
                  <w:tcBorders>
                    <w:tl2br w:val="nil"/>
                    <w:tr2bl w:val="nil"/>
                  </w:tcBorders>
                  <w:noWrap w:val="0"/>
                  <w:vAlign w:val="center"/>
                </w:tcPr>
                <w:p w14:paraId="74D9C390">
                  <w:pPr>
                    <w:pStyle w:val="698"/>
                    <w:spacing w:line="240" w:lineRule="auto"/>
                    <w:jc w:val="center"/>
                    <w:rPr>
                      <w:rFonts w:hint="default" w:ascii="Times New Roman" w:hAnsi="Times New Roman" w:eastAsia="宋体" w:cs="Times New Roman"/>
                      <w:b w:val="0"/>
                      <w:bCs/>
                      <w:color w:val="auto"/>
                      <w:sz w:val="18"/>
                      <w:szCs w:val="18"/>
                      <w:highlight w:val="none"/>
                    </w:rPr>
                  </w:pPr>
                </w:p>
              </w:tc>
              <w:tc>
                <w:tcPr>
                  <w:tcW w:w="519" w:type="pct"/>
                  <w:tcBorders>
                    <w:tl2br w:val="nil"/>
                    <w:tr2bl w:val="nil"/>
                  </w:tcBorders>
                  <w:noWrap w:val="0"/>
                  <w:vAlign w:val="center"/>
                </w:tcPr>
                <w:p w14:paraId="04340616">
                  <w:pPr>
                    <w:pStyle w:val="656"/>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b w:val="0"/>
                      <w:bCs/>
                      <w:color w:val="auto"/>
                      <w:sz w:val="18"/>
                      <w:szCs w:val="18"/>
                      <w:highlight w:val="none"/>
                      <w:lang w:val="en-US" w:eastAsia="zh-CN"/>
                    </w:rPr>
                  </w:pPr>
                  <w:r>
                    <w:rPr>
                      <w:rFonts w:hint="eastAsia" w:eastAsia="宋体"/>
                      <w:color w:val="auto"/>
                      <w:sz w:val="18"/>
                      <w:szCs w:val="18"/>
                      <w:lang w:val="en-US" w:eastAsia="zh-CN"/>
                    </w:rPr>
                    <w:t>SO</w:t>
                  </w:r>
                  <w:r>
                    <w:rPr>
                      <w:rFonts w:hint="eastAsia" w:eastAsia="宋体"/>
                      <w:color w:val="auto"/>
                      <w:sz w:val="18"/>
                      <w:szCs w:val="18"/>
                      <w:vertAlign w:val="subscript"/>
                      <w:lang w:val="en-US" w:eastAsia="zh-CN"/>
                    </w:rPr>
                    <w:t>2</w:t>
                  </w:r>
                </w:p>
              </w:tc>
              <w:tc>
                <w:tcPr>
                  <w:tcW w:w="487" w:type="pct"/>
                  <w:tcBorders>
                    <w:tl2br w:val="nil"/>
                    <w:tr2bl w:val="nil"/>
                  </w:tcBorders>
                  <w:noWrap w:val="0"/>
                  <w:vAlign w:val="center"/>
                </w:tcPr>
                <w:p w14:paraId="54E400C2">
                  <w:pPr>
                    <w:keepNext w:val="0"/>
                    <w:keepLines w:val="0"/>
                    <w:pageBreakBefore w:val="0"/>
                    <w:widowControl/>
                    <w:kinsoku/>
                    <w:wordWrap/>
                    <w:overflowPunct/>
                    <w:topLinePunct w:val="0"/>
                    <w:autoSpaceDE/>
                    <w:autoSpaceDN/>
                    <w:bidi w:val="0"/>
                    <w:adjustRightInd w:val="0"/>
                    <w:snapToGrid w:val="0"/>
                    <w:jc w:val="center"/>
                    <w:rPr>
                      <w:rFonts w:ascii="Times New Roman" w:hAnsi="Times New Roman" w:eastAsia="Times New Roman" w:cs="Times New Roman"/>
                      <w:b/>
                      <w:bCs/>
                      <w:color w:val="auto"/>
                      <w:spacing w:val="-1"/>
                      <w:sz w:val="18"/>
                      <w:szCs w:val="18"/>
                      <w:highlight w:val="none"/>
                    </w:rPr>
                  </w:pPr>
                  <w:r>
                    <w:rPr>
                      <w:rFonts w:hint="eastAsia"/>
                      <w:color w:val="auto"/>
                      <w:kern w:val="0"/>
                      <w:sz w:val="18"/>
                      <w:szCs w:val="18"/>
                      <w:lang w:val="en-US" w:eastAsia="zh-CN"/>
                    </w:rPr>
                    <w:t>0.168</w:t>
                  </w:r>
                </w:p>
              </w:tc>
              <w:tc>
                <w:tcPr>
                  <w:tcW w:w="492" w:type="pct"/>
                  <w:tcBorders>
                    <w:tl2br w:val="nil"/>
                    <w:tr2bl w:val="nil"/>
                  </w:tcBorders>
                  <w:noWrap w:val="0"/>
                  <w:vAlign w:val="center"/>
                </w:tcPr>
                <w:p w14:paraId="23B3025A">
                  <w:pPr>
                    <w:pStyle w:val="656"/>
                    <w:snapToGrid w:val="0"/>
                    <w:rPr>
                      <w:rFonts w:hint="default" w:ascii="Times New Roman" w:hAnsi="Times New Roman" w:eastAsia="宋体" w:cs="Times New Roman"/>
                      <w:b w:val="0"/>
                      <w:bCs/>
                      <w:color w:val="auto"/>
                      <w:sz w:val="18"/>
                      <w:szCs w:val="18"/>
                      <w:highlight w:val="none"/>
                      <w:lang w:val="en-US" w:eastAsia="zh-CN"/>
                    </w:rPr>
                  </w:pPr>
                  <w:r>
                    <w:rPr>
                      <w:rFonts w:hint="eastAsia" w:eastAsia="宋体"/>
                      <w:color w:val="auto"/>
                      <w:sz w:val="18"/>
                      <w:szCs w:val="18"/>
                      <w:lang w:val="en-US" w:eastAsia="zh-CN"/>
                    </w:rPr>
                    <w:t>0.32</w:t>
                  </w:r>
                </w:p>
              </w:tc>
              <w:tc>
                <w:tcPr>
                  <w:tcW w:w="621" w:type="pct"/>
                  <w:tcBorders>
                    <w:tl2br w:val="nil"/>
                    <w:tr2bl w:val="nil"/>
                  </w:tcBorders>
                  <w:noWrap w:val="0"/>
                  <w:vAlign w:val="center"/>
                </w:tcPr>
                <w:p w14:paraId="113B1185">
                  <w:pPr>
                    <w:keepNext w:val="0"/>
                    <w:keepLines w:val="0"/>
                    <w:widowControl/>
                    <w:suppressLineNumbers w:val="0"/>
                    <w:jc w:val="center"/>
                    <w:textAlignment w:val="center"/>
                    <w:rPr>
                      <w:rFonts w:hint="default" w:eastAsia="宋体"/>
                      <w:color w:val="auto"/>
                      <w:sz w:val="18"/>
                      <w:szCs w:val="18"/>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0.288</w:t>
                  </w:r>
                </w:p>
              </w:tc>
              <w:tc>
                <w:tcPr>
                  <w:tcW w:w="569" w:type="pct"/>
                  <w:tcBorders>
                    <w:tl2br w:val="nil"/>
                    <w:tr2bl w:val="nil"/>
                  </w:tcBorders>
                  <w:noWrap w:val="0"/>
                  <w:vAlign w:val="center"/>
                </w:tcPr>
                <w:p w14:paraId="145F9848">
                  <w:pPr>
                    <w:pStyle w:val="656"/>
                    <w:snapToGrid w:val="0"/>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eastAsia" w:eastAsia="宋体"/>
                      <w:color w:val="auto"/>
                      <w:sz w:val="18"/>
                      <w:szCs w:val="18"/>
                      <w:lang w:val="en-US" w:eastAsia="zh-CN"/>
                    </w:rPr>
                    <w:t>0.032</w:t>
                  </w:r>
                </w:p>
              </w:tc>
              <w:tc>
                <w:tcPr>
                  <w:tcW w:w="462" w:type="pct"/>
                  <w:tcBorders>
                    <w:tl2br w:val="nil"/>
                    <w:tr2bl w:val="nil"/>
                  </w:tcBorders>
                  <w:noWrap w:val="0"/>
                  <w:vAlign w:val="center"/>
                </w:tcPr>
                <w:p w14:paraId="3A70663C">
                  <w:pPr>
                    <w:widowControl/>
                    <w:adjustRightInd w:val="0"/>
                    <w:snapToGrid w:val="0"/>
                    <w:jc w:val="center"/>
                    <w:rPr>
                      <w:rFonts w:hint="default" w:ascii="Times New Roman" w:hAnsi="Times New Roman" w:eastAsia="Times New Roman" w:cs="Times New Roman"/>
                      <w:b/>
                      <w:bCs/>
                      <w:snapToGrid w:val="0"/>
                      <w:color w:val="auto"/>
                      <w:spacing w:val="-1"/>
                      <w:kern w:val="2"/>
                      <w:sz w:val="18"/>
                      <w:szCs w:val="18"/>
                      <w:highlight w:val="none"/>
                      <w:lang w:val="en-US" w:eastAsia="zh-CN" w:bidi="ar-SA"/>
                    </w:rPr>
                  </w:pPr>
                  <w:r>
                    <w:rPr>
                      <w:rFonts w:hint="eastAsia"/>
                      <w:color w:val="auto"/>
                      <w:sz w:val="18"/>
                      <w:szCs w:val="18"/>
                      <w:lang w:val="en-US" w:eastAsia="zh-CN"/>
                    </w:rPr>
                    <w:t>0</w:t>
                  </w:r>
                </w:p>
              </w:tc>
              <w:tc>
                <w:tcPr>
                  <w:tcW w:w="588" w:type="pct"/>
                  <w:tcBorders>
                    <w:tl2br w:val="nil"/>
                    <w:tr2bl w:val="nil"/>
                  </w:tcBorders>
                  <w:noWrap w:val="0"/>
                  <w:vAlign w:val="center"/>
                </w:tcPr>
                <w:p w14:paraId="2DA492C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0.08</w:t>
                  </w:r>
                </w:p>
              </w:tc>
              <w:tc>
                <w:tcPr>
                  <w:tcW w:w="486" w:type="pct"/>
                  <w:tcBorders>
                    <w:tl2br w:val="nil"/>
                    <w:tr2bl w:val="nil"/>
                  </w:tcBorders>
                  <w:noWrap w:val="0"/>
                  <w:vAlign w:val="center"/>
                </w:tcPr>
                <w:p w14:paraId="72DD7520">
                  <w:pPr>
                    <w:widowControl/>
                    <w:adjustRightInd w:val="0"/>
                    <w:snapToGrid w:val="0"/>
                    <w:jc w:val="center"/>
                    <w:rPr>
                      <w:rFonts w:hint="default" w:ascii="Times New Roman" w:hAnsi="Times New Roman" w:eastAsia="宋体" w:cs="Times New Roman"/>
                      <w:snapToGrid w:val="0"/>
                      <w:color w:val="auto"/>
                      <w:kern w:val="2"/>
                      <w:sz w:val="18"/>
                      <w:szCs w:val="18"/>
                      <w:lang w:val="en-US" w:eastAsia="zh-CN" w:bidi="ar-SA"/>
                    </w:rPr>
                  </w:pPr>
                  <w:r>
                    <w:rPr>
                      <w:rFonts w:hint="eastAsia" w:cs="Times New Roman"/>
                      <w:b w:val="0"/>
                      <w:bCs/>
                      <w:color w:val="auto"/>
                      <w:sz w:val="18"/>
                      <w:szCs w:val="18"/>
                      <w:highlight w:val="none"/>
                      <w:lang w:val="en-US" w:eastAsia="zh-CN"/>
                    </w:rPr>
                    <w:t>0</w:t>
                  </w:r>
                </w:p>
              </w:tc>
              <w:tc>
                <w:tcPr>
                  <w:tcW w:w="517" w:type="pct"/>
                  <w:tcBorders>
                    <w:tl2br w:val="nil"/>
                    <w:tr2bl w:val="nil"/>
                  </w:tcBorders>
                  <w:noWrap w:val="0"/>
                  <w:vAlign w:val="center"/>
                </w:tcPr>
                <w:p w14:paraId="50F4A345">
                  <w:pPr>
                    <w:pStyle w:val="656"/>
                    <w:snapToGrid w:val="0"/>
                    <w:rPr>
                      <w:rFonts w:hint="default" w:ascii="Times New Roman" w:hAnsi="Times New Roman" w:eastAsia="宋体" w:cs="Times New Roman"/>
                      <w:b/>
                      <w:bCs/>
                      <w:snapToGrid w:val="0"/>
                      <w:color w:val="auto"/>
                      <w:kern w:val="2"/>
                      <w:sz w:val="18"/>
                      <w:szCs w:val="18"/>
                      <w:lang w:val="en-US" w:eastAsia="zh-CN" w:bidi="ar-SA"/>
                    </w:rPr>
                  </w:pPr>
                  <w:r>
                    <w:rPr>
                      <w:rFonts w:hint="eastAsia" w:eastAsia="宋体"/>
                      <w:b/>
                      <w:bCs/>
                      <w:color w:val="auto"/>
                      <w:sz w:val="18"/>
                      <w:szCs w:val="18"/>
                      <w:lang w:val="en-US" w:eastAsia="zh-CN"/>
                    </w:rPr>
                    <w:t>0</w:t>
                  </w:r>
                </w:p>
              </w:tc>
            </w:tr>
            <w:tr w14:paraId="20FB0A1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254" w:type="pct"/>
                  <w:vMerge w:val="continue"/>
                  <w:tcBorders>
                    <w:tl2br w:val="nil"/>
                    <w:tr2bl w:val="nil"/>
                  </w:tcBorders>
                  <w:noWrap w:val="0"/>
                  <w:vAlign w:val="center"/>
                </w:tcPr>
                <w:p w14:paraId="03E3B755">
                  <w:pPr>
                    <w:pStyle w:val="698"/>
                    <w:spacing w:line="240" w:lineRule="auto"/>
                    <w:jc w:val="center"/>
                    <w:rPr>
                      <w:rFonts w:hint="default" w:ascii="Times New Roman" w:hAnsi="Times New Roman" w:eastAsia="宋体" w:cs="Times New Roman"/>
                      <w:b w:val="0"/>
                      <w:bCs/>
                      <w:color w:val="auto"/>
                      <w:sz w:val="18"/>
                      <w:szCs w:val="18"/>
                      <w:highlight w:val="none"/>
                    </w:rPr>
                  </w:pPr>
                </w:p>
              </w:tc>
              <w:tc>
                <w:tcPr>
                  <w:tcW w:w="519" w:type="pct"/>
                  <w:tcBorders>
                    <w:tl2br w:val="nil"/>
                    <w:tr2bl w:val="nil"/>
                  </w:tcBorders>
                  <w:noWrap w:val="0"/>
                  <w:vAlign w:val="center"/>
                </w:tcPr>
                <w:p w14:paraId="1708CEA1">
                  <w:pPr>
                    <w:pStyle w:val="656"/>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b w:val="0"/>
                      <w:bCs/>
                      <w:color w:val="auto"/>
                      <w:sz w:val="18"/>
                      <w:szCs w:val="18"/>
                      <w:highlight w:val="none"/>
                      <w:lang w:val="en-US" w:eastAsia="zh-CN"/>
                    </w:rPr>
                  </w:pPr>
                  <w:r>
                    <w:rPr>
                      <w:rFonts w:hint="eastAsia" w:eastAsia="宋体"/>
                      <w:color w:val="auto"/>
                      <w:sz w:val="18"/>
                      <w:szCs w:val="18"/>
                      <w:lang w:val="en-US" w:eastAsia="zh-CN"/>
                    </w:rPr>
                    <w:t>NOx</w:t>
                  </w:r>
                </w:p>
              </w:tc>
              <w:tc>
                <w:tcPr>
                  <w:tcW w:w="487" w:type="pct"/>
                  <w:tcBorders>
                    <w:tl2br w:val="nil"/>
                    <w:tr2bl w:val="nil"/>
                  </w:tcBorders>
                  <w:noWrap w:val="0"/>
                  <w:vAlign w:val="center"/>
                </w:tcPr>
                <w:p w14:paraId="71E10E79">
                  <w:pPr>
                    <w:keepNext w:val="0"/>
                    <w:keepLines w:val="0"/>
                    <w:pageBreakBefore w:val="0"/>
                    <w:widowControl/>
                    <w:kinsoku/>
                    <w:wordWrap/>
                    <w:overflowPunct/>
                    <w:topLinePunct w:val="0"/>
                    <w:autoSpaceDE/>
                    <w:autoSpaceDN/>
                    <w:bidi w:val="0"/>
                    <w:adjustRightInd w:val="0"/>
                    <w:snapToGrid w:val="0"/>
                    <w:jc w:val="center"/>
                    <w:rPr>
                      <w:rFonts w:ascii="Times New Roman" w:hAnsi="Times New Roman" w:eastAsia="Times New Roman" w:cs="Times New Roman"/>
                      <w:b/>
                      <w:bCs/>
                      <w:color w:val="auto"/>
                      <w:spacing w:val="-1"/>
                      <w:sz w:val="18"/>
                      <w:szCs w:val="18"/>
                      <w:highlight w:val="none"/>
                    </w:rPr>
                  </w:pPr>
                  <w:r>
                    <w:rPr>
                      <w:rFonts w:hint="eastAsia"/>
                      <w:color w:val="auto"/>
                      <w:kern w:val="0"/>
                      <w:sz w:val="18"/>
                      <w:szCs w:val="18"/>
                      <w:lang w:val="en-US" w:eastAsia="zh-CN"/>
                    </w:rPr>
                    <w:t>1.005</w:t>
                  </w:r>
                </w:p>
              </w:tc>
              <w:tc>
                <w:tcPr>
                  <w:tcW w:w="860" w:type="dxa"/>
                  <w:tcBorders>
                    <w:tl2br w:val="nil"/>
                    <w:tr2bl w:val="nil"/>
                  </w:tcBorders>
                  <w:noWrap w:val="0"/>
                  <w:vAlign w:val="center"/>
                </w:tcPr>
                <w:p w14:paraId="75013165">
                  <w:pPr>
                    <w:pStyle w:val="656"/>
                    <w:snapToGrid w:val="0"/>
                    <w:rPr>
                      <w:rFonts w:hint="default" w:ascii="Times New Roman" w:hAnsi="Times New Roman" w:eastAsia="宋体" w:cs="Times New Roman"/>
                      <w:b w:val="0"/>
                      <w:bCs/>
                      <w:color w:val="auto"/>
                      <w:sz w:val="18"/>
                      <w:szCs w:val="18"/>
                      <w:highlight w:val="none"/>
                      <w:lang w:val="en-US" w:eastAsia="zh-CN"/>
                    </w:rPr>
                  </w:pPr>
                  <w:r>
                    <w:rPr>
                      <w:rFonts w:hint="eastAsia" w:eastAsia="宋体" w:cs="Times New Roman"/>
                      <w:b w:val="0"/>
                      <w:bCs/>
                      <w:color w:val="auto"/>
                      <w:sz w:val="18"/>
                      <w:szCs w:val="18"/>
                      <w:highlight w:val="none"/>
                      <w:lang w:val="en-US" w:eastAsia="zh-CN"/>
                    </w:rPr>
                    <w:t>1</w:t>
                  </w:r>
                </w:p>
              </w:tc>
              <w:tc>
                <w:tcPr>
                  <w:tcW w:w="1085" w:type="dxa"/>
                  <w:tcBorders>
                    <w:tl2br w:val="nil"/>
                    <w:tr2bl w:val="nil"/>
                  </w:tcBorders>
                  <w:noWrap w:val="0"/>
                  <w:vAlign w:val="center"/>
                </w:tcPr>
                <w:p w14:paraId="49E1D160">
                  <w:pPr>
                    <w:keepNext w:val="0"/>
                    <w:keepLines w:val="0"/>
                    <w:widowControl/>
                    <w:suppressLineNumbers w:val="0"/>
                    <w:jc w:val="center"/>
                    <w:textAlignment w:val="center"/>
                    <w:rPr>
                      <w:rFonts w:hint="default" w:eastAsia="宋体"/>
                      <w:color w:val="auto"/>
                      <w:sz w:val="18"/>
                      <w:szCs w:val="18"/>
                      <w:lang w:val="en-US" w:eastAsia="zh-CN"/>
                    </w:rPr>
                  </w:pPr>
                  <w:r>
                    <w:rPr>
                      <w:rFonts w:hint="eastAsia"/>
                      <w:color w:val="auto"/>
                      <w:sz w:val="18"/>
                      <w:szCs w:val="18"/>
                      <w:lang w:val="en-US" w:eastAsia="zh-CN"/>
                    </w:rPr>
                    <w:t>0.9</w:t>
                  </w:r>
                </w:p>
              </w:tc>
              <w:tc>
                <w:tcPr>
                  <w:tcW w:w="995" w:type="dxa"/>
                  <w:tcBorders>
                    <w:tl2br w:val="nil"/>
                    <w:tr2bl w:val="nil"/>
                  </w:tcBorders>
                  <w:noWrap w:val="0"/>
                  <w:vAlign w:val="center"/>
                </w:tcPr>
                <w:p w14:paraId="786B3044">
                  <w:pPr>
                    <w:pStyle w:val="656"/>
                    <w:snapToGrid w:val="0"/>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eastAsia" w:eastAsia="宋体" w:cs="Times New Roman"/>
                      <w:b w:val="0"/>
                      <w:bCs/>
                      <w:snapToGrid w:val="0"/>
                      <w:color w:val="auto"/>
                      <w:kern w:val="2"/>
                      <w:sz w:val="18"/>
                      <w:szCs w:val="18"/>
                      <w:highlight w:val="none"/>
                      <w:lang w:val="en-US" w:eastAsia="zh-CN" w:bidi="ar-SA"/>
                    </w:rPr>
                    <w:t>0.1</w:t>
                  </w:r>
                </w:p>
              </w:tc>
              <w:tc>
                <w:tcPr>
                  <w:tcW w:w="462" w:type="pct"/>
                  <w:tcBorders>
                    <w:tl2br w:val="nil"/>
                    <w:tr2bl w:val="nil"/>
                  </w:tcBorders>
                  <w:noWrap w:val="0"/>
                  <w:vAlign w:val="center"/>
                </w:tcPr>
                <w:p w14:paraId="44DBDBCC">
                  <w:pPr>
                    <w:widowControl/>
                    <w:adjustRightInd w:val="0"/>
                    <w:snapToGrid w:val="0"/>
                    <w:jc w:val="center"/>
                    <w:rPr>
                      <w:rFonts w:hint="eastAsia" w:ascii="Times New Roman" w:hAnsi="Times New Roman" w:eastAsia="Times New Roman" w:cs="Times New Roman"/>
                      <w:b/>
                      <w:bCs/>
                      <w:snapToGrid w:val="0"/>
                      <w:color w:val="auto"/>
                      <w:spacing w:val="-1"/>
                      <w:kern w:val="2"/>
                      <w:sz w:val="18"/>
                      <w:szCs w:val="18"/>
                      <w:highlight w:val="none"/>
                      <w:lang w:val="en-US" w:eastAsia="zh-CN" w:bidi="ar-SA"/>
                    </w:rPr>
                  </w:pPr>
                  <w:r>
                    <w:rPr>
                      <w:rFonts w:hint="eastAsia" w:cs="Times New Roman"/>
                      <w:b w:val="0"/>
                      <w:bCs/>
                      <w:color w:val="auto"/>
                      <w:sz w:val="18"/>
                      <w:szCs w:val="18"/>
                      <w:highlight w:val="none"/>
                      <w:lang w:val="en-US" w:eastAsia="zh-CN"/>
                    </w:rPr>
                    <w:t>0</w:t>
                  </w:r>
                </w:p>
              </w:tc>
              <w:tc>
                <w:tcPr>
                  <w:tcW w:w="588" w:type="pct"/>
                  <w:tcBorders>
                    <w:tl2br w:val="nil"/>
                    <w:tr2bl w:val="nil"/>
                  </w:tcBorders>
                  <w:noWrap w:val="0"/>
                  <w:vAlign w:val="center"/>
                </w:tcPr>
                <w:p w14:paraId="031AADE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0.637</w:t>
                  </w:r>
                </w:p>
              </w:tc>
              <w:tc>
                <w:tcPr>
                  <w:tcW w:w="486" w:type="pct"/>
                  <w:tcBorders>
                    <w:tl2br w:val="nil"/>
                    <w:tr2bl w:val="nil"/>
                  </w:tcBorders>
                  <w:noWrap w:val="0"/>
                  <w:vAlign w:val="center"/>
                </w:tcPr>
                <w:p w14:paraId="7C5097D8">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color w:val="auto"/>
                      <w:sz w:val="18"/>
                      <w:szCs w:val="18"/>
                      <w:lang w:val="en-US" w:eastAsia="zh-CN"/>
                    </w:rPr>
                    <w:t>0</w:t>
                  </w:r>
                </w:p>
              </w:tc>
              <w:tc>
                <w:tcPr>
                  <w:tcW w:w="517" w:type="pct"/>
                  <w:tcBorders>
                    <w:tl2br w:val="nil"/>
                    <w:tr2bl w:val="nil"/>
                  </w:tcBorders>
                  <w:noWrap w:val="0"/>
                  <w:vAlign w:val="center"/>
                </w:tcPr>
                <w:p w14:paraId="75C9EABC">
                  <w:pPr>
                    <w:pStyle w:val="656"/>
                    <w:snapToGrid w:val="0"/>
                    <w:rPr>
                      <w:rFonts w:hint="default" w:ascii="Times New Roman" w:hAnsi="Times New Roman" w:eastAsia="宋体" w:cs="Times New Roman"/>
                      <w:b/>
                      <w:bCs/>
                      <w:snapToGrid w:val="0"/>
                      <w:color w:val="auto"/>
                      <w:kern w:val="2"/>
                      <w:sz w:val="18"/>
                      <w:szCs w:val="18"/>
                      <w:lang w:val="en-US" w:eastAsia="zh-CN" w:bidi="ar-SA"/>
                    </w:rPr>
                  </w:pPr>
                  <w:r>
                    <w:rPr>
                      <w:rFonts w:hint="eastAsia" w:eastAsia="宋体"/>
                      <w:b/>
                      <w:bCs/>
                      <w:color w:val="auto"/>
                      <w:sz w:val="18"/>
                      <w:szCs w:val="18"/>
                      <w:lang w:val="en-US" w:eastAsia="zh-CN"/>
                    </w:rPr>
                    <w:t>0</w:t>
                  </w:r>
                </w:p>
              </w:tc>
            </w:tr>
            <w:tr w14:paraId="3644C8C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254" w:type="pct"/>
                  <w:vMerge w:val="continue"/>
                  <w:tcBorders>
                    <w:tl2br w:val="nil"/>
                    <w:tr2bl w:val="nil"/>
                  </w:tcBorders>
                  <w:noWrap w:val="0"/>
                  <w:vAlign w:val="center"/>
                </w:tcPr>
                <w:p w14:paraId="0B58D9BB">
                  <w:pPr>
                    <w:pStyle w:val="698"/>
                    <w:spacing w:line="240" w:lineRule="auto"/>
                    <w:jc w:val="center"/>
                    <w:rPr>
                      <w:rFonts w:hint="default" w:ascii="Times New Roman" w:hAnsi="Times New Roman" w:eastAsia="宋体" w:cs="Times New Roman"/>
                      <w:b w:val="0"/>
                      <w:bCs/>
                      <w:color w:val="auto"/>
                      <w:sz w:val="18"/>
                      <w:szCs w:val="18"/>
                      <w:highlight w:val="none"/>
                    </w:rPr>
                  </w:pPr>
                </w:p>
              </w:tc>
              <w:tc>
                <w:tcPr>
                  <w:tcW w:w="519" w:type="pct"/>
                  <w:tcBorders>
                    <w:tl2br w:val="nil"/>
                    <w:tr2bl w:val="nil"/>
                  </w:tcBorders>
                  <w:noWrap w:val="0"/>
                  <w:vAlign w:val="center"/>
                </w:tcPr>
                <w:p w14:paraId="7C7BC5C4">
                  <w:pPr>
                    <w:pStyle w:val="656"/>
                    <w:keepNext w:val="0"/>
                    <w:keepLines w:val="0"/>
                    <w:pageBreakBefore w:val="0"/>
                    <w:kinsoku/>
                    <w:wordWrap/>
                    <w:overflowPunct/>
                    <w:topLinePunct w:val="0"/>
                    <w:autoSpaceDE/>
                    <w:autoSpaceDN/>
                    <w:bidi w:val="0"/>
                    <w:adjustRightInd w:val="0"/>
                    <w:snapToGrid w:val="0"/>
                    <w:rPr>
                      <w:rFonts w:hint="default"/>
                      <w:color w:val="auto"/>
                      <w:sz w:val="18"/>
                      <w:szCs w:val="18"/>
                      <w:lang w:val="en-US" w:eastAsia="zh-CN"/>
                    </w:rPr>
                  </w:pPr>
                  <w:r>
                    <w:rPr>
                      <w:rFonts w:hint="eastAsia" w:eastAsia="宋体"/>
                      <w:color w:val="auto"/>
                      <w:sz w:val="18"/>
                      <w:szCs w:val="18"/>
                      <w:lang w:val="en-US" w:eastAsia="zh-CN"/>
                    </w:rPr>
                    <w:t>氨</w:t>
                  </w:r>
                </w:p>
              </w:tc>
              <w:tc>
                <w:tcPr>
                  <w:tcW w:w="487" w:type="pct"/>
                  <w:tcBorders>
                    <w:tl2br w:val="nil"/>
                    <w:tr2bl w:val="nil"/>
                  </w:tcBorders>
                  <w:noWrap w:val="0"/>
                  <w:vAlign w:val="center"/>
                </w:tcPr>
                <w:p w14:paraId="6EC47AA9">
                  <w:pPr>
                    <w:keepNext w:val="0"/>
                    <w:keepLines w:val="0"/>
                    <w:pageBreakBefore w:val="0"/>
                    <w:widowControl/>
                    <w:kinsoku/>
                    <w:wordWrap/>
                    <w:overflowPunct/>
                    <w:topLinePunct w:val="0"/>
                    <w:autoSpaceDE/>
                    <w:autoSpaceDN/>
                    <w:bidi w:val="0"/>
                    <w:adjustRightInd w:val="0"/>
                    <w:snapToGrid w:val="0"/>
                    <w:jc w:val="center"/>
                    <w:rPr>
                      <w:rFonts w:hint="default"/>
                      <w:color w:val="auto"/>
                      <w:sz w:val="18"/>
                      <w:szCs w:val="18"/>
                      <w:lang w:val="en-US" w:eastAsia="zh-CN"/>
                    </w:rPr>
                  </w:pPr>
                  <w:r>
                    <w:rPr>
                      <w:rFonts w:hint="eastAsia"/>
                      <w:color w:val="auto"/>
                      <w:kern w:val="0"/>
                      <w:sz w:val="18"/>
                      <w:szCs w:val="18"/>
                      <w:lang w:val="en-US" w:eastAsia="zh-CN"/>
                    </w:rPr>
                    <w:t>0.042</w:t>
                  </w:r>
                </w:p>
              </w:tc>
              <w:tc>
                <w:tcPr>
                  <w:tcW w:w="492" w:type="pct"/>
                  <w:tcBorders>
                    <w:tl2br w:val="nil"/>
                    <w:tr2bl w:val="nil"/>
                  </w:tcBorders>
                  <w:noWrap w:val="0"/>
                  <w:vAlign w:val="center"/>
                </w:tcPr>
                <w:p w14:paraId="6CD92306">
                  <w:pPr>
                    <w:pStyle w:val="656"/>
                    <w:snapToGrid w:val="0"/>
                    <w:rPr>
                      <w:rFonts w:hint="default" w:ascii="Times New Roman" w:hAnsi="Times New Roman" w:cs="Times New Roman"/>
                      <w:b w:val="0"/>
                      <w:bCs/>
                      <w:color w:val="auto"/>
                      <w:sz w:val="18"/>
                      <w:szCs w:val="18"/>
                      <w:highlight w:val="none"/>
                      <w:lang w:val="en-US" w:eastAsia="zh-CN"/>
                    </w:rPr>
                  </w:pPr>
                  <w:r>
                    <w:rPr>
                      <w:rFonts w:hint="eastAsia" w:eastAsia="宋体"/>
                      <w:color w:val="auto"/>
                      <w:sz w:val="18"/>
                      <w:szCs w:val="18"/>
                      <w:lang w:val="en-US" w:eastAsia="zh-CN"/>
                    </w:rPr>
                    <w:t>0.0212</w:t>
                  </w:r>
                </w:p>
              </w:tc>
              <w:tc>
                <w:tcPr>
                  <w:tcW w:w="621" w:type="pct"/>
                  <w:tcBorders>
                    <w:tl2br w:val="nil"/>
                    <w:tr2bl w:val="nil"/>
                  </w:tcBorders>
                  <w:noWrap w:val="0"/>
                  <w:vAlign w:val="center"/>
                </w:tcPr>
                <w:p w14:paraId="0DB43A36">
                  <w:pPr>
                    <w:keepNext w:val="0"/>
                    <w:keepLines w:val="0"/>
                    <w:widowControl/>
                    <w:suppressLineNumbers w:val="0"/>
                    <w:jc w:val="center"/>
                    <w:textAlignment w:val="center"/>
                    <w:rPr>
                      <w:rFonts w:hint="default" w:eastAsia="宋体"/>
                      <w:color w:val="auto"/>
                      <w:sz w:val="18"/>
                      <w:szCs w:val="18"/>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0.01696</w:t>
                  </w:r>
                </w:p>
              </w:tc>
              <w:tc>
                <w:tcPr>
                  <w:tcW w:w="569" w:type="pct"/>
                  <w:tcBorders>
                    <w:tl2br w:val="nil"/>
                    <w:tr2bl w:val="nil"/>
                  </w:tcBorders>
                  <w:noWrap w:val="0"/>
                  <w:vAlign w:val="center"/>
                </w:tcPr>
                <w:p w14:paraId="24432A81">
                  <w:pPr>
                    <w:pStyle w:val="656"/>
                    <w:snapToGrid w:val="0"/>
                    <w:rPr>
                      <w:rFonts w:hint="default" w:ascii="Times New Roman" w:hAnsi="Times New Roman" w:cs="Times New Roman"/>
                      <w:b w:val="0"/>
                      <w:bCs/>
                      <w:color w:val="auto"/>
                      <w:sz w:val="18"/>
                      <w:szCs w:val="18"/>
                      <w:highlight w:val="none"/>
                      <w:lang w:val="en-US" w:eastAsia="zh-CN"/>
                    </w:rPr>
                  </w:pPr>
                  <w:r>
                    <w:rPr>
                      <w:rFonts w:hint="eastAsia" w:eastAsia="宋体"/>
                      <w:color w:val="auto"/>
                      <w:sz w:val="18"/>
                      <w:szCs w:val="18"/>
                      <w:lang w:val="en-US" w:eastAsia="zh-CN"/>
                    </w:rPr>
                    <w:t>0.00424</w:t>
                  </w:r>
                </w:p>
              </w:tc>
              <w:tc>
                <w:tcPr>
                  <w:tcW w:w="462" w:type="pct"/>
                  <w:tcBorders>
                    <w:tl2br w:val="nil"/>
                    <w:tr2bl w:val="nil"/>
                  </w:tcBorders>
                  <w:noWrap w:val="0"/>
                  <w:vAlign w:val="center"/>
                </w:tcPr>
                <w:p w14:paraId="31CE0DA8">
                  <w:pPr>
                    <w:adjustRightInd w:val="0"/>
                    <w:snapToGrid w:val="0"/>
                    <w:jc w:val="center"/>
                    <w:rPr>
                      <w:rFonts w:hint="default"/>
                      <w:color w:val="auto"/>
                      <w:sz w:val="18"/>
                      <w:szCs w:val="18"/>
                      <w:lang w:val="en-US" w:eastAsia="zh-CN"/>
                    </w:rPr>
                  </w:pPr>
                  <w:r>
                    <w:rPr>
                      <w:rFonts w:hint="eastAsia"/>
                      <w:color w:val="auto"/>
                      <w:sz w:val="18"/>
                      <w:szCs w:val="18"/>
                      <w:lang w:val="en-US" w:eastAsia="zh-CN"/>
                    </w:rPr>
                    <w:t>0</w:t>
                  </w:r>
                </w:p>
              </w:tc>
              <w:tc>
                <w:tcPr>
                  <w:tcW w:w="588" w:type="pct"/>
                  <w:tcBorders>
                    <w:tl2br w:val="nil"/>
                    <w:tr2bl w:val="nil"/>
                  </w:tcBorders>
                  <w:noWrap w:val="0"/>
                  <w:vAlign w:val="center"/>
                </w:tcPr>
                <w:p w14:paraId="1635F982">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0.02344</w:t>
                  </w:r>
                </w:p>
              </w:tc>
              <w:tc>
                <w:tcPr>
                  <w:tcW w:w="486" w:type="pct"/>
                  <w:tcBorders>
                    <w:tl2br w:val="nil"/>
                    <w:tr2bl w:val="nil"/>
                  </w:tcBorders>
                  <w:noWrap w:val="0"/>
                  <w:vAlign w:val="center"/>
                </w:tcPr>
                <w:p w14:paraId="23CD1ED8">
                  <w:pPr>
                    <w:widowControl/>
                    <w:adjustRightInd w:val="0"/>
                    <w:snapToGrid w:val="0"/>
                    <w:jc w:val="center"/>
                    <w:rPr>
                      <w:rFonts w:hint="default"/>
                      <w:color w:val="auto"/>
                      <w:sz w:val="18"/>
                      <w:szCs w:val="18"/>
                      <w:lang w:val="en-US" w:eastAsia="zh-CN"/>
                    </w:rPr>
                  </w:pPr>
                  <w:r>
                    <w:rPr>
                      <w:rFonts w:hint="eastAsia" w:cs="Times New Roman"/>
                      <w:b w:val="0"/>
                      <w:bCs/>
                      <w:color w:val="auto"/>
                      <w:sz w:val="18"/>
                      <w:szCs w:val="18"/>
                      <w:highlight w:val="none"/>
                      <w:lang w:val="en-US" w:eastAsia="zh-CN"/>
                    </w:rPr>
                    <w:t>0</w:t>
                  </w:r>
                </w:p>
              </w:tc>
              <w:tc>
                <w:tcPr>
                  <w:tcW w:w="517" w:type="pct"/>
                  <w:tcBorders>
                    <w:tl2br w:val="nil"/>
                    <w:tr2bl w:val="nil"/>
                  </w:tcBorders>
                  <w:noWrap w:val="0"/>
                  <w:vAlign w:val="center"/>
                </w:tcPr>
                <w:p w14:paraId="4978EFDF">
                  <w:pPr>
                    <w:pStyle w:val="656"/>
                    <w:snapToGrid w:val="0"/>
                    <w:rPr>
                      <w:rFonts w:hint="default" w:ascii="Times New Roman" w:hAnsi="Times New Roman" w:cs="Times New Roman"/>
                      <w:b/>
                      <w:bCs/>
                      <w:color w:val="auto"/>
                      <w:sz w:val="18"/>
                      <w:szCs w:val="18"/>
                      <w:highlight w:val="none"/>
                      <w:lang w:val="en-US" w:eastAsia="zh-CN"/>
                    </w:rPr>
                  </w:pPr>
                  <w:r>
                    <w:rPr>
                      <w:rFonts w:hint="eastAsia" w:eastAsia="宋体"/>
                      <w:b/>
                      <w:bCs/>
                      <w:color w:val="auto"/>
                      <w:sz w:val="18"/>
                      <w:szCs w:val="18"/>
                      <w:lang w:val="en-US" w:eastAsia="zh-CN"/>
                    </w:rPr>
                    <w:t>0</w:t>
                  </w:r>
                </w:p>
              </w:tc>
            </w:tr>
            <w:tr w14:paraId="7A7852C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254" w:type="pct"/>
                  <w:vMerge w:val="continue"/>
                  <w:tcBorders>
                    <w:tl2br w:val="nil"/>
                    <w:tr2bl w:val="nil"/>
                  </w:tcBorders>
                  <w:noWrap w:val="0"/>
                  <w:vAlign w:val="center"/>
                </w:tcPr>
                <w:p w14:paraId="13190B9E">
                  <w:pPr>
                    <w:pStyle w:val="698"/>
                    <w:spacing w:line="240" w:lineRule="auto"/>
                    <w:jc w:val="center"/>
                    <w:rPr>
                      <w:rFonts w:hint="default" w:ascii="Times New Roman" w:hAnsi="Times New Roman" w:eastAsia="宋体" w:cs="Times New Roman"/>
                      <w:b w:val="0"/>
                      <w:bCs/>
                      <w:color w:val="auto"/>
                      <w:sz w:val="18"/>
                      <w:szCs w:val="18"/>
                      <w:highlight w:val="none"/>
                    </w:rPr>
                  </w:pPr>
                </w:p>
              </w:tc>
              <w:tc>
                <w:tcPr>
                  <w:tcW w:w="519" w:type="pct"/>
                  <w:tcBorders>
                    <w:tl2br w:val="nil"/>
                    <w:tr2bl w:val="nil"/>
                  </w:tcBorders>
                  <w:noWrap w:val="0"/>
                  <w:vAlign w:val="center"/>
                </w:tcPr>
                <w:p w14:paraId="416B597E">
                  <w:pPr>
                    <w:pStyle w:val="656"/>
                    <w:keepNext w:val="0"/>
                    <w:keepLines w:val="0"/>
                    <w:pageBreakBefore w:val="0"/>
                    <w:kinsoku/>
                    <w:wordWrap/>
                    <w:overflowPunct/>
                    <w:topLinePunct w:val="0"/>
                    <w:autoSpaceDE/>
                    <w:autoSpaceDN/>
                    <w:bidi w:val="0"/>
                    <w:adjustRightInd w:val="0"/>
                    <w:snapToGrid w:val="0"/>
                    <w:rPr>
                      <w:rFonts w:hint="eastAsia"/>
                      <w:color w:val="auto"/>
                      <w:sz w:val="18"/>
                      <w:szCs w:val="18"/>
                      <w:lang w:val="en-US" w:eastAsia="zh-CN"/>
                    </w:rPr>
                  </w:pPr>
                  <w:r>
                    <w:rPr>
                      <w:rFonts w:hint="eastAsia" w:eastAsia="宋体"/>
                      <w:color w:val="auto"/>
                      <w:sz w:val="18"/>
                      <w:szCs w:val="18"/>
                      <w:lang w:val="en-US" w:eastAsia="zh-CN"/>
                    </w:rPr>
                    <w:t>CO</w:t>
                  </w:r>
                </w:p>
              </w:tc>
              <w:tc>
                <w:tcPr>
                  <w:tcW w:w="487" w:type="pct"/>
                  <w:tcBorders>
                    <w:tl2br w:val="nil"/>
                    <w:tr2bl w:val="nil"/>
                  </w:tcBorders>
                  <w:noWrap w:val="0"/>
                  <w:vAlign w:val="center"/>
                </w:tcPr>
                <w:p w14:paraId="5EA760DB">
                  <w:pPr>
                    <w:keepNext w:val="0"/>
                    <w:keepLines w:val="0"/>
                    <w:pageBreakBefore w:val="0"/>
                    <w:widowControl/>
                    <w:kinsoku/>
                    <w:wordWrap/>
                    <w:overflowPunct/>
                    <w:topLinePunct w:val="0"/>
                    <w:autoSpaceDE/>
                    <w:autoSpaceDN/>
                    <w:bidi w:val="0"/>
                    <w:adjustRightInd w:val="0"/>
                    <w:snapToGrid w:val="0"/>
                    <w:jc w:val="center"/>
                    <w:rPr>
                      <w:rFonts w:hint="eastAsia"/>
                      <w:color w:val="auto"/>
                      <w:sz w:val="18"/>
                      <w:szCs w:val="18"/>
                      <w:lang w:val="en-US" w:eastAsia="zh-CN"/>
                    </w:rPr>
                  </w:pPr>
                  <w:r>
                    <w:rPr>
                      <w:rFonts w:hint="eastAsia"/>
                      <w:color w:val="auto"/>
                      <w:kern w:val="0"/>
                      <w:sz w:val="18"/>
                      <w:szCs w:val="18"/>
                      <w:lang w:val="en-US" w:eastAsia="zh-CN"/>
                    </w:rPr>
                    <w:t>0.8</w:t>
                  </w:r>
                </w:p>
              </w:tc>
              <w:tc>
                <w:tcPr>
                  <w:tcW w:w="860" w:type="dxa"/>
                  <w:tcBorders>
                    <w:tl2br w:val="nil"/>
                    <w:tr2bl w:val="nil"/>
                  </w:tcBorders>
                  <w:noWrap w:val="0"/>
                  <w:vAlign w:val="center"/>
                </w:tcPr>
                <w:p w14:paraId="039F367A">
                  <w:pPr>
                    <w:pStyle w:val="656"/>
                    <w:snapToGrid w:val="0"/>
                    <w:rPr>
                      <w:rFonts w:hint="default"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0.08</w:t>
                  </w:r>
                </w:p>
              </w:tc>
              <w:tc>
                <w:tcPr>
                  <w:tcW w:w="1085" w:type="dxa"/>
                  <w:tcBorders>
                    <w:tl2br w:val="nil"/>
                    <w:tr2bl w:val="nil"/>
                  </w:tcBorders>
                  <w:noWrap w:val="0"/>
                  <w:vAlign w:val="center"/>
                </w:tcPr>
                <w:p w14:paraId="424BF916">
                  <w:pPr>
                    <w:keepNext w:val="0"/>
                    <w:keepLines w:val="0"/>
                    <w:widowControl/>
                    <w:suppressLineNumbers w:val="0"/>
                    <w:jc w:val="center"/>
                    <w:textAlignment w:val="center"/>
                    <w:rPr>
                      <w:rFonts w:hint="default" w:eastAsia="宋体"/>
                      <w:color w:val="auto"/>
                      <w:sz w:val="18"/>
                      <w:szCs w:val="18"/>
                      <w:lang w:val="en-US" w:eastAsia="zh-CN"/>
                    </w:rPr>
                  </w:pPr>
                  <w:r>
                    <w:rPr>
                      <w:rFonts w:hint="eastAsia"/>
                      <w:color w:val="auto"/>
                      <w:sz w:val="18"/>
                      <w:szCs w:val="18"/>
                      <w:lang w:val="en-US" w:eastAsia="zh-CN"/>
                    </w:rPr>
                    <w:t>0.048</w:t>
                  </w:r>
                </w:p>
              </w:tc>
              <w:tc>
                <w:tcPr>
                  <w:tcW w:w="995" w:type="dxa"/>
                  <w:tcBorders>
                    <w:tl2br w:val="nil"/>
                    <w:tr2bl w:val="nil"/>
                  </w:tcBorders>
                  <w:noWrap w:val="0"/>
                  <w:vAlign w:val="center"/>
                </w:tcPr>
                <w:p w14:paraId="5A565E9A">
                  <w:pPr>
                    <w:pStyle w:val="656"/>
                    <w:snapToGrid w:val="0"/>
                    <w:rPr>
                      <w:rFonts w:hint="default"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0.032</w:t>
                  </w:r>
                </w:p>
              </w:tc>
              <w:tc>
                <w:tcPr>
                  <w:tcW w:w="462" w:type="pct"/>
                  <w:tcBorders>
                    <w:tl2br w:val="nil"/>
                    <w:tr2bl w:val="nil"/>
                  </w:tcBorders>
                  <w:noWrap w:val="0"/>
                  <w:vAlign w:val="center"/>
                </w:tcPr>
                <w:p w14:paraId="19B4D40B">
                  <w:pPr>
                    <w:widowControl/>
                    <w:adjustRightInd w:val="0"/>
                    <w:snapToGrid w:val="0"/>
                    <w:jc w:val="center"/>
                    <w:rPr>
                      <w:rFonts w:hint="eastAsia"/>
                      <w:color w:val="auto"/>
                      <w:sz w:val="18"/>
                      <w:szCs w:val="18"/>
                      <w:lang w:val="en-US" w:eastAsia="zh-CN"/>
                    </w:rPr>
                  </w:pPr>
                  <w:r>
                    <w:rPr>
                      <w:rFonts w:hint="eastAsia" w:cs="Times New Roman"/>
                      <w:b w:val="0"/>
                      <w:bCs/>
                      <w:color w:val="auto"/>
                      <w:sz w:val="18"/>
                      <w:szCs w:val="18"/>
                      <w:highlight w:val="none"/>
                      <w:lang w:val="en-US" w:eastAsia="zh-CN"/>
                    </w:rPr>
                    <w:t>0</w:t>
                  </w:r>
                </w:p>
              </w:tc>
              <w:tc>
                <w:tcPr>
                  <w:tcW w:w="588" w:type="pct"/>
                  <w:tcBorders>
                    <w:tl2br w:val="nil"/>
                    <w:tr2bl w:val="nil"/>
                  </w:tcBorders>
                  <w:noWrap w:val="0"/>
                  <w:vAlign w:val="center"/>
                </w:tcPr>
                <w:p w14:paraId="7CB62C52">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0.2344</w:t>
                  </w:r>
                </w:p>
              </w:tc>
              <w:tc>
                <w:tcPr>
                  <w:tcW w:w="486" w:type="pct"/>
                  <w:tcBorders>
                    <w:tl2br w:val="nil"/>
                    <w:tr2bl w:val="nil"/>
                  </w:tcBorders>
                  <w:noWrap w:val="0"/>
                  <w:vAlign w:val="center"/>
                </w:tcPr>
                <w:p w14:paraId="5B3AD837">
                  <w:pPr>
                    <w:pStyle w:val="656"/>
                    <w:snapToGrid w:val="0"/>
                    <w:rPr>
                      <w:rFonts w:hint="eastAsia"/>
                      <w:color w:val="auto"/>
                      <w:sz w:val="18"/>
                      <w:szCs w:val="18"/>
                      <w:lang w:val="en-US" w:eastAsia="zh-CN"/>
                    </w:rPr>
                  </w:pPr>
                  <w:r>
                    <w:rPr>
                      <w:rFonts w:hint="eastAsia"/>
                      <w:color w:val="auto"/>
                      <w:sz w:val="18"/>
                      <w:szCs w:val="18"/>
                      <w:lang w:val="en-US" w:eastAsia="zh-CN"/>
                    </w:rPr>
                    <w:t>0</w:t>
                  </w:r>
                </w:p>
              </w:tc>
              <w:tc>
                <w:tcPr>
                  <w:tcW w:w="517" w:type="pct"/>
                  <w:tcBorders>
                    <w:tl2br w:val="nil"/>
                    <w:tr2bl w:val="nil"/>
                  </w:tcBorders>
                  <w:noWrap w:val="0"/>
                  <w:vAlign w:val="center"/>
                </w:tcPr>
                <w:p w14:paraId="474C4278">
                  <w:pPr>
                    <w:pStyle w:val="656"/>
                    <w:snapToGrid w:val="0"/>
                    <w:rPr>
                      <w:rFonts w:hint="eastAsia" w:cs="Times New Roman"/>
                      <w:b/>
                      <w:bCs/>
                      <w:color w:val="auto"/>
                      <w:sz w:val="18"/>
                      <w:szCs w:val="18"/>
                      <w:highlight w:val="none"/>
                      <w:lang w:val="en-US" w:eastAsia="zh-CN"/>
                    </w:rPr>
                  </w:pPr>
                  <w:r>
                    <w:rPr>
                      <w:rFonts w:hint="eastAsia" w:eastAsia="宋体"/>
                      <w:b/>
                      <w:bCs/>
                      <w:color w:val="auto"/>
                      <w:sz w:val="18"/>
                      <w:szCs w:val="18"/>
                      <w:lang w:val="en-US" w:eastAsia="zh-CN"/>
                    </w:rPr>
                    <w:t>0</w:t>
                  </w:r>
                </w:p>
              </w:tc>
            </w:tr>
            <w:tr w14:paraId="2CFBFC7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254" w:type="pct"/>
                  <w:vMerge w:val="continue"/>
                  <w:tcBorders>
                    <w:tl2br w:val="nil"/>
                    <w:tr2bl w:val="nil"/>
                  </w:tcBorders>
                  <w:noWrap w:val="0"/>
                  <w:vAlign w:val="center"/>
                </w:tcPr>
                <w:p w14:paraId="2E33F22E">
                  <w:pPr>
                    <w:pStyle w:val="698"/>
                    <w:spacing w:line="240" w:lineRule="auto"/>
                    <w:jc w:val="center"/>
                    <w:rPr>
                      <w:rFonts w:hint="default" w:ascii="Times New Roman" w:hAnsi="Times New Roman" w:eastAsia="宋体" w:cs="Times New Roman"/>
                      <w:b w:val="0"/>
                      <w:bCs/>
                      <w:color w:val="auto"/>
                      <w:sz w:val="18"/>
                      <w:szCs w:val="18"/>
                      <w:highlight w:val="none"/>
                    </w:rPr>
                  </w:pPr>
                </w:p>
              </w:tc>
              <w:tc>
                <w:tcPr>
                  <w:tcW w:w="519" w:type="pct"/>
                  <w:tcBorders>
                    <w:tl2br w:val="nil"/>
                    <w:tr2bl w:val="nil"/>
                  </w:tcBorders>
                  <w:noWrap w:val="0"/>
                  <w:vAlign w:val="center"/>
                </w:tcPr>
                <w:p w14:paraId="7F0E8EB7">
                  <w:pPr>
                    <w:pStyle w:val="656"/>
                    <w:keepNext w:val="0"/>
                    <w:keepLines w:val="0"/>
                    <w:pageBreakBefore w:val="0"/>
                    <w:kinsoku/>
                    <w:wordWrap/>
                    <w:overflowPunct/>
                    <w:topLinePunct w:val="0"/>
                    <w:autoSpaceDE/>
                    <w:autoSpaceDN/>
                    <w:bidi w:val="0"/>
                    <w:adjustRightInd w:val="0"/>
                    <w:snapToGrid w:val="0"/>
                    <w:rPr>
                      <w:rFonts w:hint="eastAsia"/>
                      <w:color w:val="auto"/>
                      <w:sz w:val="18"/>
                      <w:szCs w:val="18"/>
                      <w:lang w:val="en-US" w:eastAsia="zh-CN"/>
                    </w:rPr>
                  </w:pPr>
                  <w:r>
                    <w:rPr>
                      <w:rFonts w:hint="eastAsia" w:eastAsia="宋体"/>
                      <w:color w:val="auto"/>
                      <w:sz w:val="18"/>
                      <w:szCs w:val="18"/>
                      <w:lang w:val="en-US" w:eastAsia="zh-CN"/>
                    </w:rPr>
                    <w:t>HCl</w:t>
                  </w:r>
                </w:p>
              </w:tc>
              <w:tc>
                <w:tcPr>
                  <w:tcW w:w="487" w:type="pct"/>
                  <w:tcBorders>
                    <w:tl2br w:val="nil"/>
                    <w:tr2bl w:val="nil"/>
                  </w:tcBorders>
                  <w:noWrap w:val="0"/>
                  <w:vAlign w:val="center"/>
                </w:tcPr>
                <w:p w14:paraId="003C27C1">
                  <w:pPr>
                    <w:keepNext w:val="0"/>
                    <w:keepLines w:val="0"/>
                    <w:pageBreakBefore w:val="0"/>
                    <w:widowControl/>
                    <w:kinsoku/>
                    <w:wordWrap/>
                    <w:overflowPunct/>
                    <w:topLinePunct w:val="0"/>
                    <w:autoSpaceDE/>
                    <w:autoSpaceDN/>
                    <w:bidi w:val="0"/>
                    <w:adjustRightInd w:val="0"/>
                    <w:snapToGrid w:val="0"/>
                    <w:jc w:val="center"/>
                    <w:rPr>
                      <w:rFonts w:hint="eastAsia"/>
                      <w:color w:val="auto"/>
                      <w:sz w:val="18"/>
                      <w:szCs w:val="18"/>
                      <w:lang w:val="en-US" w:eastAsia="zh-CN"/>
                    </w:rPr>
                  </w:pPr>
                  <w:r>
                    <w:rPr>
                      <w:rFonts w:hint="eastAsia"/>
                      <w:color w:val="auto"/>
                      <w:kern w:val="0"/>
                      <w:sz w:val="18"/>
                      <w:szCs w:val="18"/>
                      <w:lang w:val="en-US" w:eastAsia="zh-CN"/>
                    </w:rPr>
                    <w:t>0.2</w:t>
                  </w:r>
                </w:p>
              </w:tc>
              <w:tc>
                <w:tcPr>
                  <w:tcW w:w="492" w:type="pct"/>
                  <w:tcBorders>
                    <w:tl2br w:val="nil"/>
                    <w:tr2bl w:val="nil"/>
                  </w:tcBorders>
                  <w:noWrap w:val="0"/>
                  <w:vAlign w:val="center"/>
                </w:tcPr>
                <w:p w14:paraId="00C45990">
                  <w:pPr>
                    <w:pStyle w:val="656"/>
                    <w:snapToGrid w:val="0"/>
                    <w:rPr>
                      <w:rFonts w:hint="eastAsia" w:cs="Times New Roman"/>
                      <w:b w:val="0"/>
                      <w:bCs/>
                      <w:color w:val="auto"/>
                      <w:sz w:val="18"/>
                      <w:szCs w:val="18"/>
                      <w:highlight w:val="none"/>
                      <w:lang w:val="en-US" w:eastAsia="zh-CN"/>
                    </w:rPr>
                  </w:pPr>
                  <w:r>
                    <w:rPr>
                      <w:rFonts w:hint="eastAsia" w:eastAsia="宋体"/>
                      <w:color w:val="auto"/>
                      <w:sz w:val="18"/>
                      <w:szCs w:val="18"/>
                      <w:lang w:val="en-US" w:eastAsia="zh-CN"/>
                    </w:rPr>
                    <w:t>0.212</w:t>
                  </w:r>
                </w:p>
              </w:tc>
              <w:tc>
                <w:tcPr>
                  <w:tcW w:w="621" w:type="pct"/>
                  <w:tcBorders>
                    <w:tl2br w:val="nil"/>
                    <w:tr2bl w:val="nil"/>
                  </w:tcBorders>
                  <w:noWrap w:val="0"/>
                  <w:vAlign w:val="center"/>
                </w:tcPr>
                <w:p w14:paraId="18F7B354">
                  <w:pPr>
                    <w:keepNext w:val="0"/>
                    <w:keepLines w:val="0"/>
                    <w:widowControl/>
                    <w:suppressLineNumbers w:val="0"/>
                    <w:jc w:val="center"/>
                    <w:textAlignment w:val="center"/>
                    <w:rPr>
                      <w:rFonts w:hint="eastAsia" w:eastAsia="宋体"/>
                      <w:color w:val="auto"/>
                      <w:sz w:val="18"/>
                      <w:szCs w:val="18"/>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0.1908</w:t>
                  </w:r>
                </w:p>
              </w:tc>
              <w:tc>
                <w:tcPr>
                  <w:tcW w:w="569" w:type="pct"/>
                  <w:tcBorders>
                    <w:tl2br w:val="nil"/>
                    <w:tr2bl w:val="nil"/>
                  </w:tcBorders>
                  <w:noWrap w:val="0"/>
                  <w:vAlign w:val="center"/>
                </w:tcPr>
                <w:p w14:paraId="6A4E57D0">
                  <w:pPr>
                    <w:pStyle w:val="656"/>
                    <w:snapToGrid w:val="0"/>
                    <w:rPr>
                      <w:rFonts w:hint="eastAsia" w:cs="Times New Roman"/>
                      <w:b w:val="0"/>
                      <w:bCs/>
                      <w:color w:val="auto"/>
                      <w:sz w:val="18"/>
                      <w:szCs w:val="18"/>
                      <w:highlight w:val="none"/>
                      <w:lang w:val="en-US" w:eastAsia="zh-CN"/>
                    </w:rPr>
                  </w:pPr>
                  <w:r>
                    <w:rPr>
                      <w:rFonts w:hint="eastAsia" w:eastAsia="宋体"/>
                      <w:color w:val="auto"/>
                      <w:sz w:val="18"/>
                      <w:szCs w:val="18"/>
                      <w:lang w:val="en-US" w:eastAsia="zh-CN"/>
                    </w:rPr>
                    <w:t>0.0212</w:t>
                  </w:r>
                </w:p>
              </w:tc>
              <w:tc>
                <w:tcPr>
                  <w:tcW w:w="462" w:type="pct"/>
                  <w:tcBorders>
                    <w:tl2br w:val="nil"/>
                    <w:tr2bl w:val="nil"/>
                  </w:tcBorders>
                  <w:noWrap w:val="0"/>
                  <w:vAlign w:val="center"/>
                </w:tcPr>
                <w:p w14:paraId="623A23DB">
                  <w:pPr>
                    <w:adjustRightInd w:val="0"/>
                    <w:snapToGrid w:val="0"/>
                    <w:jc w:val="center"/>
                    <w:rPr>
                      <w:rFonts w:hint="eastAsia"/>
                      <w:color w:val="auto"/>
                      <w:sz w:val="18"/>
                      <w:szCs w:val="18"/>
                      <w:lang w:val="en-US" w:eastAsia="zh-CN"/>
                    </w:rPr>
                  </w:pPr>
                  <w:r>
                    <w:rPr>
                      <w:rFonts w:hint="eastAsia"/>
                      <w:color w:val="auto"/>
                      <w:sz w:val="18"/>
                      <w:szCs w:val="18"/>
                      <w:lang w:val="en-US" w:eastAsia="zh-CN"/>
                    </w:rPr>
                    <w:t>0</w:t>
                  </w:r>
                </w:p>
              </w:tc>
              <w:tc>
                <w:tcPr>
                  <w:tcW w:w="588" w:type="pct"/>
                  <w:tcBorders>
                    <w:tl2br w:val="nil"/>
                    <w:tr2bl w:val="nil"/>
                  </w:tcBorders>
                  <w:noWrap w:val="0"/>
                  <w:vAlign w:val="center"/>
                </w:tcPr>
                <w:p w14:paraId="7BA0393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0.1172</w:t>
                  </w:r>
                </w:p>
              </w:tc>
              <w:tc>
                <w:tcPr>
                  <w:tcW w:w="486" w:type="pct"/>
                  <w:tcBorders>
                    <w:tl2br w:val="nil"/>
                    <w:tr2bl w:val="nil"/>
                  </w:tcBorders>
                  <w:noWrap w:val="0"/>
                  <w:vAlign w:val="center"/>
                </w:tcPr>
                <w:p w14:paraId="0540C09D">
                  <w:pPr>
                    <w:widowControl/>
                    <w:adjustRightInd w:val="0"/>
                    <w:snapToGrid w:val="0"/>
                    <w:jc w:val="center"/>
                    <w:rPr>
                      <w:rFonts w:hint="eastAsia"/>
                      <w:color w:val="auto"/>
                      <w:sz w:val="18"/>
                      <w:szCs w:val="18"/>
                      <w:lang w:val="en-US" w:eastAsia="zh-CN"/>
                    </w:rPr>
                  </w:pPr>
                  <w:r>
                    <w:rPr>
                      <w:rFonts w:hint="eastAsia" w:cs="Times New Roman"/>
                      <w:b w:val="0"/>
                      <w:bCs/>
                      <w:color w:val="auto"/>
                      <w:sz w:val="18"/>
                      <w:szCs w:val="18"/>
                      <w:highlight w:val="none"/>
                      <w:lang w:val="en-US" w:eastAsia="zh-CN"/>
                    </w:rPr>
                    <w:t>0</w:t>
                  </w:r>
                </w:p>
              </w:tc>
              <w:tc>
                <w:tcPr>
                  <w:tcW w:w="517" w:type="pct"/>
                  <w:tcBorders>
                    <w:tl2br w:val="nil"/>
                    <w:tr2bl w:val="nil"/>
                  </w:tcBorders>
                  <w:noWrap w:val="0"/>
                  <w:vAlign w:val="center"/>
                </w:tcPr>
                <w:p w14:paraId="1553074A">
                  <w:pPr>
                    <w:pStyle w:val="656"/>
                    <w:snapToGrid w:val="0"/>
                    <w:rPr>
                      <w:rFonts w:hint="eastAsia" w:cs="Times New Roman"/>
                      <w:b/>
                      <w:bCs/>
                      <w:color w:val="auto"/>
                      <w:sz w:val="18"/>
                      <w:szCs w:val="18"/>
                      <w:highlight w:val="none"/>
                      <w:lang w:val="en-US" w:eastAsia="zh-CN"/>
                    </w:rPr>
                  </w:pPr>
                  <w:r>
                    <w:rPr>
                      <w:rFonts w:hint="eastAsia" w:eastAsia="宋体"/>
                      <w:b/>
                      <w:bCs/>
                      <w:color w:val="auto"/>
                      <w:sz w:val="18"/>
                      <w:szCs w:val="18"/>
                      <w:lang w:val="en-US" w:eastAsia="zh-CN"/>
                    </w:rPr>
                    <w:t>0</w:t>
                  </w:r>
                </w:p>
              </w:tc>
            </w:tr>
            <w:tr w14:paraId="0A3CC0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254" w:type="pct"/>
                  <w:vMerge w:val="continue"/>
                  <w:tcBorders>
                    <w:tl2br w:val="nil"/>
                    <w:tr2bl w:val="nil"/>
                  </w:tcBorders>
                  <w:noWrap w:val="0"/>
                  <w:vAlign w:val="center"/>
                </w:tcPr>
                <w:p w14:paraId="24C9EAF0">
                  <w:pPr>
                    <w:pStyle w:val="698"/>
                    <w:spacing w:line="240" w:lineRule="auto"/>
                    <w:jc w:val="center"/>
                    <w:rPr>
                      <w:rFonts w:hint="default" w:ascii="Times New Roman" w:hAnsi="Times New Roman" w:eastAsia="宋体" w:cs="Times New Roman"/>
                      <w:b w:val="0"/>
                      <w:bCs/>
                      <w:color w:val="auto"/>
                      <w:sz w:val="18"/>
                      <w:szCs w:val="18"/>
                      <w:highlight w:val="none"/>
                    </w:rPr>
                  </w:pPr>
                </w:p>
              </w:tc>
              <w:tc>
                <w:tcPr>
                  <w:tcW w:w="519" w:type="pct"/>
                  <w:tcBorders>
                    <w:tl2br w:val="nil"/>
                    <w:tr2bl w:val="nil"/>
                  </w:tcBorders>
                  <w:noWrap w:val="0"/>
                  <w:vAlign w:val="center"/>
                </w:tcPr>
                <w:p w14:paraId="5AE7B5ED">
                  <w:pPr>
                    <w:pStyle w:val="656"/>
                    <w:keepNext w:val="0"/>
                    <w:keepLines w:val="0"/>
                    <w:pageBreakBefore w:val="0"/>
                    <w:kinsoku/>
                    <w:wordWrap/>
                    <w:overflowPunct/>
                    <w:topLinePunct w:val="0"/>
                    <w:autoSpaceDE/>
                    <w:autoSpaceDN/>
                    <w:bidi w:val="0"/>
                    <w:adjustRightInd w:val="0"/>
                    <w:snapToGrid w:val="0"/>
                    <w:rPr>
                      <w:rFonts w:hint="eastAsia"/>
                      <w:color w:val="auto"/>
                      <w:sz w:val="18"/>
                      <w:szCs w:val="18"/>
                      <w:lang w:val="en-US" w:eastAsia="zh-CN"/>
                    </w:rPr>
                  </w:pPr>
                  <w:r>
                    <w:rPr>
                      <w:rFonts w:hint="eastAsia" w:eastAsia="宋体"/>
                      <w:color w:val="auto"/>
                      <w:sz w:val="18"/>
                      <w:szCs w:val="18"/>
                      <w:lang w:val="en-US" w:eastAsia="zh-CN"/>
                    </w:rPr>
                    <w:t>非甲烷总烃</w:t>
                  </w:r>
                </w:p>
              </w:tc>
              <w:tc>
                <w:tcPr>
                  <w:tcW w:w="487" w:type="pct"/>
                  <w:tcBorders>
                    <w:tl2br w:val="nil"/>
                    <w:tr2bl w:val="nil"/>
                  </w:tcBorders>
                  <w:noWrap w:val="0"/>
                  <w:vAlign w:val="center"/>
                </w:tcPr>
                <w:p w14:paraId="4685E2DC">
                  <w:pPr>
                    <w:keepNext w:val="0"/>
                    <w:keepLines w:val="0"/>
                    <w:pageBreakBefore w:val="0"/>
                    <w:widowControl/>
                    <w:kinsoku/>
                    <w:wordWrap/>
                    <w:overflowPunct/>
                    <w:topLinePunct w:val="0"/>
                    <w:autoSpaceDE/>
                    <w:autoSpaceDN/>
                    <w:bidi w:val="0"/>
                    <w:adjustRightInd w:val="0"/>
                    <w:snapToGrid w:val="0"/>
                    <w:jc w:val="center"/>
                    <w:rPr>
                      <w:rFonts w:hint="default"/>
                      <w:color w:val="auto"/>
                      <w:sz w:val="18"/>
                      <w:szCs w:val="18"/>
                      <w:lang w:val="en-US" w:eastAsia="zh-CN"/>
                    </w:rPr>
                  </w:pPr>
                  <w:r>
                    <w:rPr>
                      <w:rFonts w:hint="eastAsia"/>
                      <w:color w:val="auto"/>
                      <w:kern w:val="0"/>
                      <w:sz w:val="18"/>
                      <w:szCs w:val="18"/>
                      <w:lang w:val="en-US" w:eastAsia="zh-CN"/>
                    </w:rPr>
                    <w:t>1.7635</w:t>
                  </w:r>
                </w:p>
              </w:tc>
              <w:tc>
                <w:tcPr>
                  <w:tcW w:w="492" w:type="pct"/>
                  <w:tcBorders>
                    <w:tl2br w:val="nil"/>
                    <w:tr2bl w:val="nil"/>
                  </w:tcBorders>
                  <w:noWrap w:val="0"/>
                  <w:vAlign w:val="center"/>
                </w:tcPr>
                <w:p w14:paraId="40EC1154">
                  <w:pPr>
                    <w:pStyle w:val="656"/>
                    <w:snapToGrid w:val="0"/>
                    <w:rPr>
                      <w:rFonts w:hint="eastAsia" w:cs="Times New Roman"/>
                      <w:b w:val="0"/>
                      <w:bCs/>
                      <w:color w:val="auto"/>
                      <w:sz w:val="18"/>
                      <w:szCs w:val="18"/>
                      <w:highlight w:val="none"/>
                      <w:lang w:val="en-US" w:eastAsia="zh-CN"/>
                    </w:rPr>
                  </w:pPr>
                  <w:r>
                    <w:rPr>
                      <w:rFonts w:hint="eastAsia" w:eastAsia="宋体"/>
                      <w:color w:val="auto"/>
                      <w:sz w:val="18"/>
                      <w:szCs w:val="18"/>
                      <w:lang w:val="en-US" w:eastAsia="zh-CN"/>
                    </w:rPr>
                    <w:t>0.0017</w:t>
                  </w:r>
                </w:p>
              </w:tc>
              <w:tc>
                <w:tcPr>
                  <w:tcW w:w="621" w:type="pct"/>
                  <w:tcBorders>
                    <w:tl2br w:val="nil"/>
                    <w:tr2bl w:val="nil"/>
                  </w:tcBorders>
                  <w:noWrap w:val="0"/>
                  <w:vAlign w:val="center"/>
                </w:tcPr>
                <w:p w14:paraId="2F87B8EE">
                  <w:pPr>
                    <w:keepNext w:val="0"/>
                    <w:keepLines w:val="0"/>
                    <w:widowControl/>
                    <w:suppressLineNumbers w:val="0"/>
                    <w:jc w:val="center"/>
                    <w:textAlignment w:val="center"/>
                    <w:rPr>
                      <w:rFonts w:hint="eastAsia" w:eastAsia="宋体"/>
                      <w:color w:val="auto"/>
                      <w:sz w:val="18"/>
                      <w:szCs w:val="18"/>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w:t>
                  </w:r>
                </w:p>
              </w:tc>
              <w:tc>
                <w:tcPr>
                  <w:tcW w:w="569" w:type="pct"/>
                  <w:tcBorders>
                    <w:tl2br w:val="nil"/>
                    <w:tr2bl w:val="nil"/>
                  </w:tcBorders>
                  <w:noWrap w:val="0"/>
                  <w:vAlign w:val="center"/>
                </w:tcPr>
                <w:p w14:paraId="67D0CAD3">
                  <w:pPr>
                    <w:pStyle w:val="656"/>
                    <w:snapToGrid w:val="0"/>
                    <w:rPr>
                      <w:rFonts w:hint="eastAsia" w:cs="Times New Roman"/>
                      <w:b w:val="0"/>
                      <w:bCs/>
                      <w:color w:val="auto"/>
                      <w:sz w:val="18"/>
                      <w:szCs w:val="18"/>
                      <w:highlight w:val="none"/>
                      <w:lang w:val="en-US" w:eastAsia="zh-CN"/>
                    </w:rPr>
                  </w:pPr>
                  <w:r>
                    <w:rPr>
                      <w:rFonts w:hint="eastAsia" w:eastAsia="宋体"/>
                      <w:color w:val="auto"/>
                      <w:sz w:val="18"/>
                      <w:szCs w:val="18"/>
                      <w:lang w:val="en-US" w:eastAsia="zh-CN"/>
                    </w:rPr>
                    <w:t>0.0017</w:t>
                  </w:r>
                </w:p>
              </w:tc>
              <w:tc>
                <w:tcPr>
                  <w:tcW w:w="462" w:type="pct"/>
                  <w:tcBorders>
                    <w:tl2br w:val="nil"/>
                    <w:tr2bl w:val="nil"/>
                  </w:tcBorders>
                  <w:noWrap w:val="0"/>
                  <w:vAlign w:val="center"/>
                </w:tcPr>
                <w:p w14:paraId="6ED37905">
                  <w:pPr>
                    <w:widowControl/>
                    <w:adjustRightInd w:val="0"/>
                    <w:snapToGrid w:val="0"/>
                    <w:jc w:val="center"/>
                    <w:rPr>
                      <w:rFonts w:hint="eastAsia"/>
                      <w:color w:val="auto"/>
                      <w:sz w:val="18"/>
                      <w:szCs w:val="18"/>
                      <w:lang w:val="en-US" w:eastAsia="zh-CN"/>
                    </w:rPr>
                  </w:pPr>
                  <w:r>
                    <w:rPr>
                      <w:rFonts w:hint="eastAsia" w:cs="Times New Roman"/>
                      <w:b w:val="0"/>
                      <w:bCs/>
                      <w:color w:val="auto"/>
                      <w:sz w:val="18"/>
                      <w:szCs w:val="18"/>
                      <w:highlight w:val="none"/>
                      <w:lang w:val="en-US" w:eastAsia="zh-CN"/>
                    </w:rPr>
                    <w:t>0</w:t>
                  </w:r>
                </w:p>
              </w:tc>
              <w:tc>
                <w:tcPr>
                  <w:tcW w:w="588" w:type="pct"/>
                  <w:tcBorders>
                    <w:tl2br w:val="nil"/>
                    <w:tr2bl w:val="nil"/>
                  </w:tcBorders>
                  <w:noWrap w:val="0"/>
                  <w:vAlign w:val="center"/>
                </w:tcPr>
                <w:p w14:paraId="709B747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0.1653</w:t>
                  </w:r>
                </w:p>
              </w:tc>
              <w:tc>
                <w:tcPr>
                  <w:tcW w:w="486" w:type="pct"/>
                  <w:tcBorders>
                    <w:tl2br w:val="nil"/>
                    <w:tr2bl w:val="nil"/>
                  </w:tcBorders>
                  <w:noWrap w:val="0"/>
                  <w:vAlign w:val="center"/>
                </w:tcPr>
                <w:p w14:paraId="1F1F4C17">
                  <w:pPr>
                    <w:pStyle w:val="656"/>
                    <w:snapToGrid w:val="0"/>
                    <w:rPr>
                      <w:rFonts w:hint="eastAsia"/>
                      <w:color w:val="auto"/>
                      <w:sz w:val="18"/>
                      <w:szCs w:val="18"/>
                      <w:lang w:val="en-US" w:eastAsia="zh-CN"/>
                    </w:rPr>
                  </w:pPr>
                  <w:r>
                    <w:rPr>
                      <w:rFonts w:hint="eastAsia"/>
                      <w:color w:val="auto"/>
                      <w:sz w:val="18"/>
                      <w:szCs w:val="18"/>
                      <w:lang w:val="en-US" w:eastAsia="zh-CN"/>
                    </w:rPr>
                    <w:t>0</w:t>
                  </w:r>
                </w:p>
              </w:tc>
              <w:tc>
                <w:tcPr>
                  <w:tcW w:w="517" w:type="pct"/>
                  <w:tcBorders>
                    <w:tl2br w:val="nil"/>
                    <w:tr2bl w:val="nil"/>
                  </w:tcBorders>
                  <w:noWrap w:val="0"/>
                  <w:vAlign w:val="center"/>
                </w:tcPr>
                <w:p w14:paraId="75DBBEF5">
                  <w:pPr>
                    <w:pStyle w:val="656"/>
                    <w:snapToGrid w:val="0"/>
                    <w:rPr>
                      <w:rFonts w:hint="eastAsia" w:cs="Times New Roman"/>
                      <w:b/>
                      <w:bCs/>
                      <w:color w:val="auto"/>
                      <w:sz w:val="18"/>
                      <w:szCs w:val="18"/>
                      <w:highlight w:val="none"/>
                      <w:lang w:val="en-US" w:eastAsia="zh-CN"/>
                    </w:rPr>
                  </w:pPr>
                  <w:r>
                    <w:rPr>
                      <w:rFonts w:hint="eastAsia" w:eastAsia="宋体"/>
                      <w:b/>
                      <w:bCs/>
                      <w:color w:val="auto"/>
                      <w:sz w:val="18"/>
                      <w:szCs w:val="18"/>
                      <w:lang w:val="en-US" w:eastAsia="zh-CN"/>
                    </w:rPr>
                    <w:t>0</w:t>
                  </w:r>
                </w:p>
              </w:tc>
            </w:tr>
            <w:tr w14:paraId="4CD62E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254" w:type="pct"/>
                  <w:vMerge w:val="continue"/>
                  <w:tcBorders>
                    <w:tl2br w:val="nil"/>
                    <w:tr2bl w:val="nil"/>
                  </w:tcBorders>
                  <w:noWrap w:val="0"/>
                  <w:vAlign w:val="center"/>
                </w:tcPr>
                <w:p w14:paraId="654460E3">
                  <w:pPr>
                    <w:pStyle w:val="698"/>
                    <w:spacing w:line="240" w:lineRule="auto"/>
                    <w:jc w:val="center"/>
                    <w:rPr>
                      <w:rFonts w:hint="default" w:ascii="Times New Roman" w:hAnsi="Times New Roman" w:eastAsia="宋体" w:cs="Times New Roman"/>
                      <w:b w:val="0"/>
                      <w:bCs/>
                      <w:color w:val="auto"/>
                      <w:sz w:val="18"/>
                      <w:szCs w:val="18"/>
                      <w:highlight w:val="none"/>
                    </w:rPr>
                  </w:pPr>
                </w:p>
              </w:tc>
              <w:tc>
                <w:tcPr>
                  <w:tcW w:w="519" w:type="pct"/>
                  <w:tcBorders>
                    <w:tl2br w:val="nil"/>
                    <w:tr2bl w:val="nil"/>
                  </w:tcBorders>
                  <w:noWrap w:val="0"/>
                  <w:vAlign w:val="center"/>
                </w:tcPr>
                <w:p w14:paraId="0CDBEB4A">
                  <w:pPr>
                    <w:pStyle w:val="656"/>
                    <w:keepNext w:val="0"/>
                    <w:keepLines w:val="0"/>
                    <w:pageBreakBefore w:val="0"/>
                    <w:kinsoku/>
                    <w:wordWrap/>
                    <w:overflowPunct/>
                    <w:topLinePunct w:val="0"/>
                    <w:autoSpaceDE/>
                    <w:autoSpaceDN/>
                    <w:bidi w:val="0"/>
                    <w:adjustRightInd w:val="0"/>
                    <w:snapToGrid w:val="0"/>
                    <w:rPr>
                      <w:rFonts w:hint="eastAsia"/>
                      <w:color w:val="auto"/>
                      <w:sz w:val="18"/>
                      <w:szCs w:val="18"/>
                      <w:lang w:val="en-US" w:eastAsia="zh-CN"/>
                    </w:rPr>
                  </w:pPr>
                  <w:r>
                    <w:rPr>
                      <w:rFonts w:hint="eastAsia" w:eastAsia="宋体"/>
                      <w:color w:val="auto"/>
                      <w:sz w:val="18"/>
                      <w:szCs w:val="18"/>
                      <w:lang w:val="en-US" w:eastAsia="zh-CN"/>
                    </w:rPr>
                    <w:t>铜及其化合物（以Cu计）</w:t>
                  </w:r>
                </w:p>
              </w:tc>
              <w:tc>
                <w:tcPr>
                  <w:tcW w:w="487" w:type="pct"/>
                  <w:tcBorders>
                    <w:tl2br w:val="nil"/>
                    <w:tr2bl w:val="nil"/>
                  </w:tcBorders>
                  <w:noWrap w:val="0"/>
                  <w:vAlign w:val="center"/>
                </w:tcPr>
                <w:p w14:paraId="68A570F4">
                  <w:pPr>
                    <w:keepNext w:val="0"/>
                    <w:keepLines w:val="0"/>
                    <w:pageBreakBefore w:val="0"/>
                    <w:widowControl/>
                    <w:kinsoku/>
                    <w:wordWrap/>
                    <w:overflowPunct/>
                    <w:topLinePunct w:val="0"/>
                    <w:autoSpaceDE/>
                    <w:autoSpaceDN/>
                    <w:bidi w:val="0"/>
                    <w:adjustRightInd w:val="0"/>
                    <w:snapToGrid w:val="0"/>
                    <w:jc w:val="center"/>
                    <w:rPr>
                      <w:rFonts w:hint="eastAsia"/>
                      <w:color w:val="auto"/>
                      <w:sz w:val="18"/>
                      <w:szCs w:val="18"/>
                      <w:lang w:val="en-US" w:eastAsia="zh-CN"/>
                    </w:rPr>
                  </w:pPr>
                  <w:r>
                    <w:rPr>
                      <w:rFonts w:hint="eastAsia"/>
                      <w:color w:val="auto"/>
                      <w:kern w:val="0"/>
                      <w:sz w:val="18"/>
                      <w:szCs w:val="18"/>
                      <w:lang w:val="en-US" w:eastAsia="zh-CN"/>
                    </w:rPr>
                    <w:t>0.011</w:t>
                  </w:r>
                </w:p>
              </w:tc>
              <w:tc>
                <w:tcPr>
                  <w:tcW w:w="492" w:type="pct"/>
                  <w:tcBorders>
                    <w:tl2br w:val="nil"/>
                    <w:tr2bl w:val="nil"/>
                  </w:tcBorders>
                  <w:noWrap w:val="0"/>
                  <w:vAlign w:val="center"/>
                </w:tcPr>
                <w:p w14:paraId="3EB6A646">
                  <w:pPr>
                    <w:pStyle w:val="656"/>
                    <w:snapToGrid w:val="0"/>
                    <w:rPr>
                      <w:rFonts w:hint="eastAsia" w:cs="Times New Roman"/>
                      <w:b w:val="0"/>
                      <w:bCs/>
                      <w:color w:val="auto"/>
                      <w:sz w:val="18"/>
                      <w:szCs w:val="18"/>
                      <w:highlight w:val="none"/>
                      <w:lang w:val="en-US" w:eastAsia="zh-CN"/>
                    </w:rPr>
                  </w:pPr>
                  <w:r>
                    <w:rPr>
                      <w:rFonts w:hint="eastAsia" w:eastAsia="宋体"/>
                      <w:color w:val="auto"/>
                      <w:sz w:val="18"/>
                      <w:szCs w:val="18"/>
                      <w:lang w:val="en-US" w:eastAsia="zh-CN"/>
                    </w:rPr>
                    <w:t>0.45</w:t>
                  </w:r>
                </w:p>
              </w:tc>
              <w:tc>
                <w:tcPr>
                  <w:tcW w:w="621" w:type="pct"/>
                  <w:tcBorders>
                    <w:tl2br w:val="nil"/>
                    <w:tr2bl w:val="nil"/>
                  </w:tcBorders>
                  <w:noWrap w:val="0"/>
                  <w:vAlign w:val="center"/>
                </w:tcPr>
                <w:p w14:paraId="5675D7DC">
                  <w:pPr>
                    <w:keepNext w:val="0"/>
                    <w:keepLines w:val="0"/>
                    <w:widowControl/>
                    <w:suppressLineNumbers w:val="0"/>
                    <w:jc w:val="center"/>
                    <w:textAlignment w:val="center"/>
                    <w:rPr>
                      <w:rFonts w:hint="eastAsia" w:eastAsia="宋体"/>
                      <w:color w:val="auto"/>
                      <w:sz w:val="18"/>
                      <w:szCs w:val="18"/>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0.4455</w:t>
                  </w:r>
                </w:p>
              </w:tc>
              <w:tc>
                <w:tcPr>
                  <w:tcW w:w="569" w:type="pct"/>
                  <w:tcBorders>
                    <w:tl2br w:val="nil"/>
                    <w:tr2bl w:val="nil"/>
                  </w:tcBorders>
                  <w:noWrap w:val="0"/>
                  <w:vAlign w:val="center"/>
                </w:tcPr>
                <w:p w14:paraId="33B0F51B">
                  <w:pPr>
                    <w:pStyle w:val="656"/>
                    <w:snapToGrid w:val="0"/>
                    <w:rPr>
                      <w:rFonts w:hint="eastAsia" w:cs="Times New Roman"/>
                      <w:b w:val="0"/>
                      <w:bCs/>
                      <w:color w:val="auto"/>
                      <w:sz w:val="18"/>
                      <w:szCs w:val="18"/>
                      <w:highlight w:val="none"/>
                      <w:lang w:val="en-US" w:eastAsia="zh-CN"/>
                    </w:rPr>
                  </w:pPr>
                  <w:r>
                    <w:rPr>
                      <w:rFonts w:hint="eastAsia" w:eastAsia="宋体"/>
                      <w:color w:val="auto"/>
                      <w:sz w:val="18"/>
                      <w:szCs w:val="18"/>
                      <w:lang w:val="en-US" w:eastAsia="zh-CN"/>
                    </w:rPr>
                    <w:t>0.0045</w:t>
                  </w:r>
                </w:p>
              </w:tc>
              <w:tc>
                <w:tcPr>
                  <w:tcW w:w="462" w:type="pct"/>
                  <w:tcBorders>
                    <w:tl2br w:val="nil"/>
                    <w:tr2bl w:val="nil"/>
                  </w:tcBorders>
                  <w:noWrap w:val="0"/>
                  <w:vAlign w:val="center"/>
                </w:tcPr>
                <w:p w14:paraId="604B8F24">
                  <w:pPr>
                    <w:adjustRightInd w:val="0"/>
                    <w:snapToGrid w:val="0"/>
                    <w:jc w:val="center"/>
                    <w:rPr>
                      <w:rFonts w:hint="eastAsia"/>
                      <w:color w:val="auto"/>
                      <w:sz w:val="18"/>
                      <w:szCs w:val="18"/>
                      <w:lang w:val="en-US" w:eastAsia="zh-CN"/>
                    </w:rPr>
                  </w:pPr>
                  <w:r>
                    <w:rPr>
                      <w:rFonts w:hint="eastAsia"/>
                      <w:color w:val="auto"/>
                      <w:sz w:val="18"/>
                      <w:szCs w:val="18"/>
                      <w:lang w:val="en-US" w:eastAsia="zh-CN"/>
                    </w:rPr>
                    <w:t>0</w:t>
                  </w:r>
                </w:p>
              </w:tc>
              <w:tc>
                <w:tcPr>
                  <w:tcW w:w="588" w:type="pct"/>
                  <w:tcBorders>
                    <w:tl2br w:val="nil"/>
                    <w:tr2bl w:val="nil"/>
                  </w:tcBorders>
                  <w:noWrap w:val="0"/>
                  <w:vAlign w:val="center"/>
                </w:tcPr>
                <w:p w14:paraId="6B751870">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0.00477</w:t>
                  </w:r>
                </w:p>
              </w:tc>
              <w:tc>
                <w:tcPr>
                  <w:tcW w:w="486" w:type="pct"/>
                  <w:tcBorders>
                    <w:tl2br w:val="nil"/>
                    <w:tr2bl w:val="nil"/>
                  </w:tcBorders>
                  <w:noWrap w:val="0"/>
                  <w:vAlign w:val="center"/>
                </w:tcPr>
                <w:p w14:paraId="734321FD">
                  <w:pPr>
                    <w:pStyle w:val="656"/>
                    <w:snapToGrid w:val="0"/>
                    <w:rPr>
                      <w:rFonts w:hint="eastAsia"/>
                      <w:color w:val="auto"/>
                      <w:sz w:val="18"/>
                      <w:szCs w:val="18"/>
                      <w:lang w:val="en-US" w:eastAsia="zh-CN"/>
                    </w:rPr>
                  </w:pPr>
                  <w:r>
                    <w:rPr>
                      <w:rFonts w:hint="eastAsia" w:eastAsia="宋体"/>
                      <w:color w:val="auto"/>
                      <w:sz w:val="18"/>
                      <w:szCs w:val="18"/>
                      <w:lang w:val="en-US" w:eastAsia="zh-CN"/>
                    </w:rPr>
                    <w:t>0</w:t>
                  </w:r>
                </w:p>
              </w:tc>
              <w:tc>
                <w:tcPr>
                  <w:tcW w:w="517" w:type="pct"/>
                  <w:tcBorders>
                    <w:tl2br w:val="nil"/>
                    <w:tr2bl w:val="nil"/>
                  </w:tcBorders>
                  <w:noWrap w:val="0"/>
                  <w:vAlign w:val="center"/>
                </w:tcPr>
                <w:p w14:paraId="7569F46A">
                  <w:pPr>
                    <w:pStyle w:val="656"/>
                    <w:snapToGrid w:val="0"/>
                    <w:rPr>
                      <w:rFonts w:hint="eastAsia" w:cs="Times New Roman"/>
                      <w:b/>
                      <w:bCs/>
                      <w:color w:val="auto"/>
                      <w:sz w:val="18"/>
                      <w:szCs w:val="18"/>
                      <w:highlight w:val="none"/>
                      <w:lang w:val="en-US" w:eastAsia="zh-CN"/>
                    </w:rPr>
                  </w:pPr>
                  <w:r>
                    <w:rPr>
                      <w:rFonts w:hint="eastAsia" w:eastAsia="宋体"/>
                      <w:b/>
                      <w:bCs/>
                      <w:color w:val="auto"/>
                      <w:sz w:val="18"/>
                      <w:szCs w:val="18"/>
                      <w:lang w:val="en-US" w:eastAsia="zh-CN"/>
                    </w:rPr>
                    <w:t>0</w:t>
                  </w:r>
                </w:p>
              </w:tc>
            </w:tr>
            <w:tr w14:paraId="70357B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254" w:type="pct"/>
                  <w:vMerge w:val="continue"/>
                  <w:tcBorders>
                    <w:tl2br w:val="nil"/>
                    <w:tr2bl w:val="nil"/>
                  </w:tcBorders>
                  <w:noWrap w:val="0"/>
                  <w:vAlign w:val="center"/>
                </w:tcPr>
                <w:p w14:paraId="36259727">
                  <w:pPr>
                    <w:pStyle w:val="698"/>
                    <w:spacing w:line="240" w:lineRule="auto"/>
                    <w:jc w:val="center"/>
                    <w:rPr>
                      <w:rFonts w:hint="default" w:ascii="Times New Roman" w:hAnsi="Times New Roman" w:eastAsia="宋体" w:cs="Times New Roman"/>
                      <w:b w:val="0"/>
                      <w:bCs/>
                      <w:color w:val="auto"/>
                      <w:sz w:val="18"/>
                      <w:szCs w:val="18"/>
                      <w:highlight w:val="none"/>
                    </w:rPr>
                  </w:pPr>
                </w:p>
              </w:tc>
              <w:tc>
                <w:tcPr>
                  <w:tcW w:w="519" w:type="pct"/>
                  <w:tcBorders>
                    <w:tl2br w:val="nil"/>
                    <w:tr2bl w:val="nil"/>
                  </w:tcBorders>
                  <w:noWrap w:val="0"/>
                  <w:vAlign w:val="center"/>
                </w:tcPr>
                <w:p w14:paraId="1513C1C4">
                  <w:pPr>
                    <w:pStyle w:val="656"/>
                    <w:keepNext w:val="0"/>
                    <w:keepLines w:val="0"/>
                    <w:pageBreakBefore w:val="0"/>
                    <w:kinsoku/>
                    <w:wordWrap/>
                    <w:overflowPunct/>
                    <w:topLinePunct w:val="0"/>
                    <w:autoSpaceDE/>
                    <w:autoSpaceDN/>
                    <w:bidi w:val="0"/>
                    <w:adjustRightInd w:val="0"/>
                    <w:snapToGrid w:val="0"/>
                    <w:rPr>
                      <w:rFonts w:hint="eastAsia"/>
                      <w:color w:val="auto"/>
                      <w:sz w:val="18"/>
                      <w:szCs w:val="18"/>
                      <w:lang w:val="en-US" w:eastAsia="zh-CN"/>
                    </w:rPr>
                  </w:pPr>
                  <w:r>
                    <w:rPr>
                      <w:rFonts w:hint="eastAsia" w:eastAsia="宋体"/>
                      <w:color w:val="auto"/>
                      <w:sz w:val="18"/>
                      <w:szCs w:val="18"/>
                      <w:lang w:val="en-US" w:eastAsia="zh-CN"/>
                    </w:rPr>
                    <w:t>二噁英类</w:t>
                  </w:r>
                </w:p>
              </w:tc>
              <w:tc>
                <w:tcPr>
                  <w:tcW w:w="487" w:type="pct"/>
                  <w:tcBorders>
                    <w:tl2br w:val="nil"/>
                    <w:tr2bl w:val="nil"/>
                  </w:tcBorders>
                  <w:noWrap w:val="0"/>
                  <w:vAlign w:val="center"/>
                </w:tcPr>
                <w:p w14:paraId="5E3F8BA2">
                  <w:pPr>
                    <w:keepNext w:val="0"/>
                    <w:keepLines w:val="0"/>
                    <w:pageBreakBefore w:val="0"/>
                    <w:widowControl/>
                    <w:kinsoku/>
                    <w:wordWrap/>
                    <w:overflowPunct/>
                    <w:topLinePunct w:val="0"/>
                    <w:autoSpaceDE/>
                    <w:autoSpaceDN/>
                    <w:bidi w:val="0"/>
                    <w:adjustRightInd w:val="0"/>
                    <w:snapToGrid w:val="0"/>
                    <w:jc w:val="center"/>
                    <w:rPr>
                      <w:rFonts w:hint="default"/>
                      <w:color w:val="auto"/>
                      <w:sz w:val="18"/>
                      <w:szCs w:val="18"/>
                      <w:lang w:val="en-US" w:eastAsia="zh-CN"/>
                    </w:rPr>
                  </w:pPr>
                  <w:r>
                    <w:rPr>
                      <w:rFonts w:hint="eastAsia"/>
                      <w:color w:val="auto"/>
                      <w:kern w:val="0"/>
                      <w:sz w:val="18"/>
                      <w:szCs w:val="18"/>
                      <w:lang w:val="en-US" w:eastAsia="zh-CN"/>
                    </w:rPr>
                    <w:t>6.5ngTEQ/a</w:t>
                  </w:r>
                </w:p>
              </w:tc>
              <w:tc>
                <w:tcPr>
                  <w:tcW w:w="492" w:type="pct"/>
                  <w:tcBorders>
                    <w:tl2br w:val="nil"/>
                    <w:tr2bl w:val="nil"/>
                  </w:tcBorders>
                  <w:noWrap w:val="0"/>
                  <w:vAlign w:val="center"/>
                </w:tcPr>
                <w:p w14:paraId="136DAB9B">
                  <w:pPr>
                    <w:pStyle w:val="656"/>
                    <w:snapToGrid w:val="0"/>
                    <w:rPr>
                      <w:rFonts w:hint="eastAsia" w:cs="Times New Roman"/>
                      <w:b w:val="0"/>
                      <w:bCs/>
                      <w:color w:val="auto"/>
                      <w:sz w:val="18"/>
                      <w:szCs w:val="18"/>
                      <w:highlight w:val="none"/>
                      <w:lang w:val="en-US" w:eastAsia="zh-CN"/>
                    </w:rPr>
                  </w:pPr>
                  <w:r>
                    <w:rPr>
                      <w:rFonts w:hint="eastAsia"/>
                      <w:color w:val="auto"/>
                      <w:sz w:val="18"/>
                      <w:szCs w:val="18"/>
                      <w:lang w:val="en-US" w:eastAsia="zh-CN"/>
                    </w:rPr>
                    <w:t>13</w:t>
                  </w:r>
                  <w:r>
                    <w:rPr>
                      <w:rFonts w:hint="eastAsia"/>
                      <w:color w:val="auto"/>
                      <w:kern w:val="0"/>
                      <w:sz w:val="18"/>
                      <w:szCs w:val="18"/>
                    </w:rPr>
                    <w:t>ngTEQ/</w:t>
                  </w:r>
                  <w:r>
                    <w:rPr>
                      <w:rFonts w:hint="eastAsia"/>
                      <w:color w:val="auto"/>
                      <w:kern w:val="0"/>
                      <w:sz w:val="18"/>
                      <w:szCs w:val="18"/>
                      <w:lang w:val="en-US" w:eastAsia="zh-CN"/>
                    </w:rPr>
                    <w:t>a</w:t>
                  </w:r>
                </w:p>
              </w:tc>
              <w:tc>
                <w:tcPr>
                  <w:tcW w:w="621" w:type="pct"/>
                  <w:tcBorders>
                    <w:tl2br w:val="nil"/>
                    <w:tr2bl w:val="nil"/>
                  </w:tcBorders>
                  <w:noWrap w:val="0"/>
                  <w:vAlign w:val="center"/>
                </w:tcPr>
                <w:p w14:paraId="3A8B6A4E">
                  <w:pPr>
                    <w:pStyle w:val="656"/>
                    <w:snapToGrid w:val="0"/>
                    <w:rPr>
                      <w:rFonts w:hint="default" w:cs="Times New Roman"/>
                      <w:b w:val="0"/>
                      <w:bCs/>
                      <w:color w:val="auto"/>
                      <w:sz w:val="18"/>
                      <w:szCs w:val="18"/>
                      <w:highlight w:val="none"/>
                      <w:lang w:val="en-US" w:eastAsia="zh-CN"/>
                    </w:rPr>
                  </w:pPr>
                  <w:r>
                    <w:rPr>
                      <w:rFonts w:hint="eastAsia" w:eastAsia="宋体"/>
                      <w:color w:val="auto"/>
                      <w:sz w:val="18"/>
                      <w:szCs w:val="18"/>
                      <w:lang w:val="en-US" w:eastAsia="zh-CN"/>
                    </w:rPr>
                    <w:t>12.35</w:t>
                  </w:r>
                  <w:r>
                    <w:rPr>
                      <w:rFonts w:hint="eastAsia"/>
                      <w:color w:val="auto"/>
                      <w:kern w:val="0"/>
                      <w:sz w:val="18"/>
                      <w:szCs w:val="18"/>
                    </w:rPr>
                    <w:t>ngTEQ/</w:t>
                  </w:r>
                  <w:r>
                    <w:rPr>
                      <w:rFonts w:hint="eastAsia"/>
                      <w:color w:val="auto"/>
                      <w:kern w:val="0"/>
                      <w:sz w:val="18"/>
                      <w:szCs w:val="18"/>
                      <w:lang w:val="en-US" w:eastAsia="zh-CN"/>
                    </w:rPr>
                    <w:t>a</w:t>
                  </w:r>
                </w:p>
              </w:tc>
              <w:tc>
                <w:tcPr>
                  <w:tcW w:w="569" w:type="pct"/>
                  <w:tcBorders>
                    <w:tl2br w:val="nil"/>
                    <w:tr2bl w:val="nil"/>
                  </w:tcBorders>
                  <w:noWrap w:val="0"/>
                  <w:vAlign w:val="center"/>
                </w:tcPr>
                <w:p w14:paraId="55113BF6">
                  <w:pPr>
                    <w:pStyle w:val="656"/>
                    <w:snapToGrid w:val="0"/>
                    <w:rPr>
                      <w:rFonts w:hint="eastAsia" w:cs="Times New Roman"/>
                      <w:b w:val="0"/>
                      <w:bCs/>
                      <w:color w:val="auto"/>
                      <w:sz w:val="18"/>
                      <w:szCs w:val="18"/>
                      <w:highlight w:val="none"/>
                      <w:lang w:val="en-US" w:eastAsia="zh-CN"/>
                    </w:rPr>
                  </w:pPr>
                  <w:r>
                    <w:rPr>
                      <w:rFonts w:hint="eastAsia" w:eastAsia="宋体"/>
                      <w:color w:val="auto"/>
                      <w:sz w:val="18"/>
                      <w:szCs w:val="18"/>
                      <w:lang w:val="en-US" w:eastAsia="zh-CN"/>
                    </w:rPr>
                    <w:t>0.65</w:t>
                  </w:r>
                  <w:r>
                    <w:rPr>
                      <w:rFonts w:hint="eastAsia"/>
                      <w:color w:val="auto"/>
                      <w:kern w:val="0"/>
                      <w:sz w:val="18"/>
                      <w:szCs w:val="18"/>
                    </w:rPr>
                    <w:t>ngTEQ/</w:t>
                  </w:r>
                  <w:r>
                    <w:rPr>
                      <w:rFonts w:hint="eastAsia"/>
                      <w:color w:val="auto"/>
                      <w:kern w:val="0"/>
                      <w:sz w:val="18"/>
                      <w:szCs w:val="18"/>
                      <w:lang w:val="en-US" w:eastAsia="zh-CN"/>
                    </w:rPr>
                    <w:t>a</w:t>
                  </w:r>
                </w:p>
              </w:tc>
              <w:tc>
                <w:tcPr>
                  <w:tcW w:w="462" w:type="pct"/>
                  <w:tcBorders>
                    <w:tl2br w:val="nil"/>
                    <w:tr2bl w:val="nil"/>
                  </w:tcBorders>
                  <w:noWrap w:val="0"/>
                  <w:vAlign w:val="center"/>
                </w:tcPr>
                <w:p w14:paraId="25DE9DBE">
                  <w:pPr>
                    <w:widowControl/>
                    <w:adjustRightInd w:val="0"/>
                    <w:snapToGrid w:val="0"/>
                    <w:jc w:val="center"/>
                    <w:rPr>
                      <w:rFonts w:hint="eastAsia"/>
                      <w:color w:val="auto"/>
                      <w:sz w:val="18"/>
                      <w:szCs w:val="18"/>
                      <w:lang w:val="en-US" w:eastAsia="zh-CN"/>
                    </w:rPr>
                  </w:pPr>
                  <w:r>
                    <w:rPr>
                      <w:rFonts w:hint="eastAsia" w:cs="Times New Roman"/>
                      <w:b w:val="0"/>
                      <w:bCs/>
                      <w:color w:val="auto"/>
                      <w:sz w:val="18"/>
                      <w:szCs w:val="18"/>
                      <w:highlight w:val="none"/>
                      <w:lang w:val="en-US" w:eastAsia="zh-CN"/>
                    </w:rPr>
                    <w:t>0</w:t>
                  </w:r>
                </w:p>
              </w:tc>
              <w:tc>
                <w:tcPr>
                  <w:tcW w:w="588" w:type="pct"/>
                  <w:tcBorders>
                    <w:tl2br w:val="nil"/>
                    <w:tr2bl w:val="nil"/>
                  </w:tcBorders>
                  <w:noWrap w:val="0"/>
                  <w:vAlign w:val="center"/>
                </w:tcPr>
                <w:p w14:paraId="7C34D73C">
                  <w:pPr>
                    <w:pStyle w:val="656"/>
                    <w:keepNext w:val="0"/>
                    <w:keepLines w:val="0"/>
                    <w:pageBreakBefore w:val="0"/>
                    <w:kinsoku/>
                    <w:wordWrap/>
                    <w:overflowPunct/>
                    <w:topLinePunct w:val="0"/>
                    <w:autoSpaceDE/>
                    <w:autoSpaceDN/>
                    <w:bidi w:val="0"/>
                    <w:adjustRightInd w:val="0"/>
                    <w:snapToGrid w:val="0"/>
                    <w:rPr>
                      <w:rFonts w:hint="eastAsia" w:cs="Times New Roman"/>
                      <w:b w:val="0"/>
                      <w:bCs/>
                      <w:color w:val="auto"/>
                      <w:sz w:val="18"/>
                      <w:szCs w:val="18"/>
                      <w:highlight w:val="none"/>
                      <w:lang w:val="en-US" w:eastAsia="zh-CN"/>
                    </w:rPr>
                  </w:pPr>
                  <w:r>
                    <w:rPr>
                      <w:rFonts w:hint="eastAsia" w:eastAsia="宋体"/>
                      <w:color w:val="auto"/>
                      <w:sz w:val="18"/>
                      <w:szCs w:val="18"/>
                      <w:lang w:val="en-US" w:eastAsia="zh-CN"/>
                    </w:rPr>
                    <w:t>3.25</w:t>
                  </w:r>
                  <w:r>
                    <w:rPr>
                      <w:rFonts w:hint="eastAsia"/>
                      <w:color w:val="auto"/>
                      <w:kern w:val="0"/>
                      <w:sz w:val="18"/>
                      <w:szCs w:val="18"/>
                    </w:rPr>
                    <w:t>ngTEQ/</w:t>
                  </w:r>
                  <w:r>
                    <w:rPr>
                      <w:rFonts w:hint="eastAsia"/>
                      <w:color w:val="auto"/>
                      <w:kern w:val="0"/>
                      <w:sz w:val="18"/>
                      <w:szCs w:val="18"/>
                      <w:lang w:val="en-US" w:eastAsia="zh-CN"/>
                    </w:rPr>
                    <w:t>a</w:t>
                  </w:r>
                </w:p>
              </w:tc>
              <w:tc>
                <w:tcPr>
                  <w:tcW w:w="486" w:type="pct"/>
                  <w:tcBorders>
                    <w:tl2br w:val="nil"/>
                    <w:tr2bl w:val="nil"/>
                  </w:tcBorders>
                  <w:noWrap w:val="0"/>
                  <w:vAlign w:val="center"/>
                </w:tcPr>
                <w:p w14:paraId="74A79420">
                  <w:pPr>
                    <w:pStyle w:val="656"/>
                    <w:snapToGrid w:val="0"/>
                    <w:rPr>
                      <w:rFonts w:hint="default"/>
                      <w:color w:val="auto"/>
                      <w:sz w:val="18"/>
                      <w:szCs w:val="18"/>
                      <w:lang w:val="en-US" w:eastAsia="zh-CN"/>
                    </w:rPr>
                  </w:pPr>
                  <w:r>
                    <w:rPr>
                      <w:rFonts w:hint="eastAsia"/>
                      <w:color w:val="auto"/>
                      <w:sz w:val="18"/>
                      <w:szCs w:val="18"/>
                      <w:lang w:val="en-US" w:eastAsia="zh-CN"/>
                    </w:rPr>
                    <w:t>0</w:t>
                  </w:r>
                </w:p>
              </w:tc>
              <w:tc>
                <w:tcPr>
                  <w:tcW w:w="517" w:type="pct"/>
                  <w:tcBorders>
                    <w:tl2br w:val="nil"/>
                    <w:tr2bl w:val="nil"/>
                  </w:tcBorders>
                  <w:noWrap w:val="0"/>
                  <w:vAlign w:val="center"/>
                </w:tcPr>
                <w:p w14:paraId="2872508E">
                  <w:pPr>
                    <w:pStyle w:val="656"/>
                    <w:snapToGrid w:val="0"/>
                    <w:rPr>
                      <w:rFonts w:hint="eastAsia" w:cs="Times New Roman"/>
                      <w:b/>
                      <w:bCs/>
                      <w:color w:val="auto"/>
                      <w:sz w:val="18"/>
                      <w:szCs w:val="18"/>
                      <w:highlight w:val="none"/>
                      <w:lang w:val="en-US" w:eastAsia="zh-CN"/>
                    </w:rPr>
                  </w:pPr>
                  <w:r>
                    <w:rPr>
                      <w:rFonts w:hint="eastAsia" w:eastAsia="宋体"/>
                      <w:b/>
                      <w:bCs/>
                      <w:color w:val="auto"/>
                      <w:sz w:val="18"/>
                      <w:szCs w:val="18"/>
                      <w:lang w:val="en-US" w:eastAsia="zh-CN"/>
                    </w:rPr>
                    <w:t>0</w:t>
                  </w:r>
                </w:p>
              </w:tc>
            </w:tr>
            <w:tr w14:paraId="0C273DB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254" w:type="pct"/>
                  <w:vMerge w:val="restart"/>
                  <w:tcBorders>
                    <w:tl2br w:val="nil"/>
                    <w:tr2bl w:val="nil"/>
                  </w:tcBorders>
                  <w:noWrap w:val="0"/>
                  <w:vAlign w:val="center"/>
                </w:tcPr>
                <w:p w14:paraId="010E8C04">
                  <w:pPr>
                    <w:pStyle w:val="698"/>
                    <w:spacing w:line="240" w:lineRule="auto"/>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无组织废气</w:t>
                  </w:r>
                </w:p>
              </w:tc>
              <w:tc>
                <w:tcPr>
                  <w:tcW w:w="519" w:type="pct"/>
                  <w:tcBorders>
                    <w:tl2br w:val="nil"/>
                    <w:tr2bl w:val="nil"/>
                  </w:tcBorders>
                  <w:noWrap w:val="0"/>
                  <w:vAlign w:val="center"/>
                </w:tcPr>
                <w:p w14:paraId="207C5783">
                  <w:pPr>
                    <w:pStyle w:val="656"/>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b w:val="0"/>
                      <w:bCs/>
                      <w:color w:val="auto"/>
                      <w:kern w:val="2"/>
                      <w:sz w:val="18"/>
                      <w:szCs w:val="18"/>
                      <w:highlight w:val="none"/>
                      <w:lang w:val="en-US" w:eastAsia="zh-CN" w:bidi="ar-SA"/>
                    </w:rPr>
                  </w:pPr>
                  <w:r>
                    <w:rPr>
                      <w:rFonts w:hint="eastAsia" w:eastAsia="宋体"/>
                      <w:color w:val="auto"/>
                      <w:sz w:val="18"/>
                      <w:szCs w:val="18"/>
                      <w:lang w:val="en-US" w:eastAsia="zh-CN"/>
                    </w:rPr>
                    <w:t>颗粒物</w:t>
                  </w:r>
                </w:p>
              </w:tc>
              <w:tc>
                <w:tcPr>
                  <w:tcW w:w="487" w:type="pct"/>
                  <w:tcBorders>
                    <w:tl2br w:val="nil"/>
                    <w:tr2bl w:val="nil"/>
                  </w:tcBorders>
                  <w:noWrap w:val="0"/>
                  <w:vAlign w:val="center"/>
                </w:tcPr>
                <w:p w14:paraId="259DCE2F">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18"/>
                      <w:szCs w:val="18"/>
                      <w:highlight w:val="none"/>
                      <w:lang w:val="en-US" w:eastAsia="zh-CN"/>
                    </w:rPr>
                  </w:pPr>
                  <w:r>
                    <w:rPr>
                      <w:rFonts w:hint="eastAsia"/>
                      <w:color w:val="auto"/>
                      <w:kern w:val="0"/>
                      <w:sz w:val="18"/>
                      <w:szCs w:val="18"/>
                      <w:lang w:val="en-US" w:eastAsia="zh-CN"/>
                    </w:rPr>
                    <w:t>0.052</w:t>
                  </w:r>
                </w:p>
              </w:tc>
              <w:tc>
                <w:tcPr>
                  <w:tcW w:w="492" w:type="pct"/>
                  <w:tcBorders>
                    <w:tl2br w:val="nil"/>
                    <w:tr2bl w:val="nil"/>
                  </w:tcBorders>
                  <w:noWrap w:val="0"/>
                  <w:vAlign w:val="center"/>
                </w:tcPr>
                <w:p w14:paraId="2E7ADB2C">
                  <w:pPr>
                    <w:adjustRightInd w:val="0"/>
                    <w:snapToGrid w:val="0"/>
                    <w:jc w:val="center"/>
                    <w:rPr>
                      <w:rFonts w:hint="default" w:ascii="Times New Roman" w:hAnsi="Times New Roman" w:eastAsia="宋体" w:cs="Times New Roman"/>
                      <w:b w:val="0"/>
                      <w:bCs/>
                      <w:color w:val="auto"/>
                      <w:kern w:val="2"/>
                      <w:sz w:val="18"/>
                      <w:szCs w:val="18"/>
                      <w:highlight w:val="none"/>
                      <w:lang w:val="en-US" w:eastAsia="zh-CN" w:bidi="ar-SA"/>
                    </w:rPr>
                  </w:pPr>
                  <w:r>
                    <w:rPr>
                      <w:rFonts w:hint="eastAsia"/>
                      <w:color w:val="auto"/>
                      <w:sz w:val="18"/>
                      <w:szCs w:val="18"/>
                      <w:lang w:val="en-US" w:eastAsia="zh-CN"/>
                    </w:rPr>
                    <w:t>0</w:t>
                  </w:r>
                </w:p>
              </w:tc>
              <w:tc>
                <w:tcPr>
                  <w:tcW w:w="621" w:type="pct"/>
                  <w:tcBorders>
                    <w:tl2br w:val="nil"/>
                    <w:tr2bl w:val="nil"/>
                  </w:tcBorders>
                  <w:noWrap w:val="0"/>
                  <w:vAlign w:val="center"/>
                </w:tcPr>
                <w:p w14:paraId="22E88B3D">
                  <w:pPr>
                    <w:adjustRightInd w:val="0"/>
                    <w:snapToGrid w:val="0"/>
                    <w:jc w:val="center"/>
                    <w:rPr>
                      <w:rFonts w:hint="default" w:ascii="Times New Roman" w:hAnsi="Times New Roman" w:eastAsia="宋体" w:cs="Times New Roman"/>
                      <w:b w:val="0"/>
                      <w:bCs/>
                      <w:color w:val="auto"/>
                      <w:kern w:val="2"/>
                      <w:sz w:val="18"/>
                      <w:szCs w:val="18"/>
                      <w:highlight w:val="none"/>
                      <w:lang w:val="en-US" w:eastAsia="zh-CN" w:bidi="ar-SA"/>
                    </w:rPr>
                  </w:pPr>
                  <w:r>
                    <w:rPr>
                      <w:rFonts w:hint="eastAsia"/>
                      <w:color w:val="auto"/>
                      <w:sz w:val="18"/>
                      <w:szCs w:val="18"/>
                      <w:lang w:val="en-US" w:eastAsia="zh-CN"/>
                    </w:rPr>
                    <w:t>0</w:t>
                  </w:r>
                </w:p>
              </w:tc>
              <w:tc>
                <w:tcPr>
                  <w:tcW w:w="569" w:type="pct"/>
                  <w:tcBorders>
                    <w:tl2br w:val="nil"/>
                    <w:tr2bl w:val="nil"/>
                  </w:tcBorders>
                  <w:noWrap w:val="0"/>
                  <w:vAlign w:val="center"/>
                </w:tcPr>
                <w:p w14:paraId="62295A28">
                  <w:pPr>
                    <w:adjustRightInd w:val="0"/>
                    <w:snapToGrid w:val="0"/>
                    <w:jc w:val="center"/>
                    <w:rPr>
                      <w:rFonts w:hint="default" w:ascii="Times New Roman" w:hAnsi="Times New Roman" w:eastAsia="宋体" w:cs="Times New Roman"/>
                      <w:b w:val="0"/>
                      <w:bCs/>
                      <w:color w:val="auto"/>
                      <w:kern w:val="2"/>
                      <w:sz w:val="18"/>
                      <w:szCs w:val="18"/>
                      <w:highlight w:val="none"/>
                      <w:lang w:val="en-US" w:eastAsia="zh-CN" w:bidi="ar-SA"/>
                    </w:rPr>
                  </w:pPr>
                  <w:r>
                    <w:rPr>
                      <w:rFonts w:hint="eastAsia"/>
                      <w:color w:val="auto"/>
                      <w:sz w:val="18"/>
                      <w:szCs w:val="18"/>
                      <w:lang w:val="en-US" w:eastAsia="zh-CN"/>
                    </w:rPr>
                    <w:t>0</w:t>
                  </w:r>
                </w:p>
              </w:tc>
              <w:tc>
                <w:tcPr>
                  <w:tcW w:w="462" w:type="pct"/>
                  <w:tcBorders>
                    <w:tl2br w:val="nil"/>
                    <w:tr2bl w:val="nil"/>
                  </w:tcBorders>
                  <w:noWrap w:val="0"/>
                  <w:vAlign w:val="center"/>
                </w:tcPr>
                <w:p w14:paraId="050CD06D">
                  <w:pPr>
                    <w:adjustRightInd w:val="0"/>
                    <w:snapToGrid w:val="0"/>
                    <w:jc w:val="center"/>
                    <w:rPr>
                      <w:rFonts w:hint="default" w:ascii="Times New Roman" w:hAnsi="Times New Roman" w:eastAsia="宋体" w:cs="Times New Roman"/>
                      <w:b/>
                      <w:bCs/>
                      <w:snapToGrid w:val="0"/>
                      <w:color w:val="auto"/>
                      <w:kern w:val="2"/>
                      <w:sz w:val="18"/>
                      <w:szCs w:val="18"/>
                      <w:highlight w:val="none"/>
                      <w:lang w:val="en-US" w:eastAsia="zh-CN" w:bidi="ar-SA"/>
                    </w:rPr>
                  </w:pPr>
                  <w:r>
                    <w:rPr>
                      <w:rFonts w:hint="eastAsia"/>
                      <w:color w:val="auto"/>
                      <w:sz w:val="18"/>
                      <w:szCs w:val="18"/>
                      <w:lang w:val="en-US" w:eastAsia="zh-CN"/>
                    </w:rPr>
                    <w:t>0</w:t>
                  </w:r>
                </w:p>
              </w:tc>
              <w:tc>
                <w:tcPr>
                  <w:tcW w:w="588" w:type="pct"/>
                  <w:tcBorders>
                    <w:tl2br w:val="nil"/>
                    <w:tr2bl w:val="nil"/>
                  </w:tcBorders>
                  <w:noWrap w:val="0"/>
                  <w:vAlign w:val="center"/>
                </w:tcPr>
                <w:p w14:paraId="47EAA1B9">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eastAsia"/>
                      <w:color w:val="auto"/>
                      <w:kern w:val="0"/>
                      <w:sz w:val="18"/>
                      <w:szCs w:val="18"/>
                      <w:lang w:val="en-US" w:eastAsia="zh-CN"/>
                    </w:rPr>
                    <w:t>0.052</w:t>
                  </w:r>
                </w:p>
              </w:tc>
              <w:tc>
                <w:tcPr>
                  <w:tcW w:w="486" w:type="pct"/>
                  <w:tcBorders>
                    <w:tl2br w:val="nil"/>
                    <w:tr2bl w:val="nil"/>
                  </w:tcBorders>
                  <w:noWrap w:val="0"/>
                  <w:vAlign w:val="center"/>
                </w:tcPr>
                <w:p w14:paraId="2F34A0C7">
                  <w:pPr>
                    <w:widowControl/>
                    <w:adjustRightInd w:val="0"/>
                    <w:snapToGrid w:val="0"/>
                    <w:jc w:val="center"/>
                    <w:rPr>
                      <w:rFonts w:hint="default" w:ascii="Times New Roman" w:hAnsi="Times New Roman" w:eastAsia="宋体" w:cs="Times New Roman"/>
                      <w:snapToGrid w:val="0"/>
                      <w:color w:val="auto"/>
                      <w:kern w:val="2"/>
                      <w:sz w:val="18"/>
                      <w:szCs w:val="18"/>
                      <w:lang w:val="en-US" w:eastAsia="zh-CN" w:bidi="ar-SA"/>
                    </w:rPr>
                  </w:pPr>
                  <w:r>
                    <w:rPr>
                      <w:rFonts w:hint="eastAsia" w:cs="Times New Roman"/>
                      <w:b w:val="0"/>
                      <w:bCs/>
                      <w:color w:val="auto"/>
                      <w:sz w:val="18"/>
                      <w:szCs w:val="18"/>
                      <w:highlight w:val="none"/>
                      <w:lang w:val="en-US" w:eastAsia="zh-CN"/>
                    </w:rPr>
                    <w:t>0</w:t>
                  </w:r>
                </w:p>
              </w:tc>
              <w:tc>
                <w:tcPr>
                  <w:tcW w:w="517" w:type="pct"/>
                  <w:tcBorders>
                    <w:tl2br w:val="nil"/>
                    <w:tr2bl w:val="nil"/>
                  </w:tcBorders>
                  <w:noWrap w:val="0"/>
                  <w:vAlign w:val="center"/>
                </w:tcPr>
                <w:p w14:paraId="14884293">
                  <w:pPr>
                    <w:widowControl/>
                    <w:adjustRightInd w:val="0"/>
                    <w:snapToGrid w:val="0"/>
                    <w:jc w:val="center"/>
                    <w:rPr>
                      <w:rFonts w:hint="default" w:ascii="Times New Roman" w:hAnsi="Times New Roman" w:eastAsia="宋体" w:cs="Times New Roman"/>
                      <w:b/>
                      <w:bCs w:val="0"/>
                      <w:snapToGrid w:val="0"/>
                      <w:color w:val="auto"/>
                      <w:kern w:val="2"/>
                      <w:sz w:val="18"/>
                      <w:szCs w:val="18"/>
                      <w:lang w:val="en-US" w:eastAsia="zh-CN" w:bidi="ar-SA"/>
                    </w:rPr>
                  </w:pPr>
                  <w:r>
                    <w:rPr>
                      <w:rFonts w:hint="eastAsia" w:eastAsia="宋体" w:cs="Times New Roman"/>
                      <w:b/>
                      <w:bCs/>
                      <w:color w:val="auto"/>
                      <w:spacing w:val="0"/>
                      <w:kern w:val="0"/>
                      <w:position w:val="0"/>
                      <w:sz w:val="18"/>
                      <w:szCs w:val="18"/>
                      <w:lang w:val="en-US" w:eastAsia="zh-CN"/>
                    </w:rPr>
                    <w:t>0</w:t>
                  </w:r>
                </w:p>
              </w:tc>
            </w:tr>
            <w:tr w14:paraId="5DA8E3E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254" w:type="pct"/>
                  <w:vMerge w:val="continue"/>
                  <w:tcBorders>
                    <w:tl2br w:val="nil"/>
                    <w:tr2bl w:val="nil"/>
                  </w:tcBorders>
                  <w:noWrap w:val="0"/>
                  <w:vAlign w:val="center"/>
                </w:tcPr>
                <w:p w14:paraId="1C9856C6">
                  <w:pPr>
                    <w:pStyle w:val="698"/>
                    <w:spacing w:line="240" w:lineRule="auto"/>
                    <w:jc w:val="center"/>
                    <w:rPr>
                      <w:rFonts w:hint="default" w:ascii="Times New Roman" w:hAnsi="Times New Roman" w:eastAsia="宋体" w:cs="Times New Roman"/>
                      <w:b w:val="0"/>
                      <w:bCs/>
                      <w:color w:val="auto"/>
                      <w:sz w:val="18"/>
                      <w:szCs w:val="18"/>
                      <w:highlight w:val="none"/>
                      <w:lang w:val="en-US" w:eastAsia="zh-CN"/>
                    </w:rPr>
                  </w:pPr>
                </w:p>
              </w:tc>
              <w:tc>
                <w:tcPr>
                  <w:tcW w:w="519" w:type="pct"/>
                  <w:tcBorders>
                    <w:tl2br w:val="nil"/>
                    <w:tr2bl w:val="nil"/>
                  </w:tcBorders>
                  <w:noWrap w:val="0"/>
                  <w:vAlign w:val="center"/>
                </w:tcPr>
                <w:p w14:paraId="5F0A6284">
                  <w:pPr>
                    <w:pStyle w:val="656"/>
                    <w:keepNext w:val="0"/>
                    <w:keepLines w:val="0"/>
                    <w:pageBreakBefore w:val="0"/>
                    <w:kinsoku/>
                    <w:wordWrap/>
                    <w:overflowPunct/>
                    <w:topLinePunct w:val="0"/>
                    <w:autoSpaceDE/>
                    <w:autoSpaceDN/>
                    <w:bidi w:val="0"/>
                    <w:adjustRightInd w:val="0"/>
                    <w:snapToGrid w:val="0"/>
                    <w:rPr>
                      <w:rFonts w:hint="default"/>
                      <w:color w:val="auto"/>
                      <w:sz w:val="18"/>
                      <w:szCs w:val="18"/>
                      <w:lang w:val="en-US" w:eastAsia="zh-CN"/>
                    </w:rPr>
                  </w:pPr>
                  <w:r>
                    <w:rPr>
                      <w:rFonts w:hint="eastAsia" w:eastAsia="宋体"/>
                      <w:color w:val="auto"/>
                      <w:sz w:val="18"/>
                      <w:szCs w:val="18"/>
                      <w:lang w:val="en-US" w:eastAsia="zh-CN"/>
                    </w:rPr>
                    <w:t>非甲烷总烃</w:t>
                  </w:r>
                </w:p>
              </w:tc>
              <w:tc>
                <w:tcPr>
                  <w:tcW w:w="487" w:type="pct"/>
                  <w:tcBorders>
                    <w:tl2br w:val="nil"/>
                    <w:tr2bl w:val="nil"/>
                  </w:tcBorders>
                  <w:noWrap w:val="0"/>
                  <w:vAlign w:val="center"/>
                </w:tcPr>
                <w:p w14:paraId="46DA6119">
                  <w:pPr>
                    <w:keepNext w:val="0"/>
                    <w:keepLines w:val="0"/>
                    <w:pageBreakBefore w:val="0"/>
                    <w:widowControl/>
                    <w:kinsoku/>
                    <w:wordWrap/>
                    <w:overflowPunct/>
                    <w:topLinePunct w:val="0"/>
                    <w:autoSpaceDE/>
                    <w:autoSpaceDN/>
                    <w:bidi w:val="0"/>
                    <w:adjustRightInd w:val="0"/>
                    <w:snapToGrid w:val="0"/>
                    <w:jc w:val="center"/>
                    <w:rPr>
                      <w:rFonts w:hint="default"/>
                      <w:color w:val="auto"/>
                      <w:sz w:val="18"/>
                      <w:szCs w:val="18"/>
                      <w:lang w:val="en-US" w:eastAsia="zh-CN"/>
                    </w:rPr>
                  </w:pPr>
                  <w:r>
                    <w:rPr>
                      <w:rFonts w:hint="eastAsia"/>
                      <w:color w:val="auto"/>
                      <w:kern w:val="0"/>
                      <w:sz w:val="18"/>
                      <w:szCs w:val="18"/>
                      <w:lang w:val="en-US" w:eastAsia="zh-CN"/>
                    </w:rPr>
                    <w:t>2.578</w:t>
                  </w:r>
                </w:p>
              </w:tc>
              <w:tc>
                <w:tcPr>
                  <w:tcW w:w="492" w:type="pct"/>
                  <w:tcBorders>
                    <w:tl2br w:val="nil"/>
                    <w:tr2bl w:val="nil"/>
                  </w:tcBorders>
                  <w:noWrap w:val="0"/>
                  <w:vAlign w:val="center"/>
                </w:tcPr>
                <w:p w14:paraId="32E893FB">
                  <w:pPr>
                    <w:widowControl/>
                    <w:adjustRightInd w:val="0"/>
                    <w:snapToGrid w:val="0"/>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0</w:t>
                  </w:r>
                </w:p>
              </w:tc>
              <w:tc>
                <w:tcPr>
                  <w:tcW w:w="621" w:type="pct"/>
                  <w:tcBorders>
                    <w:tl2br w:val="nil"/>
                    <w:tr2bl w:val="nil"/>
                  </w:tcBorders>
                  <w:noWrap w:val="0"/>
                  <w:vAlign w:val="center"/>
                </w:tcPr>
                <w:p w14:paraId="61D7CC33">
                  <w:pPr>
                    <w:widowControl/>
                    <w:adjustRightInd w:val="0"/>
                    <w:snapToGrid w:val="0"/>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0</w:t>
                  </w:r>
                </w:p>
              </w:tc>
              <w:tc>
                <w:tcPr>
                  <w:tcW w:w="569" w:type="pct"/>
                  <w:tcBorders>
                    <w:tl2br w:val="nil"/>
                    <w:tr2bl w:val="nil"/>
                  </w:tcBorders>
                  <w:noWrap w:val="0"/>
                  <w:vAlign w:val="center"/>
                </w:tcPr>
                <w:p w14:paraId="3973D72F">
                  <w:pPr>
                    <w:widowControl/>
                    <w:adjustRightInd w:val="0"/>
                    <w:snapToGrid w:val="0"/>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0</w:t>
                  </w:r>
                </w:p>
              </w:tc>
              <w:tc>
                <w:tcPr>
                  <w:tcW w:w="462" w:type="pct"/>
                  <w:tcBorders>
                    <w:tl2br w:val="nil"/>
                    <w:tr2bl w:val="nil"/>
                  </w:tcBorders>
                  <w:noWrap w:val="0"/>
                  <w:vAlign w:val="center"/>
                </w:tcPr>
                <w:p w14:paraId="1FFF2101">
                  <w:pPr>
                    <w:widowControl/>
                    <w:adjustRightInd w:val="0"/>
                    <w:snapToGrid w:val="0"/>
                    <w:jc w:val="center"/>
                    <w:rPr>
                      <w:rFonts w:hint="default"/>
                      <w:color w:val="auto"/>
                      <w:sz w:val="18"/>
                      <w:szCs w:val="18"/>
                      <w:lang w:val="en-US" w:eastAsia="zh-CN"/>
                    </w:rPr>
                  </w:pPr>
                  <w:r>
                    <w:rPr>
                      <w:rFonts w:hint="eastAsia" w:cs="Times New Roman"/>
                      <w:b w:val="0"/>
                      <w:bCs/>
                      <w:color w:val="auto"/>
                      <w:sz w:val="18"/>
                      <w:szCs w:val="18"/>
                      <w:highlight w:val="none"/>
                      <w:lang w:val="en-US" w:eastAsia="zh-CN"/>
                    </w:rPr>
                    <w:t>0</w:t>
                  </w:r>
                </w:p>
              </w:tc>
              <w:tc>
                <w:tcPr>
                  <w:tcW w:w="588" w:type="pct"/>
                  <w:tcBorders>
                    <w:tl2br w:val="nil"/>
                    <w:tr2bl w:val="nil"/>
                  </w:tcBorders>
                  <w:noWrap w:val="0"/>
                  <w:vAlign w:val="center"/>
                </w:tcPr>
                <w:p w14:paraId="582AA502">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18"/>
                      <w:szCs w:val="18"/>
                      <w:highlight w:val="none"/>
                      <w:lang w:val="en-US" w:eastAsia="zh-CN"/>
                    </w:rPr>
                  </w:pPr>
                  <w:r>
                    <w:rPr>
                      <w:rFonts w:hint="eastAsia"/>
                      <w:color w:val="auto"/>
                      <w:kern w:val="0"/>
                      <w:sz w:val="18"/>
                      <w:szCs w:val="18"/>
                      <w:lang w:val="en-US" w:eastAsia="zh-CN"/>
                    </w:rPr>
                    <w:t>2.578</w:t>
                  </w:r>
                </w:p>
              </w:tc>
              <w:tc>
                <w:tcPr>
                  <w:tcW w:w="486" w:type="pct"/>
                  <w:tcBorders>
                    <w:tl2br w:val="nil"/>
                    <w:tr2bl w:val="nil"/>
                  </w:tcBorders>
                  <w:noWrap w:val="0"/>
                  <w:vAlign w:val="center"/>
                </w:tcPr>
                <w:p w14:paraId="382DACBE">
                  <w:pPr>
                    <w:widowControl/>
                    <w:adjustRightInd w:val="0"/>
                    <w:snapToGrid w:val="0"/>
                    <w:jc w:val="center"/>
                    <w:rPr>
                      <w:rFonts w:hint="default"/>
                      <w:color w:val="auto"/>
                      <w:sz w:val="18"/>
                      <w:szCs w:val="18"/>
                      <w:lang w:val="en-US" w:eastAsia="zh-CN"/>
                    </w:rPr>
                  </w:pPr>
                  <w:r>
                    <w:rPr>
                      <w:rFonts w:hint="eastAsia" w:cs="Times New Roman"/>
                      <w:b w:val="0"/>
                      <w:bCs/>
                      <w:color w:val="auto"/>
                      <w:sz w:val="18"/>
                      <w:szCs w:val="18"/>
                      <w:highlight w:val="none"/>
                      <w:lang w:val="en-US" w:eastAsia="zh-CN"/>
                    </w:rPr>
                    <w:t>0</w:t>
                  </w:r>
                </w:p>
              </w:tc>
              <w:tc>
                <w:tcPr>
                  <w:tcW w:w="517" w:type="pct"/>
                  <w:tcBorders>
                    <w:tl2br w:val="nil"/>
                    <w:tr2bl w:val="nil"/>
                  </w:tcBorders>
                  <w:noWrap w:val="0"/>
                  <w:vAlign w:val="center"/>
                </w:tcPr>
                <w:p w14:paraId="660593D3">
                  <w:pPr>
                    <w:widowControl/>
                    <w:adjustRightInd w:val="0"/>
                    <w:snapToGrid w:val="0"/>
                    <w:jc w:val="center"/>
                    <w:rPr>
                      <w:rFonts w:hint="default" w:ascii="Times New Roman" w:hAnsi="Times New Roman" w:eastAsia="宋体" w:cs="Times New Roman"/>
                      <w:b/>
                      <w:bCs w:val="0"/>
                      <w:color w:val="auto"/>
                      <w:sz w:val="18"/>
                      <w:szCs w:val="18"/>
                      <w:highlight w:val="none"/>
                      <w:lang w:val="en-US" w:eastAsia="zh-CN"/>
                    </w:rPr>
                  </w:pPr>
                  <w:r>
                    <w:rPr>
                      <w:rFonts w:hint="eastAsia" w:eastAsia="宋体" w:cs="Times New Roman"/>
                      <w:b/>
                      <w:bCs/>
                      <w:color w:val="auto"/>
                      <w:spacing w:val="0"/>
                      <w:kern w:val="0"/>
                      <w:position w:val="0"/>
                      <w:sz w:val="18"/>
                      <w:szCs w:val="18"/>
                      <w:lang w:val="en-US" w:eastAsia="zh-CN"/>
                    </w:rPr>
                    <w:t>0</w:t>
                  </w:r>
                </w:p>
              </w:tc>
            </w:tr>
            <w:tr w14:paraId="4A649F0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254" w:type="pct"/>
                  <w:vMerge w:val="restart"/>
                  <w:tcBorders>
                    <w:tl2br w:val="nil"/>
                    <w:tr2bl w:val="nil"/>
                  </w:tcBorders>
                  <w:noWrap w:val="0"/>
                  <w:vAlign w:val="center"/>
                </w:tcPr>
                <w:p w14:paraId="4E608C8C">
                  <w:pPr>
                    <w:pStyle w:val="698"/>
                    <w:spacing w:line="240" w:lineRule="auto"/>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固废</w:t>
                  </w:r>
                </w:p>
              </w:tc>
              <w:tc>
                <w:tcPr>
                  <w:tcW w:w="519" w:type="pct"/>
                  <w:tcBorders>
                    <w:tl2br w:val="nil"/>
                    <w:tr2bl w:val="nil"/>
                  </w:tcBorders>
                  <w:noWrap w:val="0"/>
                  <w:vAlign w:val="center"/>
                </w:tcPr>
                <w:p w14:paraId="5F4391CA">
                  <w:pPr>
                    <w:pStyle w:val="698"/>
                    <w:spacing w:line="240" w:lineRule="auto"/>
                    <w:jc w:val="center"/>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一般固废</w:t>
                  </w:r>
                </w:p>
              </w:tc>
              <w:tc>
                <w:tcPr>
                  <w:tcW w:w="487" w:type="pct"/>
                  <w:tcBorders>
                    <w:tl2br w:val="nil"/>
                    <w:tr2bl w:val="nil"/>
                  </w:tcBorders>
                  <w:noWrap w:val="0"/>
                  <w:vAlign w:val="center"/>
                </w:tcPr>
                <w:p w14:paraId="204C929A">
                  <w:pPr>
                    <w:pStyle w:val="698"/>
                    <w:spacing w:line="240" w:lineRule="auto"/>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w:t>
                  </w:r>
                </w:p>
              </w:tc>
              <w:tc>
                <w:tcPr>
                  <w:tcW w:w="492" w:type="pct"/>
                  <w:tcBorders>
                    <w:tl2br w:val="nil"/>
                    <w:tr2bl w:val="nil"/>
                  </w:tcBorders>
                  <w:noWrap w:val="0"/>
                  <w:vAlign w:val="center"/>
                </w:tcPr>
                <w:p w14:paraId="4624642D">
                  <w:pPr>
                    <w:widowControl/>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74</w:t>
                  </w:r>
                </w:p>
              </w:tc>
              <w:tc>
                <w:tcPr>
                  <w:tcW w:w="621" w:type="pct"/>
                  <w:tcBorders>
                    <w:tl2br w:val="nil"/>
                    <w:tr2bl w:val="nil"/>
                  </w:tcBorders>
                  <w:noWrap w:val="0"/>
                  <w:vAlign w:val="center"/>
                </w:tcPr>
                <w:p w14:paraId="589247CE">
                  <w:pPr>
                    <w:widowControl/>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74</w:t>
                  </w:r>
                </w:p>
              </w:tc>
              <w:tc>
                <w:tcPr>
                  <w:tcW w:w="569" w:type="pct"/>
                  <w:tcBorders>
                    <w:tl2br w:val="nil"/>
                    <w:tr2bl w:val="nil"/>
                  </w:tcBorders>
                  <w:noWrap w:val="0"/>
                  <w:vAlign w:val="center"/>
                </w:tcPr>
                <w:p w14:paraId="2FDD2240">
                  <w:pPr>
                    <w:pStyle w:val="698"/>
                    <w:spacing w:line="240" w:lineRule="auto"/>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w:t>
                  </w:r>
                </w:p>
              </w:tc>
              <w:tc>
                <w:tcPr>
                  <w:tcW w:w="462" w:type="pct"/>
                  <w:tcBorders>
                    <w:tl2br w:val="nil"/>
                    <w:tr2bl w:val="nil"/>
                  </w:tcBorders>
                  <w:noWrap w:val="0"/>
                  <w:vAlign w:val="center"/>
                </w:tcPr>
                <w:p w14:paraId="686DE67A">
                  <w:pPr>
                    <w:pStyle w:val="698"/>
                    <w:spacing w:line="240" w:lineRule="auto"/>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0</w:t>
                  </w:r>
                </w:p>
              </w:tc>
              <w:tc>
                <w:tcPr>
                  <w:tcW w:w="588" w:type="pct"/>
                  <w:tcBorders>
                    <w:tl2br w:val="nil"/>
                    <w:tr2bl w:val="nil"/>
                  </w:tcBorders>
                  <w:noWrap w:val="0"/>
                  <w:vAlign w:val="center"/>
                </w:tcPr>
                <w:p w14:paraId="2A812223">
                  <w:pPr>
                    <w:pStyle w:val="698"/>
                    <w:spacing w:line="240" w:lineRule="auto"/>
                    <w:jc w:val="center"/>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0</w:t>
                  </w:r>
                </w:p>
              </w:tc>
              <w:tc>
                <w:tcPr>
                  <w:tcW w:w="486" w:type="pct"/>
                  <w:tcBorders>
                    <w:tl2br w:val="nil"/>
                    <w:tr2bl w:val="nil"/>
                  </w:tcBorders>
                  <w:noWrap w:val="0"/>
                  <w:vAlign w:val="center"/>
                </w:tcPr>
                <w:p w14:paraId="5D207BD6">
                  <w:pPr>
                    <w:pStyle w:val="698"/>
                    <w:spacing w:line="240" w:lineRule="auto"/>
                    <w:jc w:val="center"/>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0</w:t>
                  </w:r>
                </w:p>
              </w:tc>
              <w:tc>
                <w:tcPr>
                  <w:tcW w:w="517" w:type="pct"/>
                  <w:tcBorders>
                    <w:tl2br w:val="nil"/>
                    <w:tr2bl w:val="nil"/>
                  </w:tcBorders>
                  <w:noWrap w:val="0"/>
                  <w:vAlign w:val="center"/>
                </w:tcPr>
                <w:p w14:paraId="582B7039">
                  <w:pPr>
                    <w:pStyle w:val="698"/>
                    <w:spacing w:line="240" w:lineRule="auto"/>
                    <w:jc w:val="center"/>
                    <w:rPr>
                      <w:rFonts w:hint="default" w:ascii="Times New Roman" w:hAnsi="Times New Roman" w:eastAsia="宋体" w:cs="Times New Roman"/>
                      <w:b/>
                      <w:bCs w:val="0"/>
                      <w:color w:val="auto"/>
                      <w:kern w:val="2"/>
                      <w:sz w:val="18"/>
                      <w:szCs w:val="18"/>
                      <w:highlight w:val="none"/>
                      <w:lang w:val="en-US" w:eastAsia="zh-CN" w:bidi="ar-SA"/>
                    </w:rPr>
                  </w:pPr>
                  <w:r>
                    <w:rPr>
                      <w:rFonts w:hint="default" w:ascii="Times New Roman" w:hAnsi="Times New Roman" w:eastAsia="宋体" w:cs="Times New Roman"/>
                      <w:b/>
                      <w:bCs w:val="0"/>
                      <w:color w:val="auto"/>
                      <w:sz w:val="18"/>
                      <w:szCs w:val="18"/>
                      <w:highlight w:val="none"/>
                    </w:rPr>
                    <w:t>0</w:t>
                  </w:r>
                </w:p>
              </w:tc>
            </w:tr>
            <w:tr w14:paraId="616C529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254" w:type="pct"/>
                  <w:vMerge w:val="continue"/>
                  <w:tcBorders>
                    <w:tl2br w:val="nil"/>
                    <w:tr2bl w:val="nil"/>
                  </w:tcBorders>
                  <w:noWrap w:val="0"/>
                  <w:vAlign w:val="center"/>
                </w:tcPr>
                <w:p w14:paraId="49F00267">
                  <w:pPr>
                    <w:pStyle w:val="698"/>
                    <w:spacing w:line="240" w:lineRule="auto"/>
                    <w:jc w:val="center"/>
                    <w:rPr>
                      <w:rFonts w:hint="default" w:ascii="Times New Roman" w:hAnsi="Times New Roman" w:eastAsia="宋体" w:cs="Times New Roman"/>
                      <w:b w:val="0"/>
                      <w:bCs/>
                      <w:color w:val="auto"/>
                      <w:sz w:val="18"/>
                      <w:szCs w:val="18"/>
                      <w:highlight w:val="none"/>
                    </w:rPr>
                  </w:pPr>
                </w:p>
              </w:tc>
              <w:tc>
                <w:tcPr>
                  <w:tcW w:w="519" w:type="pct"/>
                  <w:tcBorders>
                    <w:tl2br w:val="nil"/>
                    <w:tr2bl w:val="nil"/>
                  </w:tcBorders>
                  <w:noWrap w:val="0"/>
                  <w:vAlign w:val="center"/>
                </w:tcPr>
                <w:p w14:paraId="0E218F0C">
                  <w:pPr>
                    <w:pStyle w:val="698"/>
                    <w:spacing w:line="240" w:lineRule="auto"/>
                    <w:jc w:val="center"/>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危险固废</w:t>
                  </w:r>
                </w:p>
              </w:tc>
              <w:tc>
                <w:tcPr>
                  <w:tcW w:w="487" w:type="pct"/>
                  <w:tcBorders>
                    <w:tl2br w:val="nil"/>
                    <w:tr2bl w:val="nil"/>
                  </w:tcBorders>
                  <w:noWrap w:val="0"/>
                  <w:vAlign w:val="center"/>
                </w:tcPr>
                <w:p w14:paraId="2308F8B9">
                  <w:pPr>
                    <w:pStyle w:val="698"/>
                    <w:spacing w:line="240" w:lineRule="auto"/>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w:t>
                  </w:r>
                </w:p>
              </w:tc>
              <w:tc>
                <w:tcPr>
                  <w:tcW w:w="492" w:type="pct"/>
                  <w:tcBorders>
                    <w:tl2br w:val="nil"/>
                    <w:tr2bl w:val="nil"/>
                  </w:tcBorders>
                  <w:noWrap w:val="0"/>
                  <w:vAlign w:val="center"/>
                </w:tcPr>
                <w:p w14:paraId="1794ED48">
                  <w:pPr>
                    <w:widowControl/>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109.6</w:t>
                  </w:r>
                </w:p>
              </w:tc>
              <w:tc>
                <w:tcPr>
                  <w:tcW w:w="621" w:type="pct"/>
                  <w:tcBorders>
                    <w:tl2br w:val="nil"/>
                    <w:tr2bl w:val="nil"/>
                  </w:tcBorders>
                  <w:noWrap w:val="0"/>
                  <w:vAlign w:val="center"/>
                </w:tcPr>
                <w:p w14:paraId="6ECBEF5B">
                  <w:pPr>
                    <w:widowControl/>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109.6</w:t>
                  </w:r>
                </w:p>
              </w:tc>
              <w:tc>
                <w:tcPr>
                  <w:tcW w:w="569" w:type="pct"/>
                  <w:tcBorders>
                    <w:tl2br w:val="nil"/>
                    <w:tr2bl w:val="nil"/>
                  </w:tcBorders>
                  <w:noWrap w:val="0"/>
                  <w:vAlign w:val="center"/>
                </w:tcPr>
                <w:p w14:paraId="5872CD0D">
                  <w:pPr>
                    <w:pStyle w:val="698"/>
                    <w:spacing w:line="240" w:lineRule="auto"/>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w:t>
                  </w:r>
                </w:p>
              </w:tc>
              <w:tc>
                <w:tcPr>
                  <w:tcW w:w="462" w:type="pct"/>
                  <w:tcBorders>
                    <w:tl2br w:val="nil"/>
                    <w:tr2bl w:val="nil"/>
                  </w:tcBorders>
                  <w:noWrap w:val="0"/>
                  <w:vAlign w:val="center"/>
                </w:tcPr>
                <w:p w14:paraId="7D1D87AC">
                  <w:pPr>
                    <w:pStyle w:val="698"/>
                    <w:spacing w:line="240" w:lineRule="auto"/>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0</w:t>
                  </w:r>
                </w:p>
              </w:tc>
              <w:tc>
                <w:tcPr>
                  <w:tcW w:w="588" w:type="pct"/>
                  <w:tcBorders>
                    <w:tl2br w:val="nil"/>
                    <w:tr2bl w:val="nil"/>
                  </w:tcBorders>
                  <w:noWrap w:val="0"/>
                  <w:vAlign w:val="center"/>
                </w:tcPr>
                <w:p w14:paraId="199BF744">
                  <w:pPr>
                    <w:pStyle w:val="698"/>
                    <w:spacing w:line="240" w:lineRule="auto"/>
                    <w:jc w:val="center"/>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0</w:t>
                  </w:r>
                </w:p>
              </w:tc>
              <w:tc>
                <w:tcPr>
                  <w:tcW w:w="486" w:type="pct"/>
                  <w:tcBorders>
                    <w:tl2br w:val="nil"/>
                    <w:tr2bl w:val="nil"/>
                  </w:tcBorders>
                  <w:noWrap w:val="0"/>
                  <w:vAlign w:val="center"/>
                </w:tcPr>
                <w:p w14:paraId="2F994E3A">
                  <w:pPr>
                    <w:pStyle w:val="698"/>
                    <w:spacing w:line="240" w:lineRule="auto"/>
                    <w:jc w:val="center"/>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0</w:t>
                  </w:r>
                </w:p>
              </w:tc>
              <w:tc>
                <w:tcPr>
                  <w:tcW w:w="517" w:type="pct"/>
                  <w:tcBorders>
                    <w:tl2br w:val="nil"/>
                    <w:tr2bl w:val="nil"/>
                  </w:tcBorders>
                  <w:noWrap w:val="0"/>
                  <w:vAlign w:val="center"/>
                </w:tcPr>
                <w:p w14:paraId="454C1AA0">
                  <w:pPr>
                    <w:pStyle w:val="698"/>
                    <w:spacing w:line="240" w:lineRule="auto"/>
                    <w:jc w:val="center"/>
                    <w:rPr>
                      <w:rFonts w:hint="default" w:ascii="Times New Roman" w:hAnsi="Times New Roman" w:eastAsia="宋体" w:cs="Times New Roman"/>
                      <w:b/>
                      <w:bCs w:val="0"/>
                      <w:color w:val="auto"/>
                      <w:kern w:val="2"/>
                      <w:sz w:val="18"/>
                      <w:szCs w:val="18"/>
                      <w:highlight w:val="none"/>
                      <w:lang w:val="en-US" w:eastAsia="zh-CN" w:bidi="ar-SA"/>
                    </w:rPr>
                  </w:pPr>
                  <w:r>
                    <w:rPr>
                      <w:rFonts w:hint="default" w:ascii="Times New Roman" w:hAnsi="Times New Roman" w:eastAsia="宋体" w:cs="Times New Roman"/>
                      <w:b/>
                      <w:bCs w:val="0"/>
                      <w:color w:val="auto"/>
                      <w:sz w:val="18"/>
                      <w:szCs w:val="18"/>
                      <w:highlight w:val="none"/>
                    </w:rPr>
                    <w:t>0</w:t>
                  </w:r>
                </w:p>
              </w:tc>
            </w:tr>
            <w:tr w14:paraId="0F01483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5000" w:type="pct"/>
                  <w:gridSpan w:val="10"/>
                  <w:tcBorders>
                    <w:tl2br w:val="nil"/>
                    <w:tr2bl w:val="nil"/>
                  </w:tcBorders>
                  <w:noWrap w:val="0"/>
                  <w:vAlign w:val="center"/>
                </w:tcPr>
                <w:p w14:paraId="473AEB81">
                  <w:pPr>
                    <w:pStyle w:val="698"/>
                    <w:spacing w:line="240" w:lineRule="auto"/>
                    <w:jc w:val="left"/>
                    <w:rPr>
                      <w:rFonts w:hint="default" w:ascii="Times New Roman" w:hAnsi="Times New Roman" w:eastAsia="宋体" w:cs="Times New Roman"/>
                      <w:b/>
                      <w:bCs w:val="0"/>
                      <w:color w:val="auto"/>
                      <w:sz w:val="18"/>
                      <w:szCs w:val="18"/>
                      <w:highlight w:val="none"/>
                      <w:lang w:val="en-US" w:eastAsia="zh-CN"/>
                    </w:rPr>
                  </w:pPr>
                  <w:r>
                    <w:rPr>
                      <w:rFonts w:hint="eastAsia" w:eastAsia="宋体" w:cs="Times New Roman"/>
                      <w:b/>
                      <w:bCs w:val="0"/>
                      <w:color w:val="auto"/>
                      <w:sz w:val="18"/>
                      <w:szCs w:val="18"/>
                      <w:highlight w:val="none"/>
                      <w:lang w:val="en-US" w:eastAsia="zh-CN"/>
                    </w:rPr>
                    <w:t>注：本项目大气污染物不超过现有项目批复量，因此无需申请总量。</w:t>
                  </w:r>
                </w:p>
              </w:tc>
            </w:tr>
          </w:tbl>
          <w:p w14:paraId="3A84FC79">
            <w:pPr>
              <w:adjustRightInd w:val="0"/>
              <w:snapToGrid w:val="0"/>
              <w:spacing w:line="360" w:lineRule="auto"/>
              <w:ind w:firstLine="422" w:firstLineChars="200"/>
              <w:rPr>
                <w:b/>
                <w:bCs/>
                <w:color w:val="auto"/>
              </w:rPr>
            </w:pPr>
            <w:r>
              <w:rPr>
                <w:rFonts w:hint="eastAsia"/>
                <w:b/>
                <w:bCs/>
                <w:color w:val="auto"/>
              </w:rPr>
              <w:t>2、污染物总量平衡方案</w:t>
            </w:r>
          </w:p>
          <w:p w14:paraId="3A84FC7A">
            <w:pPr>
              <w:spacing w:line="360" w:lineRule="auto"/>
              <w:ind w:firstLine="420" w:firstLineChars="200"/>
              <w:rPr>
                <w:color w:val="auto"/>
              </w:rPr>
            </w:pPr>
            <w:r>
              <w:rPr>
                <w:color w:val="auto"/>
              </w:rPr>
              <w:t>建设单位向常州市金坛生态环境局申请总量，大气污染物排放量应在</w:t>
            </w:r>
            <w:r>
              <w:rPr>
                <w:rFonts w:hint="eastAsia"/>
                <w:color w:val="auto"/>
              </w:rPr>
              <w:t>金坛区</w:t>
            </w:r>
            <w:r>
              <w:rPr>
                <w:color w:val="auto"/>
              </w:rPr>
              <w:t>内平衡；项目废水排放总量已纳入</w:t>
            </w:r>
            <w:r>
              <w:rPr>
                <w:rFonts w:hint="eastAsia"/>
                <w:color w:val="auto"/>
              </w:rPr>
              <w:t>常州市金坛区茅东污水处理厂</w:t>
            </w:r>
            <w:r>
              <w:rPr>
                <w:color w:val="auto"/>
              </w:rPr>
              <w:t>排污总量中，在</w:t>
            </w:r>
            <w:r>
              <w:rPr>
                <w:rFonts w:hint="eastAsia"/>
                <w:color w:val="auto"/>
              </w:rPr>
              <w:t>常州市金坛区茅东污水处理厂</w:t>
            </w:r>
            <w:r>
              <w:rPr>
                <w:color w:val="auto"/>
              </w:rPr>
              <w:t>的污染物排放总量控制指标内进行平衡。</w:t>
            </w:r>
          </w:p>
        </w:tc>
      </w:tr>
    </w:tbl>
    <w:p w14:paraId="3A84FC7C">
      <w:pPr>
        <w:pStyle w:val="55"/>
        <w:rPr>
          <w:color w:val="auto"/>
        </w:rPr>
      </w:pPr>
      <w:r>
        <w:rPr>
          <w:color w:val="auto"/>
          <w:szCs w:val="24"/>
        </w:rPr>
        <w:br w:type="page"/>
      </w:r>
      <w:bookmarkStart w:id="15" w:name="_Toc7882"/>
      <w:bookmarkStart w:id="16" w:name="_Toc137559022"/>
      <w:bookmarkStart w:id="17" w:name="_Toc9736"/>
      <w:r>
        <w:rPr>
          <w:color w:val="auto"/>
        </w:rPr>
        <w:t>四、主要环境影响和保护措施</w:t>
      </w:r>
      <w:bookmarkEnd w:id="15"/>
      <w:bookmarkEnd w:id="16"/>
      <w:bookmarkEnd w:id="17"/>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8579"/>
      </w:tblGrid>
      <w:tr w14:paraId="3A84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2" w:hRule="atLeast"/>
        </w:trPr>
        <w:tc>
          <w:tcPr>
            <w:tcW w:w="822" w:type="dxa"/>
            <w:shd w:val="clear" w:color="auto" w:fill="auto"/>
            <w:vAlign w:val="center"/>
          </w:tcPr>
          <w:p w14:paraId="3A84FC7D">
            <w:pPr>
              <w:pStyle w:val="55"/>
              <w:rPr>
                <w:color w:val="auto"/>
                <w:sz w:val="21"/>
                <w:szCs w:val="21"/>
              </w:rPr>
            </w:pPr>
            <w:r>
              <w:rPr>
                <w:color w:val="auto"/>
                <w:sz w:val="21"/>
                <w:szCs w:val="21"/>
              </w:rPr>
              <w:t>施工期环境保护措施</w:t>
            </w:r>
          </w:p>
        </w:tc>
        <w:tc>
          <w:tcPr>
            <w:tcW w:w="8579" w:type="dxa"/>
            <w:shd w:val="clear" w:color="auto" w:fill="auto"/>
            <w:vAlign w:val="center"/>
          </w:tcPr>
          <w:p w14:paraId="3A84FC7E">
            <w:pPr>
              <w:adjustRightInd w:val="0"/>
              <w:snapToGrid w:val="0"/>
              <w:spacing w:line="360" w:lineRule="auto"/>
              <w:ind w:firstLine="420" w:firstLineChars="200"/>
              <w:rPr>
                <w:b/>
                <w:color w:val="auto"/>
              </w:rPr>
            </w:pPr>
            <w:r>
              <w:rPr>
                <w:rFonts w:hint="eastAsia"/>
                <w:bCs/>
                <w:color w:val="auto"/>
                <w:kern w:val="0"/>
              </w:rPr>
              <w:t>本项目</w:t>
            </w:r>
            <w:r>
              <w:rPr>
                <w:rFonts w:hint="eastAsia"/>
                <w:bCs/>
                <w:color w:val="auto"/>
                <w:kern w:val="0"/>
                <w:lang w:val="en-US" w:eastAsia="zh-CN"/>
              </w:rPr>
              <w:t>厂房已经建成，并且已取得房产证。因此本次评价不包含相关厂房建设评价内容</w:t>
            </w:r>
            <w:r>
              <w:rPr>
                <w:color w:val="auto"/>
                <w:kern w:val="0"/>
              </w:rPr>
              <w:t>。考虑</w:t>
            </w:r>
            <w:r>
              <w:rPr>
                <w:rFonts w:hint="eastAsia"/>
                <w:color w:val="auto"/>
                <w:kern w:val="0"/>
                <w:lang w:val="en-US" w:eastAsia="zh-CN"/>
              </w:rPr>
              <w:t>无施工期环境影响</w:t>
            </w:r>
            <w:r>
              <w:rPr>
                <w:color w:val="auto"/>
                <w:kern w:val="0"/>
              </w:rPr>
              <w:t>，本评价主要针对营运期影响进行分析。</w:t>
            </w:r>
          </w:p>
        </w:tc>
      </w:tr>
      <w:tr w14:paraId="3A84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2" w:hRule="atLeast"/>
        </w:trPr>
        <w:tc>
          <w:tcPr>
            <w:tcW w:w="822" w:type="dxa"/>
            <w:shd w:val="clear" w:color="auto" w:fill="auto"/>
            <w:vAlign w:val="center"/>
          </w:tcPr>
          <w:p w14:paraId="3A84FC80">
            <w:pPr>
              <w:pStyle w:val="55"/>
              <w:rPr>
                <w:color w:val="auto"/>
                <w:sz w:val="21"/>
                <w:szCs w:val="21"/>
              </w:rPr>
            </w:pPr>
            <w:r>
              <w:rPr>
                <w:color w:val="auto"/>
                <w:sz w:val="21"/>
                <w:szCs w:val="21"/>
              </w:rPr>
              <w:t>运营期环境影响和保护措施</w:t>
            </w:r>
          </w:p>
        </w:tc>
        <w:tc>
          <w:tcPr>
            <w:tcW w:w="8579" w:type="dxa"/>
            <w:shd w:val="clear" w:color="auto" w:fill="auto"/>
          </w:tcPr>
          <w:p w14:paraId="3A84FC81">
            <w:pPr>
              <w:adjustRightInd w:val="0"/>
              <w:snapToGrid w:val="0"/>
              <w:spacing w:line="360" w:lineRule="auto"/>
              <w:rPr>
                <w:b/>
                <w:bCs/>
                <w:color w:val="auto"/>
              </w:rPr>
            </w:pPr>
            <w:r>
              <w:rPr>
                <w:b/>
                <w:bCs/>
                <w:color w:val="auto"/>
              </w:rPr>
              <w:t>1、大气环境影响分析</w:t>
            </w:r>
          </w:p>
          <w:p w14:paraId="3A84FC82">
            <w:pPr>
              <w:pStyle w:val="5"/>
              <w:adjustRightInd w:val="0"/>
              <w:snapToGrid w:val="0"/>
              <w:spacing w:line="360" w:lineRule="auto"/>
              <w:ind w:firstLine="422" w:firstLineChars="200"/>
              <w:rPr>
                <w:b/>
                <w:bCs/>
                <w:color w:val="auto"/>
                <w:szCs w:val="21"/>
              </w:rPr>
            </w:pPr>
            <w:r>
              <w:rPr>
                <w:rFonts w:hint="eastAsia"/>
                <w:b/>
                <w:bCs/>
                <w:color w:val="auto"/>
                <w:szCs w:val="21"/>
              </w:rPr>
              <w:t>（1）正常工况</w:t>
            </w:r>
          </w:p>
          <w:p w14:paraId="3A84FC83">
            <w:pPr>
              <w:pStyle w:val="5"/>
              <w:adjustRightInd w:val="0"/>
              <w:snapToGrid w:val="0"/>
              <w:spacing w:line="360" w:lineRule="auto"/>
              <w:ind w:firstLineChars="200"/>
              <w:rPr>
                <w:color w:val="auto"/>
                <w:kern w:val="0"/>
                <w:szCs w:val="21"/>
              </w:rPr>
            </w:pPr>
            <w:r>
              <w:rPr>
                <w:color w:val="auto"/>
                <w:kern w:val="0"/>
              </w:rPr>
              <w:t>本项目产生的大气污染物主要</w:t>
            </w:r>
            <w:r>
              <w:rPr>
                <w:rFonts w:hint="eastAsia"/>
                <w:color w:val="auto"/>
                <w:kern w:val="0"/>
                <w:lang w:val="en-US" w:eastAsia="zh-CN"/>
              </w:rPr>
              <w:t>是不合格品</w:t>
            </w:r>
            <w:r>
              <w:rPr>
                <w:rFonts w:hint="eastAsia"/>
                <w:color w:val="auto"/>
                <w:kern w:val="0"/>
              </w:rPr>
              <w:t>焚烧产生的有机废气、颗粒物、二噁英等</w:t>
            </w:r>
            <w:r>
              <w:rPr>
                <w:rFonts w:hint="eastAsia"/>
                <w:color w:val="auto"/>
                <w:kern w:val="0"/>
                <w:szCs w:val="21"/>
              </w:rPr>
              <w:t>。</w:t>
            </w:r>
          </w:p>
          <w:p w14:paraId="3A84FC84">
            <w:pPr>
              <w:pStyle w:val="5"/>
              <w:adjustRightInd w:val="0"/>
              <w:snapToGrid w:val="0"/>
              <w:spacing w:line="360" w:lineRule="auto"/>
              <w:ind w:firstLineChars="200"/>
              <w:rPr>
                <w:color w:val="auto"/>
                <w:kern w:val="0"/>
                <w:szCs w:val="21"/>
              </w:rPr>
            </w:pPr>
            <w:r>
              <w:rPr>
                <w:rFonts w:hint="eastAsia"/>
                <w:color w:val="auto"/>
                <w:kern w:val="0"/>
                <w:szCs w:val="21"/>
              </w:rPr>
              <w:t>项目</w:t>
            </w:r>
            <w:r>
              <w:rPr>
                <w:color w:val="auto"/>
                <w:kern w:val="0"/>
                <w:szCs w:val="21"/>
              </w:rPr>
              <w:t>有组织废气源强产生及排放</w:t>
            </w:r>
            <w:r>
              <w:rPr>
                <w:rFonts w:hint="eastAsia"/>
                <w:color w:val="auto"/>
                <w:kern w:val="0"/>
                <w:szCs w:val="21"/>
              </w:rPr>
              <w:t>情况</w:t>
            </w:r>
            <w:r>
              <w:rPr>
                <w:color w:val="auto"/>
                <w:kern w:val="0"/>
                <w:szCs w:val="21"/>
              </w:rPr>
              <w:t>详见表4-1。</w:t>
            </w:r>
          </w:p>
          <w:p w14:paraId="3A84FC85">
            <w:pPr>
              <w:adjustRightInd w:val="0"/>
              <w:snapToGrid w:val="0"/>
              <w:spacing w:line="360" w:lineRule="auto"/>
              <w:rPr>
                <w:bCs/>
                <w:color w:val="auto"/>
                <w:kern w:val="0"/>
              </w:rPr>
            </w:pPr>
          </w:p>
        </w:tc>
      </w:tr>
    </w:tbl>
    <w:p w14:paraId="3427D797">
      <w:pPr>
        <w:pStyle w:val="55"/>
        <w:rPr>
          <w:color w:val="auto"/>
        </w:rPr>
        <w:sectPr>
          <w:pgSz w:w="11907" w:h="16840"/>
          <w:pgMar w:top="1418" w:right="1361" w:bottom="1418" w:left="1361" w:header="851" w:footer="851" w:gutter="0"/>
          <w:pgBorders>
            <w:top w:val="none" w:sz="0" w:space="0"/>
            <w:left w:val="none" w:sz="0" w:space="0"/>
            <w:bottom w:val="none" w:sz="0" w:space="0"/>
            <w:right w:val="none" w:sz="0" w:space="0"/>
          </w:pgBorders>
          <w:cols w:space="720" w:num="1"/>
          <w:docGrid w:linePitch="312" w:charSpace="0"/>
        </w:sectPr>
      </w:pP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3493"/>
      </w:tblGrid>
      <w:tr w14:paraId="3A84F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9" w:hRule="atLeast"/>
        </w:trPr>
        <w:tc>
          <w:tcPr>
            <w:tcW w:w="727" w:type="dxa"/>
            <w:shd w:val="clear" w:color="auto" w:fill="auto"/>
            <w:vAlign w:val="center"/>
          </w:tcPr>
          <w:p w14:paraId="3A84FC88">
            <w:pPr>
              <w:pStyle w:val="55"/>
              <w:rPr>
                <w:color w:val="auto"/>
                <w:sz w:val="28"/>
                <w:szCs w:val="28"/>
              </w:rPr>
            </w:pPr>
            <w:r>
              <w:rPr>
                <w:color w:val="auto"/>
              </w:rPr>
              <w:t>运营期环境影响和保护措施</w:t>
            </w:r>
          </w:p>
        </w:tc>
        <w:tc>
          <w:tcPr>
            <w:tcW w:w="13493" w:type="dxa"/>
            <w:shd w:val="clear" w:color="auto" w:fill="auto"/>
          </w:tcPr>
          <w:p w14:paraId="3A84FC89">
            <w:pPr>
              <w:pStyle w:val="23"/>
              <w:widowControl w:val="0"/>
              <w:snapToGrid/>
              <w:spacing w:line="240" w:lineRule="auto"/>
              <w:jc w:val="center"/>
              <w:rPr>
                <w:b/>
                <w:color w:val="auto"/>
                <w:spacing w:val="6"/>
                <w:kern w:val="18"/>
                <w:sz w:val="21"/>
                <w:szCs w:val="21"/>
              </w:rPr>
            </w:pPr>
            <w:r>
              <w:rPr>
                <w:b/>
                <w:color w:val="auto"/>
                <w:spacing w:val="6"/>
                <w:kern w:val="18"/>
                <w:sz w:val="21"/>
                <w:szCs w:val="21"/>
              </w:rPr>
              <w:t xml:space="preserve">表4-1  </w:t>
            </w:r>
            <w:r>
              <w:rPr>
                <w:rFonts w:hint="eastAsia"/>
                <w:b/>
                <w:color w:val="auto"/>
                <w:spacing w:val="6"/>
                <w:kern w:val="18"/>
                <w:sz w:val="21"/>
                <w:szCs w:val="21"/>
              </w:rPr>
              <w:t xml:space="preserve"> 本</w:t>
            </w:r>
            <w:r>
              <w:rPr>
                <w:rFonts w:hint="eastAsia"/>
                <w:b/>
                <w:color w:val="auto"/>
                <w:sz w:val="21"/>
                <w:szCs w:val="21"/>
              </w:rPr>
              <w:t>项目有组织废气产生及排放情况</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35"/>
              <w:gridCol w:w="787"/>
              <w:gridCol w:w="628"/>
              <w:gridCol w:w="1230"/>
              <w:gridCol w:w="1133"/>
              <w:gridCol w:w="1035"/>
              <w:gridCol w:w="1155"/>
              <w:gridCol w:w="1020"/>
              <w:gridCol w:w="735"/>
              <w:gridCol w:w="682"/>
              <w:gridCol w:w="937"/>
              <w:gridCol w:w="1120"/>
              <w:gridCol w:w="1027"/>
              <w:gridCol w:w="948"/>
            </w:tblGrid>
            <w:tr w14:paraId="3A84FC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14" w:type="pct"/>
                  <w:vMerge w:val="restart"/>
                  <w:vAlign w:val="center"/>
                </w:tcPr>
                <w:p w14:paraId="3A84FC8A">
                  <w:pPr>
                    <w:pStyle w:val="656"/>
                    <w:snapToGrid w:val="0"/>
                    <w:rPr>
                      <w:rFonts w:eastAsia="宋体"/>
                      <w:b/>
                      <w:bCs/>
                      <w:color w:val="auto"/>
                      <w:sz w:val="18"/>
                      <w:szCs w:val="18"/>
                    </w:rPr>
                  </w:pPr>
                  <w:r>
                    <w:rPr>
                      <w:rFonts w:hint="eastAsia" w:eastAsia="宋体"/>
                      <w:b/>
                      <w:bCs/>
                      <w:color w:val="auto"/>
                      <w:sz w:val="18"/>
                      <w:szCs w:val="18"/>
                    </w:rPr>
                    <w:t>排放口</w:t>
                  </w:r>
                </w:p>
              </w:tc>
              <w:tc>
                <w:tcPr>
                  <w:tcW w:w="296" w:type="pct"/>
                  <w:vMerge w:val="restart"/>
                  <w:vAlign w:val="center"/>
                </w:tcPr>
                <w:p w14:paraId="3A84FC8B">
                  <w:pPr>
                    <w:pStyle w:val="656"/>
                    <w:snapToGrid w:val="0"/>
                    <w:rPr>
                      <w:rFonts w:eastAsia="宋体"/>
                      <w:b/>
                      <w:bCs/>
                      <w:color w:val="auto"/>
                      <w:sz w:val="18"/>
                      <w:szCs w:val="18"/>
                    </w:rPr>
                  </w:pPr>
                  <w:r>
                    <w:rPr>
                      <w:rFonts w:hint="eastAsia" w:eastAsia="宋体"/>
                      <w:b/>
                      <w:bCs/>
                      <w:color w:val="auto"/>
                      <w:sz w:val="18"/>
                      <w:szCs w:val="18"/>
                    </w:rPr>
                    <w:t>排气量m</w:t>
                  </w:r>
                  <w:r>
                    <w:rPr>
                      <w:rFonts w:eastAsia="宋体"/>
                      <w:b/>
                      <w:bCs/>
                      <w:color w:val="auto"/>
                      <w:sz w:val="18"/>
                      <w:szCs w:val="18"/>
                    </w:rPr>
                    <w:t>³</w:t>
                  </w:r>
                  <w:r>
                    <w:rPr>
                      <w:rFonts w:hint="eastAsia" w:eastAsia="宋体"/>
                      <w:b/>
                      <w:bCs/>
                      <w:color w:val="auto"/>
                      <w:sz w:val="18"/>
                      <w:szCs w:val="18"/>
                    </w:rPr>
                    <w:t>/h</w:t>
                  </w:r>
                </w:p>
              </w:tc>
              <w:tc>
                <w:tcPr>
                  <w:tcW w:w="236" w:type="pct"/>
                  <w:vMerge w:val="restart"/>
                  <w:vAlign w:val="center"/>
                </w:tcPr>
                <w:p w14:paraId="3A84FC8C">
                  <w:pPr>
                    <w:pStyle w:val="656"/>
                    <w:snapToGrid w:val="0"/>
                    <w:rPr>
                      <w:rFonts w:eastAsia="宋体"/>
                      <w:b/>
                      <w:bCs/>
                      <w:color w:val="auto"/>
                      <w:sz w:val="18"/>
                      <w:szCs w:val="18"/>
                    </w:rPr>
                  </w:pPr>
                  <w:r>
                    <w:rPr>
                      <w:rFonts w:hint="eastAsia" w:eastAsia="宋体"/>
                      <w:b/>
                      <w:bCs/>
                      <w:color w:val="auto"/>
                      <w:sz w:val="18"/>
                      <w:szCs w:val="18"/>
                    </w:rPr>
                    <w:t>产污</w:t>
                  </w:r>
                </w:p>
                <w:p w14:paraId="3A84FC8D">
                  <w:pPr>
                    <w:pStyle w:val="656"/>
                    <w:snapToGrid w:val="0"/>
                    <w:rPr>
                      <w:rFonts w:eastAsia="宋体"/>
                      <w:b/>
                      <w:bCs/>
                      <w:color w:val="auto"/>
                      <w:sz w:val="18"/>
                      <w:szCs w:val="18"/>
                    </w:rPr>
                  </w:pPr>
                  <w:r>
                    <w:rPr>
                      <w:rFonts w:hint="eastAsia" w:eastAsia="宋体"/>
                      <w:b/>
                      <w:bCs/>
                      <w:color w:val="auto"/>
                      <w:sz w:val="18"/>
                      <w:szCs w:val="18"/>
                    </w:rPr>
                    <w:t>环节</w:t>
                  </w:r>
                </w:p>
              </w:tc>
              <w:tc>
                <w:tcPr>
                  <w:tcW w:w="463" w:type="pct"/>
                  <w:vMerge w:val="restart"/>
                  <w:vAlign w:val="center"/>
                </w:tcPr>
                <w:p w14:paraId="3A84FC8E">
                  <w:pPr>
                    <w:pStyle w:val="656"/>
                    <w:snapToGrid w:val="0"/>
                    <w:rPr>
                      <w:rFonts w:eastAsia="宋体"/>
                      <w:b/>
                      <w:bCs/>
                      <w:color w:val="auto"/>
                      <w:sz w:val="18"/>
                      <w:szCs w:val="18"/>
                    </w:rPr>
                  </w:pPr>
                  <w:r>
                    <w:rPr>
                      <w:rFonts w:hint="eastAsia" w:eastAsia="宋体"/>
                      <w:b/>
                      <w:bCs/>
                      <w:color w:val="auto"/>
                      <w:sz w:val="18"/>
                      <w:szCs w:val="18"/>
                    </w:rPr>
                    <w:t>污染物</w:t>
                  </w:r>
                </w:p>
              </w:tc>
              <w:tc>
                <w:tcPr>
                  <w:tcW w:w="1251" w:type="pct"/>
                  <w:gridSpan w:val="3"/>
                  <w:vAlign w:val="center"/>
                </w:tcPr>
                <w:p w14:paraId="3A84FC8F">
                  <w:pPr>
                    <w:pStyle w:val="656"/>
                    <w:snapToGrid w:val="0"/>
                    <w:rPr>
                      <w:rFonts w:eastAsia="宋体"/>
                      <w:b/>
                      <w:bCs/>
                      <w:color w:val="auto"/>
                      <w:sz w:val="18"/>
                      <w:szCs w:val="18"/>
                    </w:rPr>
                  </w:pPr>
                  <w:r>
                    <w:rPr>
                      <w:rFonts w:eastAsia="宋体"/>
                      <w:b/>
                      <w:bCs/>
                      <w:color w:val="auto"/>
                      <w:sz w:val="18"/>
                      <w:szCs w:val="18"/>
                    </w:rPr>
                    <w:t>污染物产生</w:t>
                  </w:r>
                  <w:r>
                    <w:rPr>
                      <w:rFonts w:hint="eastAsia" w:eastAsia="宋体"/>
                      <w:b/>
                      <w:bCs/>
                      <w:color w:val="auto"/>
                      <w:sz w:val="18"/>
                      <w:szCs w:val="18"/>
                    </w:rPr>
                    <w:t>情况</w:t>
                  </w:r>
                </w:p>
              </w:tc>
              <w:tc>
                <w:tcPr>
                  <w:tcW w:w="384" w:type="pct"/>
                  <w:vMerge w:val="restart"/>
                  <w:vAlign w:val="center"/>
                </w:tcPr>
                <w:p w14:paraId="3A84FC90">
                  <w:pPr>
                    <w:pStyle w:val="656"/>
                    <w:snapToGrid w:val="0"/>
                    <w:rPr>
                      <w:rFonts w:eastAsia="宋体"/>
                      <w:b/>
                      <w:bCs/>
                      <w:color w:val="auto"/>
                      <w:sz w:val="18"/>
                      <w:szCs w:val="18"/>
                    </w:rPr>
                  </w:pPr>
                  <w:r>
                    <w:rPr>
                      <w:rStyle w:val="71"/>
                      <w:rFonts w:hint="eastAsia" w:eastAsia="宋体"/>
                      <w:b/>
                      <w:bCs/>
                      <w:color w:val="auto"/>
                      <w:kern w:val="0"/>
                      <w:sz w:val="18"/>
                      <w:szCs w:val="18"/>
                    </w:rPr>
                    <w:t>治理措施</w:t>
                  </w:r>
                </w:p>
              </w:tc>
              <w:tc>
                <w:tcPr>
                  <w:tcW w:w="276" w:type="pct"/>
                  <w:vMerge w:val="restart"/>
                  <w:vAlign w:val="center"/>
                </w:tcPr>
                <w:p w14:paraId="3A84FC91">
                  <w:pPr>
                    <w:pStyle w:val="656"/>
                    <w:snapToGrid w:val="0"/>
                    <w:rPr>
                      <w:rStyle w:val="71"/>
                      <w:rFonts w:eastAsia="宋体"/>
                      <w:color w:val="auto"/>
                      <w:kern w:val="0"/>
                      <w:sz w:val="18"/>
                      <w:szCs w:val="18"/>
                    </w:rPr>
                  </w:pPr>
                  <w:r>
                    <w:rPr>
                      <w:rStyle w:val="71"/>
                      <w:rFonts w:hint="eastAsia" w:eastAsia="宋体"/>
                      <w:b/>
                      <w:bCs/>
                      <w:color w:val="auto"/>
                      <w:kern w:val="0"/>
                      <w:sz w:val="18"/>
                      <w:szCs w:val="18"/>
                    </w:rPr>
                    <w:t>收集率%</w:t>
                  </w:r>
                </w:p>
              </w:tc>
              <w:tc>
                <w:tcPr>
                  <w:tcW w:w="256" w:type="pct"/>
                  <w:vMerge w:val="restart"/>
                  <w:vAlign w:val="center"/>
                </w:tcPr>
                <w:p w14:paraId="3A84FC92">
                  <w:pPr>
                    <w:pStyle w:val="656"/>
                    <w:snapToGrid w:val="0"/>
                    <w:rPr>
                      <w:rFonts w:eastAsia="宋体"/>
                      <w:b/>
                      <w:bCs/>
                      <w:color w:val="auto"/>
                      <w:sz w:val="18"/>
                      <w:szCs w:val="18"/>
                    </w:rPr>
                  </w:pPr>
                  <w:r>
                    <w:rPr>
                      <w:rFonts w:eastAsia="宋体"/>
                      <w:b/>
                      <w:bCs/>
                      <w:color w:val="auto"/>
                      <w:sz w:val="18"/>
                      <w:szCs w:val="18"/>
                    </w:rPr>
                    <w:t>去除率%</w:t>
                  </w:r>
                </w:p>
              </w:tc>
              <w:tc>
                <w:tcPr>
                  <w:tcW w:w="1518" w:type="pct"/>
                  <w:gridSpan w:val="4"/>
                  <w:vAlign w:val="center"/>
                </w:tcPr>
                <w:p w14:paraId="3A84FC93">
                  <w:pPr>
                    <w:pStyle w:val="656"/>
                    <w:snapToGrid w:val="0"/>
                    <w:rPr>
                      <w:rFonts w:eastAsia="宋体"/>
                      <w:b/>
                      <w:bCs/>
                      <w:color w:val="auto"/>
                      <w:sz w:val="18"/>
                      <w:szCs w:val="18"/>
                    </w:rPr>
                  </w:pPr>
                  <w:r>
                    <w:rPr>
                      <w:rFonts w:eastAsia="宋体"/>
                      <w:b/>
                      <w:bCs/>
                      <w:color w:val="auto"/>
                      <w:sz w:val="18"/>
                      <w:szCs w:val="18"/>
                    </w:rPr>
                    <w:t>污染物排放</w:t>
                  </w:r>
                  <w:r>
                    <w:rPr>
                      <w:rFonts w:hint="eastAsia" w:eastAsia="宋体"/>
                      <w:b/>
                      <w:bCs/>
                      <w:color w:val="auto"/>
                      <w:sz w:val="18"/>
                      <w:szCs w:val="18"/>
                    </w:rPr>
                    <w:t>情况</w:t>
                  </w:r>
                </w:p>
              </w:tc>
            </w:tr>
            <w:tr w14:paraId="3A84FCA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14" w:type="pct"/>
                  <w:vMerge w:val="continue"/>
                  <w:vAlign w:val="center"/>
                </w:tcPr>
                <w:p w14:paraId="3A84FC95">
                  <w:pPr>
                    <w:pStyle w:val="656"/>
                    <w:snapToGrid w:val="0"/>
                    <w:rPr>
                      <w:rFonts w:eastAsia="宋体"/>
                      <w:b/>
                      <w:bCs/>
                      <w:color w:val="auto"/>
                      <w:sz w:val="18"/>
                      <w:szCs w:val="18"/>
                    </w:rPr>
                  </w:pPr>
                </w:p>
              </w:tc>
              <w:tc>
                <w:tcPr>
                  <w:tcW w:w="296" w:type="pct"/>
                  <w:vMerge w:val="continue"/>
                  <w:vAlign w:val="center"/>
                </w:tcPr>
                <w:p w14:paraId="3A84FC96">
                  <w:pPr>
                    <w:pStyle w:val="656"/>
                    <w:snapToGrid w:val="0"/>
                    <w:rPr>
                      <w:rFonts w:eastAsia="宋体"/>
                      <w:b/>
                      <w:bCs/>
                      <w:color w:val="auto"/>
                      <w:sz w:val="18"/>
                      <w:szCs w:val="18"/>
                    </w:rPr>
                  </w:pPr>
                </w:p>
              </w:tc>
              <w:tc>
                <w:tcPr>
                  <w:tcW w:w="236" w:type="pct"/>
                  <w:vMerge w:val="continue"/>
                  <w:vAlign w:val="center"/>
                </w:tcPr>
                <w:p w14:paraId="3A84FC97">
                  <w:pPr>
                    <w:pStyle w:val="656"/>
                    <w:snapToGrid w:val="0"/>
                    <w:rPr>
                      <w:rFonts w:eastAsia="宋体"/>
                      <w:b/>
                      <w:bCs/>
                      <w:color w:val="auto"/>
                      <w:sz w:val="18"/>
                      <w:szCs w:val="18"/>
                    </w:rPr>
                  </w:pPr>
                </w:p>
              </w:tc>
              <w:tc>
                <w:tcPr>
                  <w:tcW w:w="463" w:type="pct"/>
                  <w:vMerge w:val="continue"/>
                  <w:vAlign w:val="center"/>
                </w:tcPr>
                <w:p w14:paraId="3A84FC98">
                  <w:pPr>
                    <w:pStyle w:val="656"/>
                    <w:snapToGrid w:val="0"/>
                    <w:rPr>
                      <w:rFonts w:eastAsia="宋体"/>
                      <w:b/>
                      <w:bCs/>
                      <w:color w:val="auto"/>
                      <w:sz w:val="18"/>
                      <w:szCs w:val="18"/>
                    </w:rPr>
                  </w:pPr>
                </w:p>
              </w:tc>
              <w:tc>
                <w:tcPr>
                  <w:tcW w:w="426" w:type="pct"/>
                  <w:vAlign w:val="center"/>
                </w:tcPr>
                <w:p w14:paraId="3A84FC99">
                  <w:pPr>
                    <w:pStyle w:val="656"/>
                    <w:snapToGrid w:val="0"/>
                    <w:rPr>
                      <w:rFonts w:eastAsia="宋体"/>
                      <w:b/>
                      <w:bCs/>
                      <w:color w:val="auto"/>
                      <w:sz w:val="18"/>
                      <w:szCs w:val="18"/>
                    </w:rPr>
                  </w:pPr>
                  <w:r>
                    <w:rPr>
                      <w:rFonts w:hint="eastAsia" w:eastAsia="宋体"/>
                      <w:b/>
                      <w:bCs/>
                      <w:color w:val="auto"/>
                      <w:sz w:val="18"/>
                      <w:szCs w:val="18"/>
                    </w:rPr>
                    <w:t>浓度mg/m</w:t>
                  </w:r>
                  <w:r>
                    <w:rPr>
                      <w:rFonts w:eastAsia="宋体"/>
                      <w:b/>
                      <w:bCs/>
                      <w:color w:val="auto"/>
                      <w:sz w:val="18"/>
                      <w:szCs w:val="18"/>
                    </w:rPr>
                    <w:t>³</w:t>
                  </w:r>
                </w:p>
              </w:tc>
              <w:tc>
                <w:tcPr>
                  <w:tcW w:w="389" w:type="pct"/>
                  <w:vAlign w:val="center"/>
                </w:tcPr>
                <w:p w14:paraId="3A84FC9A">
                  <w:pPr>
                    <w:pStyle w:val="656"/>
                    <w:snapToGrid w:val="0"/>
                    <w:rPr>
                      <w:rFonts w:eastAsia="宋体"/>
                      <w:b/>
                      <w:bCs/>
                      <w:color w:val="auto"/>
                      <w:sz w:val="18"/>
                      <w:szCs w:val="18"/>
                    </w:rPr>
                  </w:pPr>
                  <w:r>
                    <w:rPr>
                      <w:rFonts w:hint="eastAsia" w:eastAsia="宋体"/>
                      <w:b/>
                      <w:bCs/>
                      <w:color w:val="auto"/>
                      <w:sz w:val="18"/>
                      <w:szCs w:val="18"/>
                    </w:rPr>
                    <w:t>速率kg</w:t>
                  </w:r>
                  <w:r>
                    <w:rPr>
                      <w:rFonts w:eastAsia="宋体"/>
                      <w:b/>
                      <w:bCs/>
                      <w:color w:val="auto"/>
                      <w:sz w:val="18"/>
                      <w:szCs w:val="18"/>
                    </w:rPr>
                    <w:t>/h</w:t>
                  </w:r>
                </w:p>
              </w:tc>
              <w:tc>
                <w:tcPr>
                  <w:tcW w:w="435" w:type="pct"/>
                  <w:vAlign w:val="center"/>
                </w:tcPr>
                <w:p w14:paraId="3A84FC9B">
                  <w:pPr>
                    <w:pStyle w:val="656"/>
                    <w:snapToGrid w:val="0"/>
                    <w:rPr>
                      <w:rFonts w:eastAsia="宋体"/>
                      <w:b/>
                      <w:bCs/>
                      <w:color w:val="auto"/>
                      <w:sz w:val="18"/>
                      <w:szCs w:val="18"/>
                    </w:rPr>
                  </w:pPr>
                  <w:r>
                    <w:rPr>
                      <w:rFonts w:eastAsia="宋体"/>
                      <w:b/>
                      <w:bCs/>
                      <w:color w:val="auto"/>
                      <w:sz w:val="18"/>
                      <w:szCs w:val="18"/>
                    </w:rPr>
                    <w:t>产生量</w:t>
                  </w:r>
                  <w:r>
                    <w:rPr>
                      <w:rFonts w:hint="eastAsia" w:eastAsia="宋体"/>
                      <w:b/>
                      <w:bCs/>
                      <w:color w:val="auto"/>
                      <w:sz w:val="18"/>
                      <w:szCs w:val="18"/>
                    </w:rPr>
                    <w:t>t</w:t>
                  </w:r>
                  <w:r>
                    <w:rPr>
                      <w:rFonts w:eastAsia="宋体"/>
                      <w:b/>
                      <w:bCs/>
                      <w:color w:val="auto"/>
                      <w:sz w:val="18"/>
                      <w:szCs w:val="18"/>
                    </w:rPr>
                    <w:t>/a</w:t>
                  </w:r>
                </w:p>
              </w:tc>
              <w:tc>
                <w:tcPr>
                  <w:tcW w:w="384" w:type="pct"/>
                  <w:vMerge w:val="continue"/>
                  <w:vAlign w:val="center"/>
                </w:tcPr>
                <w:p w14:paraId="3A84FC9C">
                  <w:pPr>
                    <w:pStyle w:val="656"/>
                    <w:snapToGrid w:val="0"/>
                    <w:rPr>
                      <w:rFonts w:eastAsia="宋体"/>
                      <w:b/>
                      <w:bCs/>
                      <w:color w:val="auto"/>
                      <w:sz w:val="18"/>
                      <w:szCs w:val="18"/>
                    </w:rPr>
                  </w:pPr>
                </w:p>
              </w:tc>
              <w:tc>
                <w:tcPr>
                  <w:tcW w:w="276" w:type="pct"/>
                  <w:vMerge w:val="continue"/>
                  <w:vAlign w:val="center"/>
                </w:tcPr>
                <w:p w14:paraId="3A84FC9D">
                  <w:pPr>
                    <w:pStyle w:val="656"/>
                    <w:snapToGrid w:val="0"/>
                    <w:rPr>
                      <w:rFonts w:eastAsia="宋体"/>
                      <w:b/>
                      <w:bCs/>
                      <w:color w:val="auto"/>
                      <w:sz w:val="18"/>
                      <w:szCs w:val="18"/>
                    </w:rPr>
                  </w:pPr>
                </w:p>
              </w:tc>
              <w:tc>
                <w:tcPr>
                  <w:tcW w:w="256" w:type="pct"/>
                  <w:vMerge w:val="continue"/>
                  <w:vAlign w:val="center"/>
                </w:tcPr>
                <w:p w14:paraId="3A84FC9E">
                  <w:pPr>
                    <w:pStyle w:val="656"/>
                    <w:snapToGrid w:val="0"/>
                    <w:rPr>
                      <w:rFonts w:eastAsia="宋体"/>
                      <w:b/>
                      <w:bCs/>
                      <w:color w:val="auto"/>
                      <w:sz w:val="18"/>
                      <w:szCs w:val="18"/>
                    </w:rPr>
                  </w:pPr>
                </w:p>
              </w:tc>
              <w:tc>
                <w:tcPr>
                  <w:tcW w:w="352" w:type="pct"/>
                  <w:vAlign w:val="center"/>
                </w:tcPr>
                <w:p w14:paraId="3A84FC9F">
                  <w:pPr>
                    <w:pStyle w:val="656"/>
                    <w:snapToGrid w:val="0"/>
                    <w:rPr>
                      <w:rFonts w:eastAsia="宋体"/>
                      <w:b/>
                      <w:bCs/>
                      <w:color w:val="auto"/>
                      <w:sz w:val="18"/>
                      <w:szCs w:val="18"/>
                    </w:rPr>
                  </w:pPr>
                  <w:r>
                    <w:rPr>
                      <w:rFonts w:hint="eastAsia" w:eastAsia="宋体"/>
                      <w:b/>
                      <w:bCs/>
                      <w:color w:val="auto"/>
                      <w:sz w:val="18"/>
                      <w:szCs w:val="18"/>
                    </w:rPr>
                    <w:t>浓度mg/m</w:t>
                  </w:r>
                  <w:r>
                    <w:rPr>
                      <w:rFonts w:eastAsia="宋体"/>
                      <w:b/>
                      <w:bCs/>
                      <w:color w:val="auto"/>
                      <w:sz w:val="18"/>
                      <w:szCs w:val="18"/>
                    </w:rPr>
                    <w:t>³</w:t>
                  </w:r>
                </w:p>
              </w:tc>
              <w:tc>
                <w:tcPr>
                  <w:tcW w:w="421" w:type="pct"/>
                  <w:vAlign w:val="center"/>
                </w:tcPr>
                <w:p w14:paraId="3A84FCA0">
                  <w:pPr>
                    <w:pStyle w:val="656"/>
                    <w:snapToGrid w:val="0"/>
                    <w:rPr>
                      <w:rFonts w:eastAsia="宋体"/>
                      <w:b/>
                      <w:bCs/>
                      <w:color w:val="auto"/>
                      <w:sz w:val="18"/>
                      <w:szCs w:val="18"/>
                    </w:rPr>
                  </w:pPr>
                  <w:r>
                    <w:rPr>
                      <w:rFonts w:hint="eastAsia" w:eastAsia="宋体"/>
                      <w:b/>
                      <w:bCs/>
                      <w:color w:val="auto"/>
                      <w:sz w:val="18"/>
                      <w:szCs w:val="18"/>
                    </w:rPr>
                    <w:t>速率kg</w:t>
                  </w:r>
                  <w:r>
                    <w:rPr>
                      <w:rFonts w:eastAsia="宋体"/>
                      <w:b/>
                      <w:bCs/>
                      <w:color w:val="auto"/>
                      <w:sz w:val="18"/>
                      <w:szCs w:val="18"/>
                    </w:rPr>
                    <w:t>/h</w:t>
                  </w:r>
                </w:p>
              </w:tc>
              <w:tc>
                <w:tcPr>
                  <w:tcW w:w="386" w:type="pct"/>
                  <w:vAlign w:val="center"/>
                </w:tcPr>
                <w:p w14:paraId="3A84FCA1">
                  <w:pPr>
                    <w:pStyle w:val="656"/>
                    <w:snapToGrid w:val="0"/>
                    <w:rPr>
                      <w:rFonts w:eastAsia="宋体"/>
                      <w:b/>
                      <w:bCs/>
                      <w:color w:val="auto"/>
                      <w:sz w:val="18"/>
                      <w:szCs w:val="18"/>
                    </w:rPr>
                  </w:pPr>
                  <w:r>
                    <w:rPr>
                      <w:rFonts w:hint="eastAsia" w:eastAsia="宋体"/>
                      <w:b/>
                      <w:bCs/>
                      <w:color w:val="auto"/>
                      <w:sz w:val="18"/>
                      <w:szCs w:val="18"/>
                    </w:rPr>
                    <w:t>排放</w:t>
                  </w:r>
                  <w:r>
                    <w:rPr>
                      <w:rFonts w:eastAsia="宋体"/>
                      <w:b/>
                      <w:bCs/>
                      <w:color w:val="auto"/>
                      <w:sz w:val="18"/>
                      <w:szCs w:val="18"/>
                    </w:rPr>
                    <w:t>量</w:t>
                  </w:r>
                  <w:r>
                    <w:rPr>
                      <w:rFonts w:hint="eastAsia" w:eastAsia="宋体"/>
                      <w:b/>
                      <w:bCs/>
                      <w:color w:val="auto"/>
                      <w:sz w:val="18"/>
                      <w:szCs w:val="18"/>
                    </w:rPr>
                    <w:t>t</w:t>
                  </w:r>
                  <w:r>
                    <w:rPr>
                      <w:rFonts w:eastAsia="宋体"/>
                      <w:b/>
                      <w:bCs/>
                      <w:color w:val="auto"/>
                      <w:sz w:val="18"/>
                      <w:szCs w:val="18"/>
                    </w:rPr>
                    <w:t>/a</w:t>
                  </w:r>
                </w:p>
              </w:tc>
              <w:tc>
                <w:tcPr>
                  <w:tcW w:w="357" w:type="pct"/>
                  <w:vAlign w:val="center"/>
                </w:tcPr>
                <w:p w14:paraId="3A84FCA2">
                  <w:pPr>
                    <w:pStyle w:val="656"/>
                    <w:snapToGrid w:val="0"/>
                    <w:rPr>
                      <w:rFonts w:eastAsia="宋体"/>
                      <w:b/>
                      <w:bCs/>
                      <w:color w:val="auto"/>
                      <w:sz w:val="18"/>
                      <w:szCs w:val="18"/>
                    </w:rPr>
                  </w:pPr>
                  <w:r>
                    <w:rPr>
                      <w:rFonts w:hint="eastAsia" w:eastAsia="宋体"/>
                      <w:b/>
                      <w:bCs/>
                      <w:color w:val="auto"/>
                      <w:sz w:val="18"/>
                      <w:szCs w:val="18"/>
                    </w:rPr>
                    <w:t>排放时间</w:t>
                  </w:r>
                </w:p>
              </w:tc>
            </w:tr>
            <w:tr w14:paraId="3A84FCB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14" w:type="pct"/>
                  <w:vMerge w:val="restart"/>
                  <w:vAlign w:val="center"/>
                </w:tcPr>
                <w:p w14:paraId="3A84FCA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3#</w:t>
                  </w:r>
                </w:p>
              </w:tc>
              <w:tc>
                <w:tcPr>
                  <w:tcW w:w="296" w:type="pct"/>
                  <w:vMerge w:val="restart"/>
                  <w:vAlign w:val="center"/>
                </w:tcPr>
                <w:p w14:paraId="3A84FCA5">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6500</w:t>
                  </w:r>
                </w:p>
              </w:tc>
              <w:tc>
                <w:tcPr>
                  <w:tcW w:w="236" w:type="pct"/>
                  <w:vMerge w:val="restart"/>
                  <w:vAlign w:val="center"/>
                </w:tcPr>
                <w:p w14:paraId="3A84FCA6">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焚烧</w:t>
                  </w:r>
                </w:p>
              </w:tc>
              <w:tc>
                <w:tcPr>
                  <w:tcW w:w="463" w:type="pct"/>
                  <w:vAlign w:val="center"/>
                </w:tcPr>
                <w:p w14:paraId="3A84FCA7">
                  <w:pPr>
                    <w:pStyle w:val="656"/>
                    <w:snapToGrid w:val="0"/>
                    <w:rPr>
                      <w:rFonts w:hint="eastAsia" w:eastAsia="宋体"/>
                      <w:color w:val="auto"/>
                      <w:sz w:val="18"/>
                      <w:szCs w:val="18"/>
                      <w:lang w:eastAsia="zh-CN"/>
                    </w:rPr>
                  </w:pPr>
                  <w:r>
                    <w:rPr>
                      <w:rFonts w:hint="eastAsia" w:eastAsia="宋体"/>
                      <w:color w:val="auto"/>
                      <w:sz w:val="18"/>
                      <w:szCs w:val="18"/>
                      <w:lang w:val="en-US" w:eastAsia="zh-CN"/>
                    </w:rPr>
                    <w:t>颗粒物</w:t>
                  </w:r>
                </w:p>
              </w:tc>
              <w:tc>
                <w:tcPr>
                  <w:tcW w:w="1133" w:type="dxa"/>
                  <w:vAlign w:val="center"/>
                </w:tcPr>
                <w:p w14:paraId="3A84FCA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257</w:t>
                  </w:r>
                </w:p>
              </w:tc>
              <w:tc>
                <w:tcPr>
                  <w:tcW w:w="1035" w:type="dxa"/>
                  <w:vAlign w:val="center"/>
                </w:tcPr>
                <w:p w14:paraId="3A84FCA9">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1.67</w:t>
                  </w:r>
                </w:p>
              </w:tc>
              <w:tc>
                <w:tcPr>
                  <w:tcW w:w="1155" w:type="dxa"/>
                  <w:vAlign w:val="center"/>
                </w:tcPr>
                <w:p w14:paraId="3A84FCAA">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6.697</w:t>
                  </w:r>
                </w:p>
              </w:tc>
              <w:tc>
                <w:tcPr>
                  <w:tcW w:w="384" w:type="pct"/>
                  <w:vMerge w:val="restart"/>
                  <w:vAlign w:val="center"/>
                </w:tcPr>
                <w:p w14:paraId="3A84FCAB">
                  <w:pPr>
                    <w:pStyle w:val="656"/>
                    <w:snapToGrid w:val="0"/>
                    <w:rPr>
                      <w:rFonts w:eastAsia="宋体"/>
                      <w:color w:val="auto"/>
                      <w:sz w:val="18"/>
                      <w:szCs w:val="18"/>
                    </w:rPr>
                  </w:pPr>
                  <w:r>
                    <w:rPr>
                      <w:rFonts w:hint="eastAsia" w:eastAsia="宋体"/>
                      <w:color w:val="auto"/>
                      <w:sz w:val="18"/>
                      <w:szCs w:val="18"/>
                    </w:rPr>
                    <w:t>SNCR脱硝+急冷除盐+干粉吸收+布袋除尘+臭氧氧化+碱喷淋吸收</w:t>
                  </w:r>
                </w:p>
              </w:tc>
              <w:tc>
                <w:tcPr>
                  <w:tcW w:w="276" w:type="pct"/>
                  <w:vMerge w:val="restart"/>
                  <w:vAlign w:val="center"/>
                </w:tcPr>
                <w:p w14:paraId="3A84FCAC">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100</w:t>
                  </w:r>
                </w:p>
              </w:tc>
              <w:tc>
                <w:tcPr>
                  <w:tcW w:w="256" w:type="pct"/>
                  <w:vAlign w:val="center"/>
                </w:tcPr>
                <w:p w14:paraId="3A84FCAD">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99.5</w:t>
                  </w:r>
                </w:p>
              </w:tc>
              <w:tc>
                <w:tcPr>
                  <w:tcW w:w="937" w:type="dxa"/>
                  <w:vAlign w:val="center"/>
                </w:tcPr>
                <w:p w14:paraId="3A84FCA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1.27</w:t>
                  </w:r>
                </w:p>
              </w:tc>
              <w:tc>
                <w:tcPr>
                  <w:tcW w:w="1120" w:type="dxa"/>
                  <w:vAlign w:val="center"/>
                </w:tcPr>
                <w:p w14:paraId="3A84FCAF">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0.00825</w:t>
                  </w:r>
                </w:p>
              </w:tc>
              <w:tc>
                <w:tcPr>
                  <w:tcW w:w="1027" w:type="dxa"/>
                  <w:vAlign w:val="center"/>
                </w:tcPr>
                <w:p w14:paraId="3A84FCB0">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0.033</w:t>
                  </w:r>
                </w:p>
              </w:tc>
              <w:tc>
                <w:tcPr>
                  <w:tcW w:w="357" w:type="pct"/>
                  <w:vMerge w:val="restart"/>
                  <w:vAlign w:val="center"/>
                </w:tcPr>
                <w:p w14:paraId="3A84FCB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4000h</w:t>
                  </w:r>
                </w:p>
              </w:tc>
            </w:tr>
            <w:tr w14:paraId="4CA93B2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14" w:type="pct"/>
                  <w:vMerge w:val="continue"/>
                  <w:vAlign w:val="center"/>
                </w:tcPr>
                <w:p w14:paraId="53CB1689">
                  <w:pPr>
                    <w:pStyle w:val="656"/>
                    <w:snapToGrid w:val="0"/>
                    <w:rPr>
                      <w:rFonts w:hint="eastAsia" w:eastAsia="宋体"/>
                      <w:color w:val="auto"/>
                      <w:sz w:val="18"/>
                      <w:szCs w:val="18"/>
                      <w:lang w:val="en-US" w:eastAsia="zh-CN"/>
                    </w:rPr>
                  </w:pPr>
                </w:p>
              </w:tc>
              <w:tc>
                <w:tcPr>
                  <w:tcW w:w="296" w:type="pct"/>
                  <w:vMerge w:val="continue"/>
                  <w:vAlign w:val="center"/>
                </w:tcPr>
                <w:p w14:paraId="3E9351E0">
                  <w:pPr>
                    <w:pStyle w:val="656"/>
                    <w:snapToGrid w:val="0"/>
                    <w:rPr>
                      <w:rFonts w:hint="eastAsia" w:eastAsia="宋体"/>
                      <w:color w:val="auto"/>
                      <w:sz w:val="18"/>
                      <w:szCs w:val="18"/>
                      <w:lang w:val="en-US" w:eastAsia="zh-CN"/>
                    </w:rPr>
                  </w:pPr>
                </w:p>
              </w:tc>
              <w:tc>
                <w:tcPr>
                  <w:tcW w:w="236" w:type="pct"/>
                  <w:vMerge w:val="continue"/>
                  <w:vAlign w:val="center"/>
                </w:tcPr>
                <w:p w14:paraId="3E0D18E0">
                  <w:pPr>
                    <w:pStyle w:val="656"/>
                    <w:snapToGrid w:val="0"/>
                    <w:rPr>
                      <w:rFonts w:hint="eastAsia" w:eastAsia="宋体"/>
                      <w:color w:val="auto"/>
                      <w:sz w:val="18"/>
                      <w:szCs w:val="18"/>
                      <w:lang w:val="en-US" w:eastAsia="zh-CN"/>
                    </w:rPr>
                  </w:pPr>
                </w:p>
              </w:tc>
              <w:tc>
                <w:tcPr>
                  <w:tcW w:w="463" w:type="pct"/>
                  <w:vAlign w:val="center"/>
                </w:tcPr>
                <w:p w14:paraId="527708D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SO</w:t>
                  </w:r>
                  <w:r>
                    <w:rPr>
                      <w:rFonts w:hint="eastAsia" w:eastAsia="宋体"/>
                      <w:color w:val="auto"/>
                      <w:sz w:val="18"/>
                      <w:szCs w:val="18"/>
                      <w:vertAlign w:val="subscript"/>
                      <w:lang w:val="en-US" w:eastAsia="zh-CN"/>
                    </w:rPr>
                    <w:t>2</w:t>
                  </w:r>
                </w:p>
              </w:tc>
              <w:tc>
                <w:tcPr>
                  <w:tcW w:w="1133" w:type="dxa"/>
                  <w:vAlign w:val="center"/>
                </w:tcPr>
                <w:p w14:paraId="7528C30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12.3</w:t>
                  </w:r>
                </w:p>
              </w:tc>
              <w:tc>
                <w:tcPr>
                  <w:tcW w:w="1035" w:type="dxa"/>
                  <w:vAlign w:val="center"/>
                </w:tcPr>
                <w:p w14:paraId="526E541A">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0.08</w:t>
                  </w:r>
                </w:p>
              </w:tc>
              <w:tc>
                <w:tcPr>
                  <w:tcW w:w="1155" w:type="dxa"/>
                  <w:vAlign w:val="center"/>
                </w:tcPr>
                <w:p w14:paraId="1E09E36C">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0.32</w:t>
                  </w:r>
                </w:p>
              </w:tc>
              <w:tc>
                <w:tcPr>
                  <w:tcW w:w="384" w:type="pct"/>
                  <w:vMerge w:val="continue"/>
                  <w:vAlign w:val="center"/>
                </w:tcPr>
                <w:p w14:paraId="7F5A9924">
                  <w:pPr>
                    <w:pStyle w:val="656"/>
                    <w:snapToGrid w:val="0"/>
                    <w:rPr>
                      <w:rFonts w:hint="eastAsia" w:eastAsia="宋体"/>
                      <w:color w:val="auto"/>
                      <w:sz w:val="18"/>
                      <w:szCs w:val="18"/>
                    </w:rPr>
                  </w:pPr>
                </w:p>
              </w:tc>
              <w:tc>
                <w:tcPr>
                  <w:tcW w:w="276" w:type="pct"/>
                  <w:vMerge w:val="continue"/>
                  <w:vAlign w:val="center"/>
                </w:tcPr>
                <w:p w14:paraId="4F3A3087">
                  <w:pPr>
                    <w:pStyle w:val="656"/>
                    <w:snapToGrid w:val="0"/>
                    <w:rPr>
                      <w:rFonts w:hint="eastAsia" w:eastAsia="宋体"/>
                      <w:color w:val="auto"/>
                      <w:sz w:val="18"/>
                      <w:szCs w:val="18"/>
                    </w:rPr>
                  </w:pPr>
                </w:p>
              </w:tc>
              <w:tc>
                <w:tcPr>
                  <w:tcW w:w="256" w:type="pct"/>
                  <w:vAlign w:val="center"/>
                </w:tcPr>
                <w:p w14:paraId="0640CDA6">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90</w:t>
                  </w:r>
                </w:p>
              </w:tc>
              <w:tc>
                <w:tcPr>
                  <w:tcW w:w="937" w:type="dxa"/>
                  <w:vAlign w:val="center"/>
                </w:tcPr>
                <w:p w14:paraId="094ABD7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1.23</w:t>
                  </w:r>
                </w:p>
              </w:tc>
              <w:tc>
                <w:tcPr>
                  <w:tcW w:w="1120" w:type="dxa"/>
                  <w:vAlign w:val="center"/>
                </w:tcPr>
                <w:p w14:paraId="37D82A80">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0.008</w:t>
                  </w:r>
                </w:p>
              </w:tc>
              <w:tc>
                <w:tcPr>
                  <w:tcW w:w="1027" w:type="dxa"/>
                  <w:vAlign w:val="center"/>
                </w:tcPr>
                <w:p w14:paraId="39A98E7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0.032</w:t>
                  </w:r>
                </w:p>
              </w:tc>
              <w:tc>
                <w:tcPr>
                  <w:tcW w:w="357" w:type="pct"/>
                  <w:vMerge w:val="continue"/>
                  <w:vAlign w:val="center"/>
                </w:tcPr>
                <w:p w14:paraId="23B00BA0">
                  <w:pPr>
                    <w:pStyle w:val="656"/>
                    <w:snapToGrid w:val="0"/>
                    <w:rPr>
                      <w:rFonts w:hint="eastAsia" w:eastAsia="宋体"/>
                      <w:color w:val="auto"/>
                      <w:sz w:val="18"/>
                      <w:szCs w:val="18"/>
                    </w:rPr>
                  </w:pPr>
                </w:p>
              </w:tc>
            </w:tr>
            <w:tr w14:paraId="172AAEE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14" w:type="pct"/>
                  <w:vMerge w:val="continue"/>
                  <w:vAlign w:val="center"/>
                </w:tcPr>
                <w:p w14:paraId="32EE43A4">
                  <w:pPr>
                    <w:pStyle w:val="656"/>
                    <w:snapToGrid w:val="0"/>
                    <w:rPr>
                      <w:rFonts w:hint="eastAsia" w:eastAsia="宋体"/>
                      <w:color w:val="auto"/>
                      <w:sz w:val="18"/>
                      <w:szCs w:val="18"/>
                      <w:lang w:val="en-US" w:eastAsia="zh-CN"/>
                    </w:rPr>
                  </w:pPr>
                </w:p>
              </w:tc>
              <w:tc>
                <w:tcPr>
                  <w:tcW w:w="296" w:type="pct"/>
                  <w:vMerge w:val="continue"/>
                  <w:vAlign w:val="center"/>
                </w:tcPr>
                <w:p w14:paraId="5382D3AC">
                  <w:pPr>
                    <w:pStyle w:val="656"/>
                    <w:snapToGrid w:val="0"/>
                    <w:rPr>
                      <w:rFonts w:hint="eastAsia" w:eastAsia="宋体"/>
                      <w:color w:val="auto"/>
                      <w:sz w:val="18"/>
                      <w:szCs w:val="18"/>
                      <w:lang w:val="en-US" w:eastAsia="zh-CN"/>
                    </w:rPr>
                  </w:pPr>
                </w:p>
              </w:tc>
              <w:tc>
                <w:tcPr>
                  <w:tcW w:w="236" w:type="pct"/>
                  <w:vMerge w:val="continue"/>
                  <w:vAlign w:val="center"/>
                </w:tcPr>
                <w:p w14:paraId="4AC038A2">
                  <w:pPr>
                    <w:pStyle w:val="656"/>
                    <w:snapToGrid w:val="0"/>
                    <w:rPr>
                      <w:rFonts w:hint="eastAsia" w:eastAsia="宋体"/>
                      <w:color w:val="auto"/>
                      <w:sz w:val="18"/>
                      <w:szCs w:val="18"/>
                      <w:lang w:val="en-US" w:eastAsia="zh-CN"/>
                    </w:rPr>
                  </w:pPr>
                </w:p>
              </w:tc>
              <w:tc>
                <w:tcPr>
                  <w:tcW w:w="463" w:type="pct"/>
                  <w:vAlign w:val="center"/>
                </w:tcPr>
                <w:p w14:paraId="64DF143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NOx</w:t>
                  </w:r>
                </w:p>
              </w:tc>
              <w:tc>
                <w:tcPr>
                  <w:tcW w:w="1133" w:type="dxa"/>
                  <w:vAlign w:val="center"/>
                </w:tcPr>
                <w:p w14:paraId="56037BE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38.5</w:t>
                  </w:r>
                </w:p>
              </w:tc>
              <w:tc>
                <w:tcPr>
                  <w:tcW w:w="1035" w:type="dxa"/>
                  <w:vAlign w:val="center"/>
                </w:tcPr>
                <w:p w14:paraId="50E98600">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0.25</w:t>
                  </w:r>
                </w:p>
              </w:tc>
              <w:tc>
                <w:tcPr>
                  <w:tcW w:w="1155" w:type="dxa"/>
                  <w:vAlign w:val="center"/>
                </w:tcPr>
                <w:p w14:paraId="02605D0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w:t>
                  </w:r>
                </w:p>
              </w:tc>
              <w:tc>
                <w:tcPr>
                  <w:tcW w:w="384" w:type="pct"/>
                  <w:vMerge w:val="continue"/>
                  <w:vAlign w:val="center"/>
                </w:tcPr>
                <w:p w14:paraId="78A2773A">
                  <w:pPr>
                    <w:pStyle w:val="656"/>
                    <w:snapToGrid w:val="0"/>
                    <w:rPr>
                      <w:rFonts w:hint="eastAsia" w:eastAsia="宋体"/>
                      <w:color w:val="auto"/>
                      <w:sz w:val="18"/>
                      <w:szCs w:val="18"/>
                    </w:rPr>
                  </w:pPr>
                </w:p>
              </w:tc>
              <w:tc>
                <w:tcPr>
                  <w:tcW w:w="276" w:type="pct"/>
                  <w:vMerge w:val="continue"/>
                  <w:vAlign w:val="center"/>
                </w:tcPr>
                <w:p w14:paraId="2D5C3143">
                  <w:pPr>
                    <w:pStyle w:val="656"/>
                    <w:snapToGrid w:val="0"/>
                    <w:rPr>
                      <w:rFonts w:hint="eastAsia" w:eastAsia="宋体"/>
                      <w:color w:val="auto"/>
                      <w:sz w:val="18"/>
                      <w:szCs w:val="18"/>
                    </w:rPr>
                  </w:pPr>
                </w:p>
              </w:tc>
              <w:tc>
                <w:tcPr>
                  <w:tcW w:w="256" w:type="pct"/>
                  <w:vAlign w:val="center"/>
                </w:tcPr>
                <w:p w14:paraId="6DA57BB9">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90</w:t>
                  </w:r>
                </w:p>
              </w:tc>
              <w:tc>
                <w:tcPr>
                  <w:tcW w:w="937" w:type="dxa"/>
                  <w:vAlign w:val="center"/>
                </w:tcPr>
                <w:p w14:paraId="56A634D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3.85</w:t>
                  </w:r>
                </w:p>
              </w:tc>
              <w:tc>
                <w:tcPr>
                  <w:tcW w:w="1120" w:type="dxa"/>
                  <w:vAlign w:val="center"/>
                </w:tcPr>
                <w:p w14:paraId="486ABFF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0.025</w:t>
                  </w:r>
                </w:p>
              </w:tc>
              <w:tc>
                <w:tcPr>
                  <w:tcW w:w="1027" w:type="dxa"/>
                  <w:vAlign w:val="center"/>
                </w:tcPr>
                <w:p w14:paraId="12F19303">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0.1</w:t>
                  </w:r>
                </w:p>
              </w:tc>
              <w:tc>
                <w:tcPr>
                  <w:tcW w:w="357" w:type="pct"/>
                  <w:vMerge w:val="continue"/>
                  <w:vAlign w:val="center"/>
                </w:tcPr>
                <w:p w14:paraId="30BF1BCF">
                  <w:pPr>
                    <w:pStyle w:val="656"/>
                    <w:snapToGrid w:val="0"/>
                    <w:rPr>
                      <w:rFonts w:hint="eastAsia" w:eastAsia="宋体"/>
                      <w:color w:val="auto"/>
                      <w:sz w:val="18"/>
                      <w:szCs w:val="18"/>
                    </w:rPr>
                  </w:pPr>
                </w:p>
              </w:tc>
            </w:tr>
            <w:tr w14:paraId="088F5A4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14" w:type="pct"/>
                  <w:vMerge w:val="continue"/>
                  <w:vAlign w:val="center"/>
                </w:tcPr>
                <w:p w14:paraId="0F4DF65C">
                  <w:pPr>
                    <w:pStyle w:val="656"/>
                    <w:snapToGrid w:val="0"/>
                    <w:rPr>
                      <w:rFonts w:hint="eastAsia" w:eastAsia="宋体"/>
                      <w:color w:val="auto"/>
                      <w:sz w:val="18"/>
                      <w:szCs w:val="18"/>
                      <w:lang w:val="en-US" w:eastAsia="zh-CN"/>
                    </w:rPr>
                  </w:pPr>
                </w:p>
              </w:tc>
              <w:tc>
                <w:tcPr>
                  <w:tcW w:w="296" w:type="pct"/>
                  <w:vMerge w:val="continue"/>
                  <w:vAlign w:val="center"/>
                </w:tcPr>
                <w:p w14:paraId="58D694D6">
                  <w:pPr>
                    <w:pStyle w:val="656"/>
                    <w:snapToGrid w:val="0"/>
                    <w:rPr>
                      <w:rFonts w:hint="eastAsia" w:eastAsia="宋体"/>
                      <w:color w:val="auto"/>
                      <w:sz w:val="18"/>
                      <w:szCs w:val="18"/>
                      <w:lang w:val="en-US" w:eastAsia="zh-CN"/>
                    </w:rPr>
                  </w:pPr>
                </w:p>
              </w:tc>
              <w:tc>
                <w:tcPr>
                  <w:tcW w:w="236" w:type="pct"/>
                  <w:vMerge w:val="continue"/>
                  <w:vAlign w:val="center"/>
                </w:tcPr>
                <w:p w14:paraId="10A37305">
                  <w:pPr>
                    <w:pStyle w:val="656"/>
                    <w:snapToGrid w:val="0"/>
                    <w:rPr>
                      <w:rFonts w:hint="eastAsia" w:eastAsia="宋体"/>
                      <w:color w:val="auto"/>
                      <w:sz w:val="18"/>
                      <w:szCs w:val="18"/>
                      <w:lang w:val="en-US" w:eastAsia="zh-CN"/>
                    </w:rPr>
                  </w:pPr>
                </w:p>
              </w:tc>
              <w:tc>
                <w:tcPr>
                  <w:tcW w:w="463" w:type="pct"/>
                  <w:vAlign w:val="center"/>
                </w:tcPr>
                <w:p w14:paraId="7381CFB3">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氨</w:t>
                  </w:r>
                </w:p>
              </w:tc>
              <w:tc>
                <w:tcPr>
                  <w:tcW w:w="1133" w:type="dxa"/>
                  <w:vAlign w:val="center"/>
                </w:tcPr>
                <w:p w14:paraId="61465A23">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0.82</w:t>
                  </w:r>
                </w:p>
              </w:tc>
              <w:tc>
                <w:tcPr>
                  <w:tcW w:w="1035" w:type="dxa"/>
                  <w:vAlign w:val="center"/>
                </w:tcPr>
                <w:p w14:paraId="4D112626">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0.0053</w:t>
                  </w:r>
                </w:p>
              </w:tc>
              <w:tc>
                <w:tcPr>
                  <w:tcW w:w="1155" w:type="dxa"/>
                  <w:vAlign w:val="center"/>
                </w:tcPr>
                <w:p w14:paraId="030F0C05">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0.0212</w:t>
                  </w:r>
                </w:p>
              </w:tc>
              <w:tc>
                <w:tcPr>
                  <w:tcW w:w="384" w:type="pct"/>
                  <w:vMerge w:val="continue"/>
                  <w:vAlign w:val="center"/>
                </w:tcPr>
                <w:p w14:paraId="1F3E1D20">
                  <w:pPr>
                    <w:pStyle w:val="656"/>
                    <w:snapToGrid w:val="0"/>
                    <w:rPr>
                      <w:rFonts w:hint="eastAsia" w:eastAsia="宋体"/>
                      <w:color w:val="auto"/>
                      <w:sz w:val="18"/>
                      <w:szCs w:val="18"/>
                    </w:rPr>
                  </w:pPr>
                </w:p>
              </w:tc>
              <w:tc>
                <w:tcPr>
                  <w:tcW w:w="276" w:type="pct"/>
                  <w:vMerge w:val="continue"/>
                  <w:vAlign w:val="center"/>
                </w:tcPr>
                <w:p w14:paraId="69A3AFA5">
                  <w:pPr>
                    <w:pStyle w:val="656"/>
                    <w:snapToGrid w:val="0"/>
                    <w:rPr>
                      <w:rFonts w:hint="eastAsia" w:eastAsia="宋体"/>
                      <w:color w:val="auto"/>
                      <w:sz w:val="18"/>
                      <w:szCs w:val="18"/>
                    </w:rPr>
                  </w:pPr>
                </w:p>
              </w:tc>
              <w:tc>
                <w:tcPr>
                  <w:tcW w:w="256" w:type="pct"/>
                  <w:vAlign w:val="center"/>
                </w:tcPr>
                <w:p w14:paraId="7340446F">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80</w:t>
                  </w:r>
                </w:p>
              </w:tc>
              <w:tc>
                <w:tcPr>
                  <w:tcW w:w="937" w:type="dxa"/>
                  <w:vAlign w:val="center"/>
                </w:tcPr>
                <w:p w14:paraId="537A655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0.17</w:t>
                  </w:r>
                </w:p>
              </w:tc>
              <w:tc>
                <w:tcPr>
                  <w:tcW w:w="1120" w:type="dxa"/>
                  <w:vAlign w:val="center"/>
                </w:tcPr>
                <w:p w14:paraId="5FA9550D">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0.0011</w:t>
                  </w:r>
                </w:p>
              </w:tc>
              <w:tc>
                <w:tcPr>
                  <w:tcW w:w="1027" w:type="dxa"/>
                  <w:vAlign w:val="center"/>
                </w:tcPr>
                <w:p w14:paraId="198FB7D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0.00424</w:t>
                  </w:r>
                </w:p>
              </w:tc>
              <w:tc>
                <w:tcPr>
                  <w:tcW w:w="357" w:type="pct"/>
                  <w:vMerge w:val="continue"/>
                  <w:vAlign w:val="center"/>
                </w:tcPr>
                <w:p w14:paraId="678F67F3">
                  <w:pPr>
                    <w:pStyle w:val="656"/>
                    <w:snapToGrid w:val="0"/>
                    <w:rPr>
                      <w:rFonts w:hint="eastAsia" w:eastAsia="宋体"/>
                      <w:color w:val="auto"/>
                      <w:sz w:val="18"/>
                      <w:szCs w:val="18"/>
                    </w:rPr>
                  </w:pPr>
                </w:p>
              </w:tc>
            </w:tr>
            <w:tr w14:paraId="0D1B70F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14" w:type="pct"/>
                  <w:vMerge w:val="continue"/>
                  <w:vAlign w:val="center"/>
                </w:tcPr>
                <w:p w14:paraId="29DF79F4">
                  <w:pPr>
                    <w:pStyle w:val="656"/>
                    <w:snapToGrid w:val="0"/>
                    <w:rPr>
                      <w:rFonts w:hint="eastAsia" w:eastAsia="宋体"/>
                      <w:color w:val="auto"/>
                      <w:sz w:val="18"/>
                      <w:szCs w:val="18"/>
                      <w:lang w:val="en-US" w:eastAsia="zh-CN"/>
                    </w:rPr>
                  </w:pPr>
                </w:p>
              </w:tc>
              <w:tc>
                <w:tcPr>
                  <w:tcW w:w="296" w:type="pct"/>
                  <w:vMerge w:val="continue"/>
                  <w:vAlign w:val="center"/>
                </w:tcPr>
                <w:p w14:paraId="53D0BE61">
                  <w:pPr>
                    <w:pStyle w:val="656"/>
                    <w:snapToGrid w:val="0"/>
                    <w:rPr>
                      <w:rFonts w:hint="eastAsia" w:eastAsia="宋体"/>
                      <w:color w:val="auto"/>
                      <w:sz w:val="18"/>
                      <w:szCs w:val="18"/>
                      <w:lang w:val="en-US" w:eastAsia="zh-CN"/>
                    </w:rPr>
                  </w:pPr>
                </w:p>
              </w:tc>
              <w:tc>
                <w:tcPr>
                  <w:tcW w:w="236" w:type="pct"/>
                  <w:vMerge w:val="continue"/>
                  <w:vAlign w:val="center"/>
                </w:tcPr>
                <w:p w14:paraId="1BFDAAF4">
                  <w:pPr>
                    <w:pStyle w:val="656"/>
                    <w:snapToGrid w:val="0"/>
                    <w:rPr>
                      <w:rFonts w:hint="eastAsia" w:eastAsia="宋体"/>
                      <w:color w:val="auto"/>
                      <w:sz w:val="18"/>
                      <w:szCs w:val="18"/>
                      <w:lang w:val="en-US" w:eastAsia="zh-CN"/>
                    </w:rPr>
                  </w:pPr>
                </w:p>
              </w:tc>
              <w:tc>
                <w:tcPr>
                  <w:tcW w:w="463" w:type="pct"/>
                  <w:vAlign w:val="center"/>
                </w:tcPr>
                <w:p w14:paraId="4D68AAA2">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CO</w:t>
                  </w:r>
                </w:p>
              </w:tc>
              <w:tc>
                <w:tcPr>
                  <w:tcW w:w="1133" w:type="dxa"/>
                  <w:vAlign w:val="center"/>
                </w:tcPr>
                <w:p w14:paraId="4ABA3DCF">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3.1</w:t>
                  </w:r>
                </w:p>
              </w:tc>
              <w:tc>
                <w:tcPr>
                  <w:tcW w:w="1035" w:type="dxa"/>
                  <w:vAlign w:val="center"/>
                </w:tcPr>
                <w:p w14:paraId="5BEF418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0.02</w:t>
                  </w:r>
                </w:p>
              </w:tc>
              <w:tc>
                <w:tcPr>
                  <w:tcW w:w="1155" w:type="dxa"/>
                  <w:vAlign w:val="center"/>
                </w:tcPr>
                <w:p w14:paraId="6ABB3D0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0.08</w:t>
                  </w:r>
                </w:p>
              </w:tc>
              <w:tc>
                <w:tcPr>
                  <w:tcW w:w="384" w:type="pct"/>
                  <w:vMerge w:val="continue"/>
                  <w:vAlign w:val="center"/>
                </w:tcPr>
                <w:p w14:paraId="5E4CBCF0">
                  <w:pPr>
                    <w:pStyle w:val="656"/>
                    <w:snapToGrid w:val="0"/>
                    <w:rPr>
                      <w:rFonts w:hint="eastAsia" w:eastAsia="宋体"/>
                      <w:color w:val="auto"/>
                      <w:sz w:val="18"/>
                      <w:szCs w:val="18"/>
                    </w:rPr>
                  </w:pPr>
                </w:p>
              </w:tc>
              <w:tc>
                <w:tcPr>
                  <w:tcW w:w="276" w:type="pct"/>
                  <w:vMerge w:val="continue"/>
                  <w:vAlign w:val="center"/>
                </w:tcPr>
                <w:p w14:paraId="6B85427D">
                  <w:pPr>
                    <w:pStyle w:val="656"/>
                    <w:snapToGrid w:val="0"/>
                    <w:rPr>
                      <w:rFonts w:hint="eastAsia" w:eastAsia="宋体"/>
                      <w:color w:val="auto"/>
                      <w:sz w:val="18"/>
                      <w:szCs w:val="18"/>
                    </w:rPr>
                  </w:pPr>
                </w:p>
              </w:tc>
              <w:tc>
                <w:tcPr>
                  <w:tcW w:w="256" w:type="pct"/>
                  <w:vAlign w:val="center"/>
                </w:tcPr>
                <w:p w14:paraId="0A88B04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60</w:t>
                  </w:r>
                </w:p>
              </w:tc>
              <w:tc>
                <w:tcPr>
                  <w:tcW w:w="937" w:type="dxa"/>
                  <w:vAlign w:val="center"/>
                </w:tcPr>
                <w:p w14:paraId="7124564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1.2</w:t>
                  </w:r>
                </w:p>
              </w:tc>
              <w:tc>
                <w:tcPr>
                  <w:tcW w:w="1120" w:type="dxa"/>
                  <w:vAlign w:val="center"/>
                </w:tcPr>
                <w:p w14:paraId="3042085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0.008</w:t>
                  </w:r>
                </w:p>
              </w:tc>
              <w:tc>
                <w:tcPr>
                  <w:tcW w:w="1027" w:type="dxa"/>
                  <w:vAlign w:val="center"/>
                </w:tcPr>
                <w:p w14:paraId="3C06AF30">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0.032</w:t>
                  </w:r>
                </w:p>
              </w:tc>
              <w:tc>
                <w:tcPr>
                  <w:tcW w:w="357" w:type="pct"/>
                  <w:vMerge w:val="continue"/>
                  <w:vAlign w:val="center"/>
                </w:tcPr>
                <w:p w14:paraId="46A3F96C">
                  <w:pPr>
                    <w:pStyle w:val="656"/>
                    <w:snapToGrid w:val="0"/>
                    <w:rPr>
                      <w:rFonts w:hint="eastAsia" w:eastAsia="宋体"/>
                      <w:color w:val="auto"/>
                      <w:sz w:val="18"/>
                      <w:szCs w:val="18"/>
                    </w:rPr>
                  </w:pPr>
                </w:p>
              </w:tc>
            </w:tr>
            <w:tr w14:paraId="0A31690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14" w:type="pct"/>
                  <w:vMerge w:val="continue"/>
                  <w:vAlign w:val="center"/>
                </w:tcPr>
                <w:p w14:paraId="7D643C5E">
                  <w:pPr>
                    <w:pStyle w:val="656"/>
                    <w:snapToGrid w:val="0"/>
                    <w:rPr>
                      <w:rFonts w:hint="eastAsia" w:eastAsia="宋体"/>
                      <w:color w:val="auto"/>
                      <w:sz w:val="18"/>
                      <w:szCs w:val="18"/>
                      <w:lang w:val="en-US" w:eastAsia="zh-CN"/>
                    </w:rPr>
                  </w:pPr>
                </w:p>
              </w:tc>
              <w:tc>
                <w:tcPr>
                  <w:tcW w:w="296" w:type="pct"/>
                  <w:vMerge w:val="continue"/>
                  <w:vAlign w:val="center"/>
                </w:tcPr>
                <w:p w14:paraId="7110E38A">
                  <w:pPr>
                    <w:pStyle w:val="656"/>
                    <w:snapToGrid w:val="0"/>
                    <w:rPr>
                      <w:rFonts w:hint="eastAsia" w:eastAsia="宋体"/>
                      <w:color w:val="auto"/>
                      <w:sz w:val="18"/>
                      <w:szCs w:val="18"/>
                      <w:lang w:val="en-US" w:eastAsia="zh-CN"/>
                    </w:rPr>
                  </w:pPr>
                </w:p>
              </w:tc>
              <w:tc>
                <w:tcPr>
                  <w:tcW w:w="236" w:type="pct"/>
                  <w:vMerge w:val="continue"/>
                  <w:vAlign w:val="center"/>
                </w:tcPr>
                <w:p w14:paraId="195E4E44">
                  <w:pPr>
                    <w:pStyle w:val="656"/>
                    <w:snapToGrid w:val="0"/>
                    <w:rPr>
                      <w:rFonts w:hint="eastAsia" w:eastAsia="宋体"/>
                      <w:color w:val="auto"/>
                      <w:sz w:val="18"/>
                      <w:szCs w:val="18"/>
                      <w:lang w:val="en-US" w:eastAsia="zh-CN"/>
                    </w:rPr>
                  </w:pPr>
                </w:p>
              </w:tc>
              <w:tc>
                <w:tcPr>
                  <w:tcW w:w="463" w:type="pct"/>
                  <w:vAlign w:val="center"/>
                </w:tcPr>
                <w:p w14:paraId="4915C85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HCl</w:t>
                  </w:r>
                </w:p>
              </w:tc>
              <w:tc>
                <w:tcPr>
                  <w:tcW w:w="1133" w:type="dxa"/>
                  <w:vAlign w:val="center"/>
                </w:tcPr>
                <w:p w14:paraId="6501DA46">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8.2</w:t>
                  </w:r>
                </w:p>
              </w:tc>
              <w:tc>
                <w:tcPr>
                  <w:tcW w:w="1035" w:type="dxa"/>
                  <w:vAlign w:val="center"/>
                </w:tcPr>
                <w:p w14:paraId="32DFB9A6">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0.053</w:t>
                  </w:r>
                </w:p>
              </w:tc>
              <w:tc>
                <w:tcPr>
                  <w:tcW w:w="1155" w:type="dxa"/>
                  <w:vAlign w:val="center"/>
                </w:tcPr>
                <w:p w14:paraId="6CBC97F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0.212</w:t>
                  </w:r>
                </w:p>
              </w:tc>
              <w:tc>
                <w:tcPr>
                  <w:tcW w:w="384" w:type="pct"/>
                  <w:vMerge w:val="continue"/>
                  <w:vAlign w:val="center"/>
                </w:tcPr>
                <w:p w14:paraId="1DF53E3A">
                  <w:pPr>
                    <w:pStyle w:val="656"/>
                    <w:snapToGrid w:val="0"/>
                    <w:rPr>
                      <w:rFonts w:hint="eastAsia" w:eastAsia="宋体"/>
                      <w:color w:val="auto"/>
                      <w:sz w:val="18"/>
                      <w:szCs w:val="18"/>
                    </w:rPr>
                  </w:pPr>
                </w:p>
              </w:tc>
              <w:tc>
                <w:tcPr>
                  <w:tcW w:w="276" w:type="pct"/>
                  <w:vMerge w:val="continue"/>
                  <w:vAlign w:val="center"/>
                </w:tcPr>
                <w:p w14:paraId="7405F534">
                  <w:pPr>
                    <w:pStyle w:val="656"/>
                    <w:snapToGrid w:val="0"/>
                    <w:rPr>
                      <w:rFonts w:hint="eastAsia" w:eastAsia="宋体"/>
                      <w:color w:val="auto"/>
                      <w:sz w:val="18"/>
                      <w:szCs w:val="18"/>
                    </w:rPr>
                  </w:pPr>
                </w:p>
              </w:tc>
              <w:tc>
                <w:tcPr>
                  <w:tcW w:w="256" w:type="pct"/>
                  <w:vAlign w:val="center"/>
                </w:tcPr>
                <w:p w14:paraId="0BA9B76A">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90</w:t>
                  </w:r>
                </w:p>
              </w:tc>
              <w:tc>
                <w:tcPr>
                  <w:tcW w:w="937" w:type="dxa"/>
                  <w:vAlign w:val="center"/>
                </w:tcPr>
                <w:p w14:paraId="49BAD393">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0.82</w:t>
                  </w:r>
                </w:p>
              </w:tc>
              <w:tc>
                <w:tcPr>
                  <w:tcW w:w="1120" w:type="dxa"/>
                  <w:vAlign w:val="center"/>
                </w:tcPr>
                <w:p w14:paraId="108D31F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0.0053</w:t>
                  </w:r>
                </w:p>
              </w:tc>
              <w:tc>
                <w:tcPr>
                  <w:tcW w:w="1027" w:type="dxa"/>
                  <w:vAlign w:val="center"/>
                </w:tcPr>
                <w:p w14:paraId="0D627AF2">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0.0212</w:t>
                  </w:r>
                </w:p>
              </w:tc>
              <w:tc>
                <w:tcPr>
                  <w:tcW w:w="357" w:type="pct"/>
                  <w:vMerge w:val="continue"/>
                  <w:vAlign w:val="center"/>
                </w:tcPr>
                <w:p w14:paraId="7E4652BD">
                  <w:pPr>
                    <w:pStyle w:val="656"/>
                    <w:snapToGrid w:val="0"/>
                    <w:rPr>
                      <w:rFonts w:hint="eastAsia" w:eastAsia="宋体"/>
                      <w:color w:val="auto"/>
                      <w:sz w:val="18"/>
                      <w:szCs w:val="18"/>
                    </w:rPr>
                  </w:pPr>
                </w:p>
              </w:tc>
            </w:tr>
            <w:tr w14:paraId="0BBBD49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14" w:type="pct"/>
                  <w:vMerge w:val="continue"/>
                  <w:vAlign w:val="center"/>
                </w:tcPr>
                <w:p w14:paraId="3A319E9B">
                  <w:pPr>
                    <w:pStyle w:val="656"/>
                    <w:snapToGrid w:val="0"/>
                    <w:rPr>
                      <w:rFonts w:hint="eastAsia" w:eastAsia="宋体"/>
                      <w:color w:val="auto"/>
                      <w:sz w:val="18"/>
                      <w:szCs w:val="18"/>
                      <w:lang w:val="en-US" w:eastAsia="zh-CN"/>
                    </w:rPr>
                  </w:pPr>
                </w:p>
              </w:tc>
              <w:tc>
                <w:tcPr>
                  <w:tcW w:w="296" w:type="pct"/>
                  <w:vMerge w:val="continue"/>
                  <w:vAlign w:val="center"/>
                </w:tcPr>
                <w:p w14:paraId="2E56F521">
                  <w:pPr>
                    <w:pStyle w:val="656"/>
                    <w:snapToGrid w:val="0"/>
                    <w:rPr>
                      <w:rFonts w:hint="eastAsia" w:eastAsia="宋体"/>
                      <w:color w:val="auto"/>
                      <w:sz w:val="18"/>
                      <w:szCs w:val="18"/>
                      <w:lang w:val="en-US" w:eastAsia="zh-CN"/>
                    </w:rPr>
                  </w:pPr>
                </w:p>
              </w:tc>
              <w:tc>
                <w:tcPr>
                  <w:tcW w:w="236" w:type="pct"/>
                  <w:vMerge w:val="continue"/>
                  <w:vAlign w:val="center"/>
                </w:tcPr>
                <w:p w14:paraId="6B255AA2">
                  <w:pPr>
                    <w:pStyle w:val="656"/>
                    <w:snapToGrid w:val="0"/>
                    <w:rPr>
                      <w:rFonts w:hint="eastAsia" w:eastAsia="宋体"/>
                      <w:color w:val="auto"/>
                      <w:sz w:val="18"/>
                      <w:szCs w:val="18"/>
                      <w:lang w:val="en-US" w:eastAsia="zh-CN"/>
                    </w:rPr>
                  </w:pPr>
                </w:p>
              </w:tc>
              <w:tc>
                <w:tcPr>
                  <w:tcW w:w="463" w:type="pct"/>
                  <w:vAlign w:val="center"/>
                </w:tcPr>
                <w:p w14:paraId="237647AC">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非甲烷总烃</w:t>
                  </w:r>
                </w:p>
              </w:tc>
              <w:tc>
                <w:tcPr>
                  <w:tcW w:w="1133" w:type="dxa"/>
                  <w:vAlign w:val="center"/>
                </w:tcPr>
                <w:p w14:paraId="01A2ACA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0.065</w:t>
                  </w:r>
                </w:p>
              </w:tc>
              <w:tc>
                <w:tcPr>
                  <w:tcW w:w="1035" w:type="dxa"/>
                  <w:vAlign w:val="center"/>
                </w:tcPr>
                <w:p w14:paraId="499C96C3">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0.000425</w:t>
                  </w:r>
                </w:p>
              </w:tc>
              <w:tc>
                <w:tcPr>
                  <w:tcW w:w="1155" w:type="dxa"/>
                  <w:vAlign w:val="center"/>
                </w:tcPr>
                <w:p w14:paraId="6646868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0.0017</w:t>
                  </w:r>
                </w:p>
              </w:tc>
              <w:tc>
                <w:tcPr>
                  <w:tcW w:w="384" w:type="pct"/>
                  <w:vMerge w:val="continue"/>
                  <w:vAlign w:val="center"/>
                </w:tcPr>
                <w:p w14:paraId="22E075F6">
                  <w:pPr>
                    <w:pStyle w:val="656"/>
                    <w:snapToGrid w:val="0"/>
                    <w:rPr>
                      <w:rFonts w:hint="eastAsia" w:eastAsia="宋体"/>
                      <w:color w:val="auto"/>
                      <w:sz w:val="18"/>
                      <w:szCs w:val="18"/>
                    </w:rPr>
                  </w:pPr>
                </w:p>
              </w:tc>
              <w:tc>
                <w:tcPr>
                  <w:tcW w:w="276" w:type="pct"/>
                  <w:vMerge w:val="continue"/>
                  <w:vAlign w:val="center"/>
                </w:tcPr>
                <w:p w14:paraId="247FBE66">
                  <w:pPr>
                    <w:pStyle w:val="656"/>
                    <w:snapToGrid w:val="0"/>
                    <w:rPr>
                      <w:rFonts w:hint="eastAsia" w:eastAsia="宋体"/>
                      <w:color w:val="auto"/>
                      <w:sz w:val="18"/>
                      <w:szCs w:val="18"/>
                    </w:rPr>
                  </w:pPr>
                </w:p>
              </w:tc>
              <w:tc>
                <w:tcPr>
                  <w:tcW w:w="256" w:type="pct"/>
                  <w:vAlign w:val="center"/>
                </w:tcPr>
                <w:p w14:paraId="77A14587">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w:t>
                  </w:r>
                </w:p>
              </w:tc>
              <w:tc>
                <w:tcPr>
                  <w:tcW w:w="937" w:type="dxa"/>
                  <w:vAlign w:val="center"/>
                </w:tcPr>
                <w:p w14:paraId="56E93A8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0.065</w:t>
                  </w:r>
                </w:p>
              </w:tc>
              <w:tc>
                <w:tcPr>
                  <w:tcW w:w="1120" w:type="dxa"/>
                  <w:vAlign w:val="center"/>
                </w:tcPr>
                <w:p w14:paraId="3138579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0.000425</w:t>
                  </w:r>
                </w:p>
              </w:tc>
              <w:tc>
                <w:tcPr>
                  <w:tcW w:w="1027" w:type="dxa"/>
                  <w:vAlign w:val="center"/>
                </w:tcPr>
                <w:p w14:paraId="3796FED3">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0.0017</w:t>
                  </w:r>
                </w:p>
              </w:tc>
              <w:tc>
                <w:tcPr>
                  <w:tcW w:w="357" w:type="pct"/>
                  <w:vMerge w:val="continue"/>
                  <w:vAlign w:val="center"/>
                </w:tcPr>
                <w:p w14:paraId="29AA4CD1">
                  <w:pPr>
                    <w:pStyle w:val="656"/>
                    <w:snapToGrid w:val="0"/>
                    <w:rPr>
                      <w:rFonts w:hint="eastAsia" w:eastAsia="宋体"/>
                      <w:color w:val="auto"/>
                      <w:sz w:val="18"/>
                      <w:szCs w:val="18"/>
                    </w:rPr>
                  </w:pPr>
                </w:p>
              </w:tc>
            </w:tr>
            <w:tr w14:paraId="69922D2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14" w:type="pct"/>
                  <w:vMerge w:val="continue"/>
                  <w:vAlign w:val="center"/>
                </w:tcPr>
                <w:p w14:paraId="1EC16321">
                  <w:pPr>
                    <w:pStyle w:val="656"/>
                    <w:snapToGrid w:val="0"/>
                    <w:rPr>
                      <w:rFonts w:hint="eastAsia" w:eastAsia="宋体"/>
                      <w:color w:val="auto"/>
                      <w:sz w:val="18"/>
                      <w:szCs w:val="18"/>
                      <w:lang w:val="en-US" w:eastAsia="zh-CN"/>
                    </w:rPr>
                  </w:pPr>
                </w:p>
              </w:tc>
              <w:tc>
                <w:tcPr>
                  <w:tcW w:w="296" w:type="pct"/>
                  <w:vMerge w:val="continue"/>
                  <w:vAlign w:val="center"/>
                </w:tcPr>
                <w:p w14:paraId="6446E08F">
                  <w:pPr>
                    <w:pStyle w:val="656"/>
                    <w:snapToGrid w:val="0"/>
                    <w:rPr>
                      <w:rFonts w:hint="eastAsia" w:eastAsia="宋体"/>
                      <w:color w:val="auto"/>
                      <w:sz w:val="18"/>
                      <w:szCs w:val="18"/>
                      <w:lang w:val="en-US" w:eastAsia="zh-CN"/>
                    </w:rPr>
                  </w:pPr>
                </w:p>
              </w:tc>
              <w:tc>
                <w:tcPr>
                  <w:tcW w:w="236" w:type="pct"/>
                  <w:vMerge w:val="continue"/>
                  <w:vAlign w:val="center"/>
                </w:tcPr>
                <w:p w14:paraId="084C37C5">
                  <w:pPr>
                    <w:pStyle w:val="656"/>
                    <w:snapToGrid w:val="0"/>
                    <w:rPr>
                      <w:rFonts w:hint="eastAsia" w:eastAsia="宋体"/>
                      <w:color w:val="auto"/>
                      <w:sz w:val="18"/>
                      <w:szCs w:val="18"/>
                      <w:lang w:val="en-US" w:eastAsia="zh-CN"/>
                    </w:rPr>
                  </w:pPr>
                </w:p>
              </w:tc>
              <w:tc>
                <w:tcPr>
                  <w:tcW w:w="463" w:type="pct"/>
                  <w:vAlign w:val="center"/>
                </w:tcPr>
                <w:p w14:paraId="1DF977A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铜及其化合物（以Cu计）</w:t>
                  </w:r>
                </w:p>
              </w:tc>
              <w:tc>
                <w:tcPr>
                  <w:tcW w:w="1133" w:type="dxa"/>
                  <w:vAlign w:val="center"/>
                </w:tcPr>
                <w:p w14:paraId="21989802">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17.3</w:t>
                  </w:r>
                </w:p>
              </w:tc>
              <w:tc>
                <w:tcPr>
                  <w:tcW w:w="1035" w:type="dxa"/>
                  <w:vAlign w:val="center"/>
                </w:tcPr>
                <w:p w14:paraId="71CF3DE5">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0.1125</w:t>
                  </w:r>
                </w:p>
              </w:tc>
              <w:tc>
                <w:tcPr>
                  <w:tcW w:w="1155" w:type="dxa"/>
                  <w:vAlign w:val="center"/>
                </w:tcPr>
                <w:p w14:paraId="0163BC1D">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0.45</w:t>
                  </w:r>
                </w:p>
              </w:tc>
              <w:tc>
                <w:tcPr>
                  <w:tcW w:w="384" w:type="pct"/>
                  <w:vMerge w:val="continue"/>
                  <w:vAlign w:val="center"/>
                </w:tcPr>
                <w:p w14:paraId="7D1EBFB4">
                  <w:pPr>
                    <w:pStyle w:val="656"/>
                    <w:snapToGrid w:val="0"/>
                    <w:rPr>
                      <w:rFonts w:hint="eastAsia" w:eastAsia="宋体"/>
                      <w:color w:val="auto"/>
                      <w:sz w:val="18"/>
                      <w:szCs w:val="18"/>
                    </w:rPr>
                  </w:pPr>
                </w:p>
              </w:tc>
              <w:tc>
                <w:tcPr>
                  <w:tcW w:w="276" w:type="pct"/>
                  <w:vMerge w:val="continue"/>
                  <w:vAlign w:val="center"/>
                </w:tcPr>
                <w:p w14:paraId="67838C41">
                  <w:pPr>
                    <w:pStyle w:val="656"/>
                    <w:snapToGrid w:val="0"/>
                    <w:rPr>
                      <w:rFonts w:hint="eastAsia" w:eastAsia="宋体"/>
                      <w:color w:val="auto"/>
                      <w:sz w:val="18"/>
                      <w:szCs w:val="18"/>
                    </w:rPr>
                  </w:pPr>
                </w:p>
              </w:tc>
              <w:tc>
                <w:tcPr>
                  <w:tcW w:w="256" w:type="pct"/>
                  <w:vAlign w:val="center"/>
                </w:tcPr>
                <w:p w14:paraId="4AF03B9C">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99</w:t>
                  </w:r>
                </w:p>
              </w:tc>
              <w:tc>
                <w:tcPr>
                  <w:tcW w:w="937" w:type="dxa"/>
                  <w:vAlign w:val="center"/>
                </w:tcPr>
                <w:p w14:paraId="593EFEC6">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0.17</w:t>
                  </w:r>
                </w:p>
              </w:tc>
              <w:tc>
                <w:tcPr>
                  <w:tcW w:w="1120" w:type="dxa"/>
                  <w:vAlign w:val="center"/>
                </w:tcPr>
                <w:p w14:paraId="6F6411E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0.00113</w:t>
                  </w:r>
                </w:p>
              </w:tc>
              <w:tc>
                <w:tcPr>
                  <w:tcW w:w="1027" w:type="dxa"/>
                  <w:vAlign w:val="center"/>
                </w:tcPr>
                <w:p w14:paraId="42CE20E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0.0045</w:t>
                  </w:r>
                </w:p>
              </w:tc>
              <w:tc>
                <w:tcPr>
                  <w:tcW w:w="357" w:type="pct"/>
                  <w:vMerge w:val="continue"/>
                  <w:vAlign w:val="center"/>
                </w:tcPr>
                <w:p w14:paraId="554CF87C">
                  <w:pPr>
                    <w:pStyle w:val="656"/>
                    <w:snapToGrid w:val="0"/>
                    <w:rPr>
                      <w:rFonts w:hint="eastAsia" w:eastAsia="宋体"/>
                      <w:color w:val="auto"/>
                      <w:sz w:val="18"/>
                      <w:szCs w:val="18"/>
                    </w:rPr>
                  </w:pPr>
                </w:p>
              </w:tc>
            </w:tr>
            <w:tr w14:paraId="317B0DF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14" w:type="pct"/>
                  <w:vMerge w:val="continue"/>
                  <w:vAlign w:val="center"/>
                </w:tcPr>
                <w:p w14:paraId="104A22D2">
                  <w:pPr>
                    <w:pStyle w:val="656"/>
                    <w:snapToGrid w:val="0"/>
                    <w:rPr>
                      <w:rFonts w:hint="eastAsia" w:eastAsia="宋体"/>
                      <w:color w:val="auto"/>
                      <w:sz w:val="18"/>
                      <w:szCs w:val="18"/>
                      <w:lang w:val="en-US" w:eastAsia="zh-CN"/>
                    </w:rPr>
                  </w:pPr>
                </w:p>
              </w:tc>
              <w:tc>
                <w:tcPr>
                  <w:tcW w:w="296" w:type="pct"/>
                  <w:vMerge w:val="continue"/>
                  <w:vAlign w:val="center"/>
                </w:tcPr>
                <w:p w14:paraId="60D447F1">
                  <w:pPr>
                    <w:pStyle w:val="656"/>
                    <w:snapToGrid w:val="0"/>
                    <w:rPr>
                      <w:rFonts w:hint="eastAsia" w:eastAsia="宋体"/>
                      <w:color w:val="auto"/>
                      <w:sz w:val="18"/>
                      <w:szCs w:val="18"/>
                      <w:lang w:val="en-US" w:eastAsia="zh-CN"/>
                    </w:rPr>
                  </w:pPr>
                </w:p>
              </w:tc>
              <w:tc>
                <w:tcPr>
                  <w:tcW w:w="236" w:type="pct"/>
                  <w:vMerge w:val="continue"/>
                  <w:vAlign w:val="center"/>
                </w:tcPr>
                <w:p w14:paraId="0F670CBB">
                  <w:pPr>
                    <w:pStyle w:val="656"/>
                    <w:snapToGrid w:val="0"/>
                    <w:rPr>
                      <w:rFonts w:hint="eastAsia" w:eastAsia="宋体"/>
                      <w:color w:val="auto"/>
                      <w:sz w:val="18"/>
                      <w:szCs w:val="18"/>
                      <w:lang w:val="en-US" w:eastAsia="zh-CN"/>
                    </w:rPr>
                  </w:pPr>
                </w:p>
              </w:tc>
              <w:tc>
                <w:tcPr>
                  <w:tcW w:w="463" w:type="pct"/>
                  <w:vAlign w:val="center"/>
                </w:tcPr>
                <w:p w14:paraId="5953BBBA">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二噁英类</w:t>
                  </w:r>
                </w:p>
              </w:tc>
              <w:tc>
                <w:tcPr>
                  <w:tcW w:w="1133" w:type="dxa"/>
                  <w:vAlign w:val="center"/>
                </w:tcPr>
                <w:p w14:paraId="62CCBE1F">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0.5</w:t>
                  </w:r>
                  <w:r>
                    <w:rPr>
                      <w:rFonts w:hint="eastAsia"/>
                      <w:color w:val="auto"/>
                      <w:kern w:val="0"/>
                      <w:sz w:val="18"/>
                      <w:szCs w:val="18"/>
                    </w:rPr>
                    <w:t>ngTEQ/m</w:t>
                  </w:r>
                  <w:r>
                    <w:rPr>
                      <w:rFonts w:hint="eastAsia"/>
                      <w:color w:val="auto"/>
                      <w:kern w:val="0"/>
                      <w:sz w:val="18"/>
                      <w:szCs w:val="18"/>
                      <w:vertAlign w:val="superscript"/>
                    </w:rPr>
                    <w:t>3</w:t>
                  </w:r>
                </w:p>
              </w:tc>
              <w:tc>
                <w:tcPr>
                  <w:tcW w:w="1035" w:type="dxa"/>
                  <w:vAlign w:val="center"/>
                </w:tcPr>
                <w:p w14:paraId="335747DC">
                  <w:pPr>
                    <w:pStyle w:val="656"/>
                    <w:snapToGrid w:val="0"/>
                    <w:rPr>
                      <w:rFonts w:hint="eastAsia" w:eastAsia="仿宋_GB2312"/>
                      <w:color w:val="auto"/>
                      <w:sz w:val="18"/>
                      <w:szCs w:val="18"/>
                      <w:lang w:val="en-US" w:eastAsia="zh-CN"/>
                    </w:rPr>
                  </w:pPr>
                  <w:r>
                    <w:rPr>
                      <w:rFonts w:hint="eastAsia"/>
                      <w:color w:val="auto"/>
                      <w:sz w:val="18"/>
                      <w:szCs w:val="18"/>
                      <w:lang w:val="en-US" w:eastAsia="zh-CN"/>
                    </w:rPr>
                    <w:t>0.00325</w:t>
                  </w:r>
                  <w:r>
                    <w:rPr>
                      <w:rFonts w:hint="eastAsia"/>
                      <w:color w:val="auto"/>
                      <w:kern w:val="0"/>
                      <w:sz w:val="18"/>
                      <w:szCs w:val="18"/>
                    </w:rPr>
                    <w:t>ngTEQ/</w:t>
                  </w:r>
                  <w:r>
                    <w:rPr>
                      <w:rFonts w:hint="eastAsia"/>
                      <w:color w:val="auto"/>
                      <w:kern w:val="0"/>
                      <w:sz w:val="18"/>
                      <w:szCs w:val="18"/>
                      <w:lang w:val="en-US" w:eastAsia="zh-CN"/>
                    </w:rPr>
                    <w:t>h</w:t>
                  </w:r>
                </w:p>
              </w:tc>
              <w:tc>
                <w:tcPr>
                  <w:tcW w:w="1155" w:type="dxa"/>
                  <w:vAlign w:val="center"/>
                </w:tcPr>
                <w:p w14:paraId="145FEA38">
                  <w:pPr>
                    <w:pStyle w:val="656"/>
                    <w:snapToGrid w:val="0"/>
                    <w:rPr>
                      <w:rFonts w:hint="eastAsia" w:eastAsia="仿宋_GB2312"/>
                      <w:color w:val="auto"/>
                      <w:sz w:val="18"/>
                      <w:szCs w:val="18"/>
                      <w:lang w:val="en-US" w:eastAsia="zh-CN"/>
                    </w:rPr>
                  </w:pPr>
                  <w:r>
                    <w:rPr>
                      <w:rFonts w:hint="eastAsia"/>
                      <w:color w:val="auto"/>
                      <w:sz w:val="18"/>
                      <w:szCs w:val="18"/>
                      <w:lang w:val="en-US" w:eastAsia="zh-CN"/>
                    </w:rPr>
                    <w:t>13</w:t>
                  </w:r>
                  <w:r>
                    <w:rPr>
                      <w:rFonts w:hint="eastAsia"/>
                      <w:color w:val="auto"/>
                      <w:kern w:val="0"/>
                      <w:sz w:val="18"/>
                      <w:szCs w:val="18"/>
                    </w:rPr>
                    <w:t>ngTEQ/</w:t>
                  </w:r>
                  <w:r>
                    <w:rPr>
                      <w:rFonts w:hint="eastAsia"/>
                      <w:color w:val="auto"/>
                      <w:kern w:val="0"/>
                      <w:sz w:val="18"/>
                      <w:szCs w:val="18"/>
                      <w:lang w:val="en-US" w:eastAsia="zh-CN"/>
                    </w:rPr>
                    <w:t>a</w:t>
                  </w:r>
                </w:p>
              </w:tc>
              <w:tc>
                <w:tcPr>
                  <w:tcW w:w="384" w:type="pct"/>
                  <w:vMerge w:val="continue"/>
                  <w:vAlign w:val="center"/>
                </w:tcPr>
                <w:p w14:paraId="2C4F6DF2">
                  <w:pPr>
                    <w:pStyle w:val="656"/>
                    <w:snapToGrid w:val="0"/>
                    <w:rPr>
                      <w:rFonts w:hint="eastAsia" w:eastAsia="宋体"/>
                      <w:color w:val="auto"/>
                      <w:sz w:val="18"/>
                      <w:szCs w:val="18"/>
                    </w:rPr>
                  </w:pPr>
                </w:p>
              </w:tc>
              <w:tc>
                <w:tcPr>
                  <w:tcW w:w="276" w:type="pct"/>
                  <w:vMerge w:val="continue"/>
                  <w:vAlign w:val="center"/>
                </w:tcPr>
                <w:p w14:paraId="19028503">
                  <w:pPr>
                    <w:pStyle w:val="656"/>
                    <w:snapToGrid w:val="0"/>
                    <w:rPr>
                      <w:rFonts w:hint="eastAsia" w:eastAsia="宋体"/>
                      <w:color w:val="auto"/>
                      <w:sz w:val="18"/>
                      <w:szCs w:val="18"/>
                    </w:rPr>
                  </w:pPr>
                </w:p>
              </w:tc>
              <w:tc>
                <w:tcPr>
                  <w:tcW w:w="256" w:type="pct"/>
                  <w:vAlign w:val="center"/>
                </w:tcPr>
                <w:p w14:paraId="011E7AC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95</w:t>
                  </w:r>
                </w:p>
              </w:tc>
              <w:tc>
                <w:tcPr>
                  <w:tcW w:w="937" w:type="dxa"/>
                  <w:vAlign w:val="center"/>
                </w:tcPr>
                <w:p w14:paraId="630F6882">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0.025</w:t>
                  </w:r>
                  <w:r>
                    <w:rPr>
                      <w:rFonts w:hint="eastAsia"/>
                      <w:color w:val="auto"/>
                      <w:kern w:val="0"/>
                      <w:sz w:val="18"/>
                      <w:szCs w:val="18"/>
                    </w:rPr>
                    <w:t>ngTEQ/m</w:t>
                  </w:r>
                  <w:r>
                    <w:rPr>
                      <w:rFonts w:hint="eastAsia"/>
                      <w:color w:val="auto"/>
                      <w:kern w:val="0"/>
                      <w:sz w:val="18"/>
                      <w:szCs w:val="18"/>
                      <w:vertAlign w:val="superscript"/>
                    </w:rPr>
                    <w:t>3</w:t>
                  </w:r>
                </w:p>
              </w:tc>
              <w:tc>
                <w:tcPr>
                  <w:tcW w:w="1120" w:type="dxa"/>
                  <w:vAlign w:val="center"/>
                </w:tcPr>
                <w:p w14:paraId="4713259F">
                  <w:pPr>
                    <w:pStyle w:val="656"/>
                    <w:snapToGrid w:val="0"/>
                    <w:rPr>
                      <w:rFonts w:hint="default" w:eastAsia="宋体"/>
                      <w:color w:val="auto"/>
                      <w:sz w:val="18"/>
                      <w:szCs w:val="18"/>
                      <w:lang w:val="en-US" w:eastAsia="zh-CN"/>
                    </w:rPr>
                  </w:pPr>
                  <w:r>
                    <w:rPr>
                      <w:rFonts w:hint="eastAsia"/>
                      <w:color w:val="auto"/>
                      <w:sz w:val="18"/>
                      <w:szCs w:val="18"/>
                      <w:lang w:val="en-US" w:eastAsia="zh-CN"/>
                    </w:rPr>
                    <w:t>0.0001625</w:t>
                  </w:r>
                  <w:r>
                    <w:rPr>
                      <w:rFonts w:hint="eastAsia"/>
                      <w:color w:val="auto"/>
                      <w:kern w:val="0"/>
                      <w:sz w:val="18"/>
                      <w:szCs w:val="18"/>
                    </w:rPr>
                    <w:t>ngTEQ/</w:t>
                  </w:r>
                  <w:r>
                    <w:rPr>
                      <w:rFonts w:hint="eastAsia"/>
                      <w:color w:val="auto"/>
                      <w:kern w:val="0"/>
                      <w:sz w:val="18"/>
                      <w:szCs w:val="18"/>
                      <w:lang w:val="en-US" w:eastAsia="zh-CN"/>
                    </w:rPr>
                    <w:t>h</w:t>
                  </w:r>
                </w:p>
              </w:tc>
              <w:tc>
                <w:tcPr>
                  <w:tcW w:w="1027" w:type="dxa"/>
                  <w:vAlign w:val="center"/>
                </w:tcPr>
                <w:p w14:paraId="62C5E916">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0.65</w:t>
                  </w:r>
                  <w:r>
                    <w:rPr>
                      <w:rFonts w:hint="eastAsia"/>
                      <w:color w:val="auto"/>
                      <w:kern w:val="0"/>
                      <w:sz w:val="18"/>
                      <w:szCs w:val="18"/>
                    </w:rPr>
                    <w:t>ngTEQ/</w:t>
                  </w:r>
                  <w:r>
                    <w:rPr>
                      <w:rFonts w:hint="eastAsia"/>
                      <w:color w:val="auto"/>
                      <w:kern w:val="0"/>
                      <w:sz w:val="18"/>
                      <w:szCs w:val="18"/>
                      <w:lang w:val="en-US" w:eastAsia="zh-CN"/>
                    </w:rPr>
                    <w:t>a</w:t>
                  </w:r>
                </w:p>
              </w:tc>
              <w:tc>
                <w:tcPr>
                  <w:tcW w:w="357" w:type="pct"/>
                  <w:vMerge w:val="continue"/>
                  <w:vAlign w:val="center"/>
                </w:tcPr>
                <w:p w14:paraId="2723D0F3">
                  <w:pPr>
                    <w:pStyle w:val="656"/>
                    <w:snapToGrid w:val="0"/>
                    <w:rPr>
                      <w:rFonts w:hint="eastAsia" w:eastAsia="宋体"/>
                      <w:color w:val="auto"/>
                      <w:sz w:val="18"/>
                      <w:szCs w:val="18"/>
                    </w:rPr>
                  </w:pPr>
                </w:p>
              </w:tc>
            </w:tr>
          </w:tbl>
          <w:p w14:paraId="3E0B1239">
            <w:pPr>
              <w:adjustRightInd w:val="0"/>
              <w:snapToGrid w:val="0"/>
              <w:spacing w:line="360" w:lineRule="auto"/>
              <w:rPr>
                <w:b/>
                <w:color w:val="auto"/>
                <w:kern w:val="0"/>
              </w:rPr>
            </w:pPr>
          </w:p>
        </w:tc>
      </w:tr>
    </w:tbl>
    <w:p w14:paraId="1C82483D">
      <w:pPr>
        <w:pStyle w:val="55"/>
        <w:rPr>
          <w:color w:val="auto"/>
        </w:rPr>
        <w:sectPr>
          <w:pgSz w:w="16840" w:h="11907" w:orient="landscape"/>
          <w:pgMar w:top="1361" w:right="1418" w:bottom="1361" w:left="1418" w:header="851" w:footer="851" w:gutter="0"/>
          <w:pgBorders>
            <w:top w:val="none" w:sz="0" w:space="0"/>
            <w:left w:val="none" w:sz="0" w:space="0"/>
            <w:bottom w:val="none" w:sz="0" w:space="0"/>
            <w:right w:val="none" w:sz="0" w:space="0"/>
          </w:pgBorders>
          <w:cols w:space="720" w:num="1"/>
          <w:docGrid w:linePitch="312" w:charSpace="0"/>
        </w:sectPr>
      </w:pPr>
    </w:p>
    <w:tbl>
      <w:tblPr>
        <w:tblStyle w:val="59"/>
        <w:tblW w:w="554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0"/>
        <w:gridCol w:w="9811"/>
      </w:tblGrid>
      <w:tr w14:paraId="3A8504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31" w:hRule="atLeast"/>
          <w:jc w:val="center"/>
        </w:trPr>
        <w:tc>
          <w:tcPr>
            <w:tcW w:w="256" w:type="pct"/>
            <w:tcMar>
              <w:left w:w="28" w:type="dxa"/>
              <w:right w:w="28" w:type="dxa"/>
            </w:tcMar>
            <w:vAlign w:val="center"/>
          </w:tcPr>
          <w:p w14:paraId="3A84FD36">
            <w:pPr>
              <w:adjustRightInd w:val="0"/>
              <w:snapToGrid w:val="0"/>
              <w:jc w:val="center"/>
              <w:rPr>
                <w:b/>
                <w:color w:val="auto"/>
                <w:kern w:val="0"/>
              </w:rPr>
            </w:pPr>
            <w:r>
              <w:rPr>
                <w:b/>
                <w:bCs/>
                <w:color w:val="auto"/>
                <w:kern w:val="0"/>
              </w:rPr>
              <w:t>运营期环境影响和保护措施</w:t>
            </w:r>
          </w:p>
        </w:tc>
        <w:tc>
          <w:tcPr>
            <w:tcW w:w="4743" w:type="pct"/>
            <w:vAlign w:val="center"/>
          </w:tcPr>
          <w:p w14:paraId="3A84FD37">
            <w:pPr>
              <w:adjustRightInd w:val="0"/>
              <w:snapToGrid w:val="0"/>
              <w:spacing w:line="360" w:lineRule="auto"/>
              <w:rPr>
                <w:b/>
                <w:color w:val="auto"/>
                <w:kern w:val="0"/>
              </w:rPr>
            </w:pPr>
            <w:r>
              <w:rPr>
                <w:rFonts w:hint="eastAsia"/>
                <w:b/>
                <w:color w:val="auto"/>
                <w:kern w:val="0"/>
              </w:rPr>
              <w:t>源强核算</w:t>
            </w:r>
          </w:p>
          <w:p w14:paraId="3A84FD38">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eastAsia="宋体"/>
                <w:b/>
                <w:bCs/>
                <w:color w:val="auto"/>
                <w:kern w:val="0"/>
                <w:lang w:eastAsia="zh-CN"/>
              </w:rPr>
            </w:pPr>
            <w:r>
              <w:rPr>
                <w:rFonts w:hint="eastAsia"/>
                <w:b/>
                <w:bCs/>
                <w:color w:val="auto"/>
                <w:kern w:val="0"/>
                <w:lang w:val="en-US" w:eastAsia="zh-CN"/>
              </w:rPr>
              <w:t>焚烧废气</w:t>
            </w:r>
          </w:p>
          <w:p w14:paraId="18DD633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rPr>
            </w:pPr>
            <w:r>
              <w:rPr>
                <w:rFonts w:hint="eastAsia"/>
                <w:color w:val="auto"/>
                <w:kern w:val="0"/>
              </w:rPr>
              <w:t>焚烧废气主要是废物焚烧后产生的烟气，焚烧烟气污染物排放具有不稳定性、不均衡性，废气主要污染物有酸性组分（以SO</w:t>
            </w:r>
            <w:r>
              <w:rPr>
                <w:rFonts w:hint="eastAsia"/>
                <w:color w:val="auto"/>
                <w:kern w:val="0"/>
                <w:vertAlign w:val="subscript"/>
              </w:rPr>
              <w:t>2</w:t>
            </w:r>
            <w:r>
              <w:rPr>
                <w:rFonts w:hint="eastAsia"/>
                <w:color w:val="auto"/>
                <w:kern w:val="0"/>
              </w:rPr>
              <w:t>、NOx为主，以及少量HCl）、CO、烟尘（颗粒物）、挥发性重金属、二噁英类物质、SNCR脱硝产生的氨、非甲烷总烃等。尾气</w:t>
            </w:r>
            <w:r>
              <w:rPr>
                <w:rFonts w:hint="eastAsia"/>
                <w:color w:val="auto"/>
                <w:kern w:val="0"/>
                <w:lang w:val="en-US" w:eastAsia="zh-CN"/>
              </w:rPr>
              <w:t>依托现有</w:t>
            </w:r>
            <w:r>
              <w:rPr>
                <w:rFonts w:hint="eastAsia"/>
                <w:color w:val="auto"/>
                <w:kern w:val="0"/>
              </w:rPr>
              <w:t>SNCR脱硝+急冷除盐+干粉吸收+布袋除尘+臭氧氧化+碱喷淋吸收处理后通过1根25m高排气筒（3#）排放。</w:t>
            </w:r>
          </w:p>
          <w:p w14:paraId="1FFE10F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auto"/>
                <w:kern w:val="0"/>
                <w:lang w:val="en-US" w:eastAsia="zh-CN"/>
              </w:rPr>
            </w:pPr>
            <w:r>
              <w:rPr>
                <w:rFonts w:hint="eastAsia"/>
                <w:color w:val="auto"/>
                <w:kern w:val="0"/>
                <w:lang w:val="en-US" w:eastAsia="zh-CN"/>
              </w:rPr>
              <w:t>各污染物组分来源如下：</w:t>
            </w:r>
          </w:p>
          <w:p w14:paraId="60136D9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auto"/>
                <w:kern w:val="0"/>
                <w:lang w:val="en-US" w:eastAsia="zh-CN"/>
              </w:rPr>
            </w:pPr>
            <w:r>
              <w:rPr>
                <w:rFonts w:hint="eastAsia"/>
                <w:color w:val="auto"/>
                <w:kern w:val="0"/>
                <w:lang w:eastAsia="zh-CN"/>
              </w:rPr>
              <w:t>（</w:t>
            </w:r>
            <w:r>
              <w:rPr>
                <w:rFonts w:hint="eastAsia"/>
                <w:color w:val="auto"/>
                <w:kern w:val="0"/>
                <w:lang w:val="en-US" w:eastAsia="zh-CN"/>
              </w:rPr>
              <w:t>1</w:t>
            </w:r>
            <w:r>
              <w:rPr>
                <w:rFonts w:hint="eastAsia"/>
                <w:color w:val="auto"/>
                <w:kern w:val="0"/>
                <w:lang w:eastAsia="zh-CN"/>
              </w:rPr>
              <w:t>）</w:t>
            </w:r>
            <w:r>
              <w:rPr>
                <w:rFonts w:hint="eastAsia"/>
                <w:color w:val="auto"/>
                <w:kern w:val="0"/>
                <w:lang w:val="en-US" w:eastAsia="zh-CN"/>
              </w:rPr>
              <w:t>酸性气体</w:t>
            </w:r>
          </w:p>
          <w:p w14:paraId="04CBF87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auto"/>
                <w:kern w:val="0"/>
                <w:lang w:val="en-US" w:eastAsia="zh-CN"/>
              </w:rPr>
            </w:pPr>
            <w:r>
              <w:rPr>
                <w:rFonts w:hint="eastAsia"/>
                <w:color w:val="auto"/>
                <w:kern w:val="0"/>
                <w:lang w:val="en-US" w:eastAsia="zh-CN"/>
              </w:rPr>
              <w:t>a.SO</w:t>
            </w:r>
            <w:r>
              <w:rPr>
                <w:rFonts w:hint="eastAsia"/>
                <w:color w:val="auto"/>
                <w:kern w:val="0"/>
                <w:vertAlign w:val="subscript"/>
                <w:lang w:val="en-US" w:eastAsia="zh-CN"/>
              </w:rPr>
              <w:t>2</w:t>
            </w:r>
            <w:r>
              <w:rPr>
                <w:rFonts w:hint="eastAsia"/>
                <w:color w:val="auto"/>
                <w:kern w:val="0"/>
                <w:lang w:val="en-US" w:eastAsia="zh-CN"/>
              </w:rPr>
              <w:t>：主要是来自柴油燃烧生成。</w:t>
            </w:r>
          </w:p>
          <w:p w14:paraId="7FE35B7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lang w:val="en-US" w:eastAsia="zh-CN"/>
              </w:rPr>
            </w:pPr>
            <w:r>
              <w:rPr>
                <w:rFonts w:hint="eastAsia"/>
                <w:color w:val="auto"/>
                <w:kern w:val="0"/>
                <w:lang w:val="en-US" w:eastAsia="zh-CN"/>
              </w:rPr>
              <w:t>本项目柴油使用量最大为20L/h，全年按4000h计，则使用柴油80000L，柴油燃烧会产生颗粒物、SO</w:t>
            </w:r>
            <w:r>
              <w:rPr>
                <w:rFonts w:hint="eastAsia"/>
                <w:color w:val="auto"/>
                <w:kern w:val="0"/>
                <w:vertAlign w:val="subscript"/>
                <w:lang w:val="en-US" w:eastAsia="zh-CN"/>
              </w:rPr>
              <w:t>2</w:t>
            </w:r>
            <w:r>
              <w:rPr>
                <w:rFonts w:hint="eastAsia"/>
                <w:color w:val="auto"/>
                <w:kern w:val="0"/>
                <w:lang w:val="en-US" w:eastAsia="zh-CN"/>
              </w:rPr>
              <w:t>、NOx，根据《社会区域类环境影响评价培训教材》《社会区域类环境影响评价》（环境科学出版社）中有关柴油发电机产污系数，颗粒物、SO</w:t>
            </w:r>
            <w:r>
              <w:rPr>
                <w:rFonts w:hint="eastAsia"/>
                <w:color w:val="auto"/>
                <w:kern w:val="0"/>
                <w:vertAlign w:val="subscript"/>
                <w:lang w:val="en-US" w:eastAsia="zh-CN"/>
              </w:rPr>
              <w:t>2</w:t>
            </w:r>
            <w:r>
              <w:rPr>
                <w:rFonts w:hint="eastAsia"/>
                <w:color w:val="auto"/>
                <w:kern w:val="0"/>
                <w:lang w:val="en-US" w:eastAsia="zh-CN"/>
              </w:rPr>
              <w:t>、NOx的产污系数分别为0.714g/L、4g/L、2.56g/L，则颗粒物、SO</w:t>
            </w:r>
            <w:r>
              <w:rPr>
                <w:rFonts w:hint="eastAsia"/>
                <w:color w:val="auto"/>
                <w:kern w:val="0"/>
                <w:vertAlign w:val="subscript"/>
                <w:lang w:val="en-US" w:eastAsia="zh-CN"/>
              </w:rPr>
              <w:t>2</w:t>
            </w:r>
            <w:r>
              <w:rPr>
                <w:rFonts w:hint="eastAsia"/>
                <w:color w:val="auto"/>
                <w:kern w:val="0"/>
                <w:lang w:val="en-US" w:eastAsia="zh-CN"/>
              </w:rPr>
              <w:t>、NOx产生量分别为0.057t/a、0.32t/a、0.2t/a。</w:t>
            </w:r>
          </w:p>
          <w:p w14:paraId="5B67AA9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kern w:val="0"/>
                <w:lang w:val="en-US" w:eastAsia="zh-CN"/>
              </w:rPr>
            </w:pPr>
            <w:r>
              <w:rPr>
                <w:rFonts w:hint="eastAsia"/>
                <w:color w:val="auto"/>
                <w:kern w:val="0"/>
                <w:lang w:val="en-US" w:eastAsia="zh-CN"/>
              </w:rPr>
              <w:t>则SO</w:t>
            </w:r>
            <w:r>
              <w:rPr>
                <w:rFonts w:hint="eastAsia"/>
                <w:color w:val="auto"/>
                <w:kern w:val="0"/>
                <w:vertAlign w:val="subscript"/>
                <w:lang w:val="en-US" w:eastAsia="zh-CN"/>
              </w:rPr>
              <w:t>2</w:t>
            </w:r>
            <w:r>
              <w:rPr>
                <w:rFonts w:hint="eastAsia"/>
                <w:color w:val="auto"/>
                <w:kern w:val="0"/>
                <w:lang w:val="en-US" w:eastAsia="zh-CN"/>
              </w:rPr>
              <w:t>产生量为0.32t/a。</w:t>
            </w:r>
          </w:p>
          <w:p w14:paraId="0A66949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auto"/>
                <w:kern w:val="0"/>
                <w:lang w:val="en-US" w:eastAsia="zh-CN"/>
              </w:rPr>
            </w:pPr>
            <w:r>
              <w:rPr>
                <w:rFonts w:hint="eastAsia"/>
                <w:color w:val="auto"/>
                <w:kern w:val="0"/>
                <w:lang w:val="en-US" w:eastAsia="zh-CN"/>
              </w:rPr>
              <w:t>b.CO：一部分是来自固废碳化物的热分解，另一部分来自不完全燃烧。</w:t>
            </w:r>
          </w:p>
          <w:p w14:paraId="6608ACF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rPr>
            </w:pPr>
            <w:r>
              <w:rPr>
                <w:rFonts w:hint="eastAsia"/>
                <w:color w:val="auto"/>
                <w:kern w:val="0"/>
              </w:rPr>
              <w:t>本项目</w:t>
            </w:r>
            <w:r>
              <w:rPr>
                <w:rFonts w:hint="eastAsia"/>
                <w:color w:val="auto"/>
                <w:kern w:val="0"/>
                <w:lang w:val="en-US" w:eastAsia="zh-CN"/>
              </w:rPr>
              <w:t>危废焚烧量为80t/a，焚烧物料中CO含量约为0.1%，则</w:t>
            </w:r>
            <w:r>
              <w:rPr>
                <w:rFonts w:hint="eastAsia"/>
                <w:color w:val="auto"/>
                <w:kern w:val="0"/>
              </w:rPr>
              <w:t>CO产生量</w:t>
            </w:r>
            <w:r>
              <w:rPr>
                <w:rFonts w:hint="eastAsia"/>
                <w:color w:val="auto"/>
                <w:kern w:val="0"/>
                <w:lang w:val="en-US" w:eastAsia="zh-CN"/>
              </w:rPr>
              <w:t>约</w:t>
            </w:r>
            <w:r>
              <w:rPr>
                <w:rFonts w:hint="eastAsia"/>
                <w:color w:val="auto"/>
                <w:kern w:val="0"/>
              </w:rPr>
              <w:t>为</w:t>
            </w:r>
            <w:r>
              <w:rPr>
                <w:rFonts w:hint="eastAsia"/>
                <w:color w:val="auto"/>
                <w:kern w:val="0"/>
                <w:lang w:val="en-US" w:eastAsia="zh-CN"/>
              </w:rPr>
              <w:t>0.08</w:t>
            </w:r>
            <w:r>
              <w:rPr>
                <w:rFonts w:hint="eastAsia"/>
                <w:color w:val="auto"/>
                <w:kern w:val="0"/>
              </w:rPr>
              <w:t>t/a。</w:t>
            </w:r>
          </w:p>
          <w:p w14:paraId="1826496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auto"/>
                <w:kern w:val="0"/>
                <w:lang w:val="en-US" w:eastAsia="zh-CN"/>
              </w:rPr>
            </w:pPr>
            <w:r>
              <w:rPr>
                <w:rFonts w:hint="eastAsia"/>
                <w:color w:val="auto"/>
                <w:kern w:val="0"/>
                <w:lang w:val="en-US" w:eastAsia="zh-CN"/>
              </w:rPr>
              <w:t>c.NOx：来自物料中含氮化合物的热分解和氧化燃烧，少量来自柴油燃烧，柴油燃烧产生NOx为0.2t/a。</w:t>
            </w:r>
          </w:p>
          <w:p w14:paraId="2BFBA4F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rPr>
            </w:pPr>
            <w:r>
              <w:rPr>
                <w:rFonts w:hint="eastAsia"/>
                <w:color w:val="auto"/>
                <w:kern w:val="0"/>
              </w:rPr>
              <w:t>本项目</w:t>
            </w:r>
            <w:r>
              <w:rPr>
                <w:rFonts w:hint="eastAsia"/>
                <w:color w:val="auto"/>
                <w:kern w:val="0"/>
                <w:lang w:val="en-US" w:eastAsia="zh-CN"/>
              </w:rPr>
              <w:t>危废焚烧量为80t/a，</w:t>
            </w:r>
            <w:r>
              <w:rPr>
                <w:rFonts w:hint="eastAsia"/>
                <w:color w:val="auto"/>
                <w:kern w:val="0"/>
              </w:rPr>
              <w:t>焚烧物料中NOx</w:t>
            </w:r>
            <w:r>
              <w:rPr>
                <w:rFonts w:hint="eastAsia"/>
                <w:color w:val="auto"/>
                <w:kern w:val="0"/>
                <w:lang w:val="en-US" w:eastAsia="zh-CN"/>
              </w:rPr>
              <w:t>含量约为1%，则NOx产生量约</w:t>
            </w:r>
            <w:r>
              <w:rPr>
                <w:rFonts w:hint="eastAsia"/>
                <w:color w:val="auto"/>
                <w:kern w:val="0"/>
              </w:rPr>
              <w:t>为</w:t>
            </w:r>
            <w:r>
              <w:rPr>
                <w:rFonts w:hint="eastAsia"/>
                <w:color w:val="auto"/>
                <w:kern w:val="0"/>
                <w:lang w:val="en-US" w:eastAsia="zh-CN"/>
              </w:rPr>
              <w:t>0.8</w:t>
            </w:r>
            <w:r>
              <w:rPr>
                <w:rFonts w:hint="eastAsia"/>
                <w:color w:val="auto"/>
                <w:kern w:val="0"/>
              </w:rPr>
              <w:t>t/a。</w:t>
            </w:r>
          </w:p>
          <w:p w14:paraId="51EA4B1D">
            <w:pPr>
              <w:pStyle w:val="58"/>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default" w:eastAsia="宋体"/>
                <w:color w:val="auto"/>
                <w:sz w:val="21"/>
                <w:szCs w:val="21"/>
                <w:lang w:val="en-US" w:eastAsia="zh-CN"/>
              </w:rPr>
            </w:pPr>
            <w:r>
              <w:rPr>
                <w:rFonts w:hint="eastAsia"/>
                <w:color w:val="auto"/>
                <w:sz w:val="21"/>
                <w:szCs w:val="21"/>
                <w:lang w:val="en-US" w:eastAsia="zh-CN"/>
              </w:rPr>
              <w:t>综上，本项目NOx产生量为1t/a。</w:t>
            </w:r>
          </w:p>
          <w:p w14:paraId="06C7F8F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auto"/>
                <w:kern w:val="0"/>
                <w:lang w:val="en-US" w:eastAsia="zh-CN"/>
              </w:rPr>
            </w:pPr>
            <w:r>
              <w:rPr>
                <w:rFonts w:hint="eastAsia"/>
                <w:color w:val="auto"/>
                <w:kern w:val="0"/>
                <w:lang w:val="en-US" w:eastAsia="zh-CN"/>
              </w:rPr>
              <w:t>d.HCl：来源于焙烧物料中氯元素，项目严格控制入炉的氯含量，因而产生的HCl较少。</w:t>
            </w:r>
            <w:r>
              <w:rPr>
                <w:rFonts w:hint="eastAsia"/>
                <w:color w:val="auto"/>
                <w:kern w:val="0"/>
              </w:rPr>
              <w:t>本项目</w:t>
            </w:r>
            <w:r>
              <w:rPr>
                <w:rFonts w:hint="eastAsia"/>
                <w:color w:val="auto"/>
                <w:kern w:val="0"/>
                <w:lang w:val="en-US" w:eastAsia="zh-CN"/>
              </w:rPr>
              <w:t>危废焚烧量为80t/a，</w:t>
            </w:r>
            <w:r>
              <w:rPr>
                <w:rFonts w:hint="eastAsia"/>
                <w:color w:val="auto"/>
                <w:kern w:val="0"/>
              </w:rPr>
              <w:t>焚烧物料中</w:t>
            </w:r>
            <w:r>
              <w:rPr>
                <w:rFonts w:hint="eastAsia"/>
                <w:color w:val="auto"/>
                <w:kern w:val="0"/>
                <w:lang w:val="en-US" w:eastAsia="zh-CN"/>
              </w:rPr>
              <w:t>HCl含量约为0.2%，则焙烧废气中HCl产生量约为0.16t/a。</w:t>
            </w:r>
          </w:p>
          <w:p w14:paraId="5226EB0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auto"/>
                <w:kern w:val="0"/>
                <w:lang w:val="en-US" w:eastAsia="zh-CN"/>
              </w:rPr>
            </w:pPr>
            <w:r>
              <w:rPr>
                <w:rFonts w:hint="eastAsia"/>
                <w:color w:val="auto"/>
                <w:kern w:val="0"/>
                <w:lang w:eastAsia="zh-CN"/>
              </w:rPr>
              <w:t>（</w:t>
            </w:r>
            <w:r>
              <w:rPr>
                <w:rFonts w:hint="eastAsia"/>
                <w:color w:val="auto"/>
                <w:kern w:val="0"/>
                <w:lang w:val="en-US" w:eastAsia="zh-CN"/>
              </w:rPr>
              <w:t>2</w:t>
            </w:r>
            <w:r>
              <w:rPr>
                <w:rFonts w:hint="eastAsia"/>
                <w:color w:val="auto"/>
                <w:kern w:val="0"/>
                <w:lang w:eastAsia="zh-CN"/>
              </w:rPr>
              <w:t>）</w:t>
            </w:r>
            <w:r>
              <w:rPr>
                <w:rFonts w:hint="eastAsia"/>
                <w:color w:val="auto"/>
                <w:kern w:val="0"/>
                <w:lang w:val="en-US" w:eastAsia="zh-CN"/>
              </w:rPr>
              <w:t>颗粒物</w:t>
            </w:r>
          </w:p>
          <w:p w14:paraId="43F400B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rPr>
            </w:pPr>
            <w:r>
              <w:rPr>
                <w:rFonts w:hint="eastAsia"/>
                <w:color w:val="auto"/>
                <w:kern w:val="0"/>
              </w:rPr>
              <w:t>焚烧废气中的烟尘是焚烧过程中产生的微小颗粒物质，主要是窑尾预热段被烟气吹起的小颗粒培砂、未充分燃烧的碳等、因高温而挥发的盐类、重金属等在烟气处理过程中冷凝或发生化学反应而产的物质。本项目</w:t>
            </w:r>
            <w:r>
              <w:rPr>
                <w:rFonts w:hint="eastAsia"/>
                <w:color w:val="auto"/>
                <w:kern w:val="0"/>
                <w:lang w:val="en-US" w:eastAsia="zh-CN"/>
              </w:rPr>
              <w:t>危废焚烧量为80t/a，</w:t>
            </w:r>
            <w:r>
              <w:rPr>
                <w:rFonts w:hint="eastAsia"/>
                <w:color w:val="auto"/>
                <w:kern w:val="0"/>
              </w:rPr>
              <w:t>焚烧物</w:t>
            </w:r>
            <w:r>
              <w:rPr>
                <w:rFonts w:hint="eastAsia"/>
                <w:color w:val="auto"/>
                <w:kern w:val="0"/>
                <w:lang w:val="en-US" w:eastAsia="zh-CN"/>
              </w:rPr>
              <w:t>烟尘产生量约为焚烧物料的8.3%，则</w:t>
            </w:r>
            <w:r>
              <w:rPr>
                <w:rFonts w:hint="eastAsia"/>
                <w:color w:val="auto"/>
                <w:kern w:val="0"/>
              </w:rPr>
              <w:t>焚烧废气烟尘产生量为</w:t>
            </w:r>
            <w:r>
              <w:rPr>
                <w:rFonts w:hint="eastAsia"/>
                <w:color w:val="auto"/>
                <w:kern w:val="0"/>
                <w:lang w:val="en-US" w:eastAsia="zh-CN"/>
              </w:rPr>
              <w:t>6.64</w:t>
            </w:r>
            <w:r>
              <w:rPr>
                <w:rFonts w:hint="eastAsia"/>
                <w:color w:val="auto"/>
                <w:kern w:val="0"/>
              </w:rPr>
              <w:t>t/a</w:t>
            </w:r>
            <w:r>
              <w:rPr>
                <w:rFonts w:hint="eastAsia"/>
                <w:color w:val="auto"/>
                <w:kern w:val="0"/>
                <w:lang w:eastAsia="zh-CN"/>
              </w:rPr>
              <w:t>；</w:t>
            </w:r>
            <w:r>
              <w:rPr>
                <w:rFonts w:hint="eastAsia"/>
                <w:color w:val="auto"/>
                <w:kern w:val="0"/>
              </w:rPr>
              <w:t>本项目柴油燃烧烟尘的产生量为</w:t>
            </w:r>
            <w:r>
              <w:rPr>
                <w:rFonts w:hint="eastAsia"/>
                <w:color w:val="auto"/>
                <w:kern w:val="0"/>
                <w:lang w:val="en-US" w:eastAsia="zh-CN"/>
              </w:rPr>
              <w:t>0.057</w:t>
            </w:r>
            <w:r>
              <w:rPr>
                <w:rFonts w:hint="eastAsia"/>
                <w:color w:val="auto"/>
                <w:kern w:val="0"/>
              </w:rPr>
              <w:t>t/a。</w:t>
            </w:r>
          </w:p>
          <w:p w14:paraId="6CE4E20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auto"/>
                <w:kern w:val="0"/>
                <w:lang w:val="en-US" w:eastAsia="zh-CN"/>
              </w:rPr>
            </w:pPr>
            <w:r>
              <w:rPr>
                <w:rFonts w:hint="eastAsia"/>
                <w:color w:val="auto"/>
                <w:kern w:val="0"/>
                <w:lang w:val="en-US" w:eastAsia="zh-CN"/>
              </w:rPr>
              <w:t>综上，本项目颗粒物产生量为6.697t/a。</w:t>
            </w:r>
          </w:p>
          <w:p w14:paraId="7F4B891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auto"/>
                <w:kern w:val="0"/>
                <w:lang w:val="en-US" w:eastAsia="zh-CN"/>
              </w:rPr>
            </w:pPr>
            <w:r>
              <w:rPr>
                <w:rFonts w:hint="eastAsia"/>
                <w:color w:val="auto"/>
                <w:kern w:val="0"/>
                <w:lang w:eastAsia="zh-CN"/>
              </w:rPr>
              <w:t>（</w:t>
            </w:r>
            <w:r>
              <w:rPr>
                <w:rFonts w:hint="eastAsia"/>
                <w:color w:val="auto"/>
                <w:kern w:val="0"/>
                <w:lang w:val="en-US" w:eastAsia="zh-CN"/>
              </w:rPr>
              <w:t>3</w:t>
            </w:r>
            <w:r>
              <w:rPr>
                <w:rFonts w:hint="eastAsia"/>
                <w:color w:val="auto"/>
                <w:kern w:val="0"/>
                <w:lang w:eastAsia="zh-CN"/>
              </w:rPr>
              <w:t>）</w:t>
            </w:r>
            <w:r>
              <w:rPr>
                <w:rFonts w:hint="eastAsia"/>
                <w:color w:val="auto"/>
                <w:kern w:val="0"/>
                <w:lang w:val="en-US" w:eastAsia="zh-CN"/>
              </w:rPr>
              <w:t>重金属</w:t>
            </w:r>
          </w:p>
          <w:p w14:paraId="4350D58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rPr>
            </w:pPr>
            <w:r>
              <w:rPr>
                <w:rFonts w:hint="eastAsia"/>
                <w:color w:val="auto"/>
                <w:kern w:val="0"/>
              </w:rPr>
              <w:t>烟气中重金属一般由固废含金属化合物的还原或其盐类热分解产生。在焙烧过程中，一些低沸点低蒸气压的重金属以气态形式附着于飞灰而随废气排出，废气中所含重金属量，与废物组成性质、重金属存在形式、焙烧炉的操作条件有密切关系。其中常见挥发性金属有汞、铅、镉、砷、锑、锌等，非挥发性金属有铝、铁、钡、钙、镁、钾、硅、钛等，挥发性金属部分吸附于烟尘排出，非挥发性金属则主要存在于焙砂中。本项目主要重金属包括铜及其化合物。类比原有项目，铜及其化合物（以Cu计）产生量为</w:t>
            </w:r>
            <w:r>
              <w:rPr>
                <w:rFonts w:hint="eastAsia"/>
                <w:color w:val="auto"/>
                <w:kern w:val="0"/>
                <w:lang w:val="en-US" w:eastAsia="zh-CN"/>
              </w:rPr>
              <w:t>0.45t/a</w:t>
            </w:r>
            <w:r>
              <w:rPr>
                <w:rFonts w:hint="eastAsia"/>
                <w:color w:val="auto"/>
                <w:kern w:val="0"/>
              </w:rPr>
              <w:t>。</w:t>
            </w:r>
          </w:p>
          <w:p w14:paraId="628137F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auto"/>
                <w:kern w:val="0"/>
                <w:lang w:val="en-US" w:eastAsia="zh-CN"/>
              </w:rPr>
            </w:pPr>
            <w:r>
              <w:rPr>
                <w:rFonts w:hint="eastAsia"/>
                <w:color w:val="auto"/>
                <w:kern w:val="0"/>
                <w:lang w:eastAsia="zh-CN"/>
              </w:rPr>
              <w:t>（</w:t>
            </w:r>
            <w:r>
              <w:rPr>
                <w:rFonts w:hint="eastAsia"/>
                <w:color w:val="auto"/>
                <w:kern w:val="0"/>
                <w:lang w:val="en-US" w:eastAsia="zh-CN"/>
              </w:rPr>
              <w:t>4</w:t>
            </w:r>
            <w:r>
              <w:rPr>
                <w:rFonts w:hint="eastAsia"/>
                <w:color w:val="auto"/>
                <w:kern w:val="0"/>
                <w:lang w:eastAsia="zh-CN"/>
              </w:rPr>
              <w:t>）</w:t>
            </w:r>
            <w:r>
              <w:rPr>
                <w:rFonts w:hint="eastAsia"/>
                <w:color w:val="auto"/>
                <w:kern w:val="0"/>
                <w:lang w:val="en-US" w:eastAsia="zh-CN"/>
              </w:rPr>
              <w:t>二噁英类物质</w:t>
            </w:r>
          </w:p>
          <w:p w14:paraId="51BC7CE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rPr>
            </w:pPr>
            <w:r>
              <w:rPr>
                <w:rFonts w:hint="eastAsia"/>
                <w:color w:val="auto"/>
                <w:kern w:val="0"/>
              </w:rPr>
              <w:t>二噁英类化合物是指那些能与芳香烃受体Ah-R结合并能导致一系列生物化学效应的一大类化合物的总称。主要包括75种多氯代二苯并-对-二噁英类</w:t>
            </w:r>
            <w:r>
              <w:rPr>
                <w:rFonts w:hint="eastAsia"/>
                <w:color w:val="auto"/>
                <w:kern w:val="0"/>
                <w:lang w:eastAsia="zh-CN"/>
              </w:rPr>
              <w:t>（</w:t>
            </w:r>
            <w:r>
              <w:rPr>
                <w:rFonts w:hint="eastAsia"/>
                <w:color w:val="auto"/>
                <w:kern w:val="0"/>
              </w:rPr>
              <w:t>PCDDs</w:t>
            </w:r>
            <w:r>
              <w:rPr>
                <w:rFonts w:hint="eastAsia"/>
                <w:color w:val="auto"/>
                <w:kern w:val="0"/>
                <w:lang w:eastAsia="zh-CN"/>
              </w:rPr>
              <w:t>）</w:t>
            </w:r>
            <w:r>
              <w:rPr>
                <w:rFonts w:hint="eastAsia"/>
                <w:color w:val="auto"/>
                <w:kern w:val="0"/>
              </w:rPr>
              <w:t>和135种多氯代二苯并呋喃</w:t>
            </w:r>
            <w:r>
              <w:rPr>
                <w:rFonts w:hint="eastAsia"/>
                <w:color w:val="auto"/>
                <w:kern w:val="0"/>
                <w:lang w:eastAsia="zh-CN"/>
              </w:rPr>
              <w:t>（</w:t>
            </w:r>
            <w:r>
              <w:rPr>
                <w:rFonts w:hint="eastAsia"/>
                <w:color w:val="auto"/>
                <w:kern w:val="0"/>
              </w:rPr>
              <w:t>PCDFs</w:t>
            </w:r>
            <w:r>
              <w:rPr>
                <w:rFonts w:hint="eastAsia"/>
                <w:color w:val="auto"/>
                <w:kern w:val="0"/>
                <w:lang w:eastAsia="zh-CN"/>
              </w:rPr>
              <w:t>）</w:t>
            </w:r>
            <w:r>
              <w:rPr>
                <w:rFonts w:hint="eastAsia"/>
                <w:color w:val="auto"/>
                <w:kern w:val="0"/>
              </w:rPr>
              <w:t>。其中，PCDDs和PCDFs统称为二噁英类。此外还包括多氯联苯</w:t>
            </w:r>
            <w:r>
              <w:rPr>
                <w:rFonts w:hint="eastAsia"/>
                <w:color w:val="auto"/>
                <w:kern w:val="0"/>
                <w:lang w:eastAsia="zh-CN"/>
              </w:rPr>
              <w:t>（</w:t>
            </w:r>
            <w:r>
              <w:rPr>
                <w:rFonts w:hint="eastAsia"/>
                <w:color w:val="auto"/>
                <w:kern w:val="0"/>
              </w:rPr>
              <w:t>PCBs</w:t>
            </w:r>
            <w:r>
              <w:rPr>
                <w:rFonts w:hint="eastAsia"/>
                <w:color w:val="auto"/>
                <w:kern w:val="0"/>
                <w:lang w:eastAsia="zh-CN"/>
              </w:rPr>
              <w:t>）</w:t>
            </w:r>
            <w:r>
              <w:rPr>
                <w:rFonts w:hint="eastAsia"/>
                <w:color w:val="auto"/>
                <w:kern w:val="0"/>
              </w:rPr>
              <w:t>和氯代二苯醚等。目前已知所有二噁英类化合物中，毒性最为明显的是7种PCDDs、10种PCDFs和12种PCBs，其中以2，3，7，8-TCDD的毒性最大。</w:t>
            </w:r>
          </w:p>
          <w:p w14:paraId="3FB67E1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rPr>
            </w:pPr>
            <w:r>
              <w:rPr>
                <w:rFonts w:hint="eastAsia"/>
                <w:color w:val="auto"/>
                <w:kern w:val="0"/>
              </w:rPr>
              <w:t>在焚烧过程中二噁英类及呋喃类物质产生主要来自三方面：废物本身成份、炉内形成、炉外低温再合成。废物本身成份含有氯离子，在焚烧的过程中产生二噁英类物质。</w:t>
            </w:r>
          </w:p>
          <w:p w14:paraId="0B61463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0"/>
              </w:rPr>
            </w:pPr>
            <w:r>
              <w:rPr>
                <w:rFonts w:hint="eastAsia"/>
                <w:color w:val="auto"/>
                <w:kern w:val="0"/>
              </w:rPr>
              <w:t>炉内形成：废物化学成分中C、H、O、N、S、Cl等元素，在焚烧过程中可能先形成部分不完全燃烧的碳氢化</w:t>
            </w:r>
            <w:r>
              <w:rPr>
                <w:rFonts w:hint="default" w:ascii="Times New Roman" w:hAnsi="Times New Roman" w:cs="Times New Roman"/>
                <w:color w:val="auto"/>
                <w:kern w:val="0"/>
              </w:rPr>
              <w:t>合物</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CxHy</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，当CxHy因炉内燃烧状况不良（如氧气不足，缺乏充分混合及炉温太低等因素）而未及时分解为CO</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和H</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O时，可能与废物中的氯化物结合形成二噁英类，氯苯及氯酚等物质。其中氯苯及氯酚的破坏分解温度高出约100</w:t>
            </w:r>
            <w:r>
              <w:rPr>
                <w:rFonts w:hint="default" w:ascii="Times New Roman" w:hAnsi="Times New Roman" w:cs="Times New Roman"/>
                <w:color w:val="auto"/>
                <w:kern w:val="0"/>
                <w:lang w:val="en-US" w:eastAsia="zh-CN"/>
              </w:rPr>
              <w:t>℃</w:t>
            </w:r>
            <w:r>
              <w:rPr>
                <w:rFonts w:hint="default" w:ascii="Times New Roman" w:hAnsi="Times New Roman" w:cs="Times New Roman"/>
                <w:color w:val="auto"/>
                <w:kern w:val="0"/>
              </w:rPr>
              <w:t>左右，如炉内燃烧状况不良，尤其在二次燃烧段内混合程度不够或停留时间太短，更不易将其除去，因此可能成为炉外低温合成二噁英类的前驱物质。</w:t>
            </w:r>
          </w:p>
          <w:p w14:paraId="7835095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0"/>
              </w:rPr>
            </w:pPr>
            <w:r>
              <w:rPr>
                <w:rFonts w:hint="default" w:ascii="Times New Roman" w:hAnsi="Times New Roman" w:cs="Times New Roman"/>
                <w:color w:val="auto"/>
                <w:kern w:val="0"/>
              </w:rPr>
              <w:t>炉外低温再合成：由于完全燃烧并不容易达成，氯苯及氯酚等前驱物质随废气自燃烧室排出后，可能被废气中的碳元素所吸附，并在特定的温度范围</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250-400℃，300℃时最显著</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，在灰份颗粒所构成的</w:t>
            </w:r>
            <w:r>
              <w:rPr>
                <w:rFonts w:hint="default" w:ascii="Times New Roman" w:hAnsi="Times New Roman" w:cs="Times New Roman"/>
                <w:color w:val="auto"/>
                <w:kern w:val="0"/>
                <w:lang w:val="en-US" w:eastAsia="zh-CN"/>
              </w:rPr>
              <w:t>活</w:t>
            </w:r>
            <w:r>
              <w:rPr>
                <w:rFonts w:hint="default" w:ascii="Times New Roman" w:hAnsi="Times New Roman" w:cs="Times New Roman"/>
                <w:color w:val="auto"/>
                <w:kern w:val="0"/>
              </w:rPr>
              <w:t>性接触面上，被金属氯化物催化反应生成二噁英类。此种再合成反应的发生，除了需具备前述的特定温度范围内由飞灰所提供的碳元素（飞灰中碳的气化率越高，二噁英类的生成量越大）、催化物质、活性接触面及前驱物质外，废气中充分的氧含量、重金属、水份含量也是再合成的重要角色。</w:t>
            </w:r>
          </w:p>
          <w:p w14:paraId="3CEF40E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rPr>
            </w:pPr>
            <w:r>
              <w:rPr>
                <w:rFonts w:hint="default" w:ascii="Times New Roman" w:hAnsi="Times New Roman" w:cs="Times New Roman"/>
                <w:color w:val="auto"/>
                <w:kern w:val="0"/>
              </w:rPr>
              <w:t>类比企业原有项</w:t>
            </w:r>
            <w:r>
              <w:rPr>
                <w:rFonts w:hint="eastAsia"/>
                <w:color w:val="auto"/>
                <w:kern w:val="0"/>
              </w:rPr>
              <w:t>目，二噁英类产生浓度为</w:t>
            </w:r>
            <w:r>
              <w:rPr>
                <w:rFonts w:hint="eastAsia"/>
                <w:color w:val="auto"/>
                <w:kern w:val="0"/>
                <w:lang w:val="en-US" w:eastAsia="zh-CN"/>
              </w:rPr>
              <w:t>0.</w:t>
            </w:r>
            <w:r>
              <w:rPr>
                <w:rFonts w:hint="eastAsia"/>
                <w:color w:val="auto"/>
                <w:kern w:val="0"/>
              </w:rPr>
              <w:t>5ngTEQ/m</w:t>
            </w:r>
            <w:r>
              <w:rPr>
                <w:rFonts w:hint="eastAsia"/>
                <w:color w:val="auto"/>
                <w:kern w:val="0"/>
                <w:vertAlign w:val="superscript"/>
              </w:rPr>
              <w:t>3</w:t>
            </w:r>
            <w:r>
              <w:rPr>
                <w:rFonts w:hint="eastAsia"/>
                <w:color w:val="auto"/>
                <w:kern w:val="0"/>
                <w:vertAlign w:val="baseline"/>
                <w:lang w:eastAsia="zh-CN"/>
              </w:rPr>
              <w:t>，</w:t>
            </w:r>
            <w:r>
              <w:rPr>
                <w:rFonts w:hint="eastAsia"/>
                <w:color w:val="auto"/>
                <w:kern w:val="0"/>
                <w:vertAlign w:val="baseline"/>
                <w:lang w:val="en-US" w:eastAsia="zh-CN"/>
              </w:rPr>
              <w:t>则本项目二噁英排放浓度为0.025</w:t>
            </w:r>
            <w:r>
              <w:rPr>
                <w:rFonts w:hint="eastAsia"/>
                <w:color w:val="auto"/>
                <w:kern w:val="0"/>
              </w:rPr>
              <w:t>ngTEQ/m</w:t>
            </w:r>
            <w:r>
              <w:rPr>
                <w:rFonts w:hint="eastAsia"/>
                <w:color w:val="auto"/>
                <w:kern w:val="0"/>
                <w:vertAlign w:val="superscript"/>
              </w:rPr>
              <w:t>3</w:t>
            </w:r>
            <w:r>
              <w:rPr>
                <w:rFonts w:hint="eastAsia"/>
                <w:color w:val="auto"/>
                <w:kern w:val="0"/>
                <w:vertAlign w:val="baseline"/>
                <w:lang w:eastAsia="zh-CN"/>
              </w:rPr>
              <w:t>，</w:t>
            </w:r>
            <w:r>
              <w:rPr>
                <w:rFonts w:hint="eastAsia"/>
                <w:color w:val="auto"/>
                <w:kern w:val="0"/>
                <w:vertAlign w:val="baseline"/>
                <w:lang w:val="en-US" w:eastAsia="zh-CN"/>
              </w:rPr>
              <w:t>则本项目二噁英排放量为0.65</w:t>
            </w:r>
            <w:r>
              <w:rPr>
                <w:rFonts w:hint="eastAsia"/>
                <w:b w:val="0"/>
                <w:bCs w:val="0"/>
                <w:color w:val="auto"/>
                <w:kern w:val="0"/>
                <w:lang w:val="en-US" w:eastAsia="zh-CN"/>
              </w:rPr>
              <w:t>ngTEQ/a</w:t>
            </w:r>
            <w:r>
              <w:rPr>
                <w:rFonts w:hint="eastAsia"/>
                <w:b/>
                <w:bCs/>
                <w:color w:val="auto"/>
                <w:kern w:val="0"/>
                <w:vertAlign w:val="baseline"/>
                <w:lang w:eastAsia="zh-CN"/>
              </w:rPr>
              <w:t>（</w:t>
            </w:r>
            <w:r>
              <w:rPr>
                <w:rFonts w:hint="eastAsia"/>
                <w:b/>
                <w:bCs/>
                <w:color w:val="auto"/>
                <w:kern w:val="0"/>
                <w:vertAlign w:val="baseline"/>
                <w:lang w:val="en-US" w:eastAsia="zh-CN"/>
              </w:rPr>
              <w:t>二噁英属于有毒有害气体，企业此前二噁英环评批复量为</w:t>
            </w:r>
            <w:r>
              <w:rPr>
                <w:rFonts w:hint="eastAsia"/>
                <w:b/>
                <w:bCs/>
                <w:color w:val="auto"/>
                <w:kern w:val="0"/>
                <w:lang w:val="en-US" w:eastAsia="zh-CN"/>
              </w:rPr>
              <w:t>6.5ngTEQ/a</w:t>
            </w:r>
            <w:r>
              <w:rPr>
                <w:rFonts w:hint="eastAsia"/>
                <w:b/>
                <w:bCs/>
                <w:color w:val="auto"/>
                <w:kern w:val="0"/>
                <w:vertAlign w:val="baseline"/>
                <w:lang w:val="en-US" w:eastAsia="zh-CN"/>
              </w:rPr>
              <w:t>，根据现有项目污染物实际排放量可知，现有二噁英实际排放量为2.6</w:t>
            </w:r>
            <w:r>
              <w:rPr>
                <w:rFonts w:hint="eastAsia"/>
                <w:b/>
                <w:bCs/>
                <w:color w:val="auto"/>
                <w:kern w:val="0"/>
                <w:lang w:val="en-US" w:eastAsia="zh-CN"/>
              </w:rPr>
              <w:t>ngTEQ/a</w:t>
            </w:r>
            <w:r>
              <w:rPr>
                <w:rFonts w:hint="eastAsia"/>
                <w:b/>
                <w:bCs/>
                <w:color w:val="auto"/>
                <w:kern w:val="0"/>
                <w:vertAlign w:val="baseline"/>
                <w:lang w:val="en-US" w:eastAsia="zh-CN"/>
              </w:rPr>
              <w:t>，本项目危废焚烧量二噁英产生量为</w:t>
            </w:r>
            <w:r>
              <w:rPr>
                <w:rFonts w:hint="eastAsia"/>
                <w:b/>
                <w:bCs/>
                <w:color w:val="auto"/>
                <w:sz w:val="21"/>
                <w:szCs w:val="21"/>
                <w:lang w:val="en-US" w:eastAsia="zh-CN"/>
              </w:rPr>
              <w:t>0.65</w:t>
            </w:r>
            <w:r>
              <w:rPr>
                <w:rFonts w:hint="eastAsia"/>
                <w:b/>
                <w:bCs/>
                <w:color w:val="auto"/>
                <w:kern w:val="0"/>
                <w:sz w:val="21"/>
                <w:szCs w:val="21"/>
              </w:rPr>
              <w:t>ngTEQ</w:t>
            </w:r>
            <w:r>
              <w:rPr>
                <w:rFonts w:hint="eastAsia"/>
                <w:b/>
                <w:bCs/>
                <w:color w:val="auto"/>
                <w:kern w:val="0"/>
                <w:vertAlign w:val="baseline"/>
                <w:lang w:val="en-US" w:eastAsia="zh-CN"/>
              </w:rPr>
              <w:t>/a，共计</w:t>
            </w:r>
            <w:r>
              <w:rPr>
                <w:rFonts w:hint="eastAsia"/>
                <w:b/>
                <w:bCs/>
                <w:color w:val="auto"/>
                <w:sz w:val="21"/>
                <w:szCs w:val="21"/>
                <w:lang w:val="en-US" w:eastAsia="zh-CN"/>
              </w:rPr>
              <w:t>3.25</w:t>
            </w:r>
            <w:r>
              <w:rPr>
                <w:rFonts w:hint="eastAsia"/>
                <w:b/>
                <w:bCs/>
                <w:color w:val="auto"/>
                <w:kern w:val="0"/>
                <w:sz w:val="21"/>
                <w:szCs w:val="21"/>
              </w:rPr>
              <w:t>ngTEQ</w:t>
            </w:r>
            <w:r>
              <w:rPr>
                <w:rFonts w:hint="eastAsia"/>
                <w:b/>
                <w:bCs/>
                <w:color w:val="auto"/>
                <w:kern w:val="0"/>
                <w:vertAlign w:val="baseline"/>
                <w:lang w:val="en-US" w:eastAsia="zh-CN"/>
              </w:rPr>
              <w:t>/a，未超出焚烧批复量，未新增有毒有害气体排放，因此无需编制大气专项</w:t>
            </w:r>
            <w:r>
              <w:rPr>
                <w:rFonts w:hint="eastAsia"/>
                <w:b/>
                <w:bCs/>
                <w:color w:val="auto"/>
                <w:kern w:val="0"/>
                <w:vertAlign w:val="baseline"/>
                <w:lang w:eastAsia="zh-CN"/>
              </w:rPr>
              <w:t>）</w:t>
            </w:r>
            <w:r>
              <w:rPr>
                <w:rFonts w:hint="eastAsia"/>
                <w:b/>
                <w:bCs/>
                <w:color w:val="auto"/>
                <w:kern w:val="0"/>
              </w:rPr>
              <w:t>。</w:t>
            </w:r>
          </w:p>
          <w:p w14:paraId="2EA23FBC">
            <w:pPr>
              <w:adjustRightInd w:val="0"/>
              <w:snapToGrid w:val="0"/>
              <w:spacing w:line="360" w:lineRule="auto"/>
              <w:ind w:firstLine="420" w:firstLineChars="200"/>
              <w:rPr>
                <w:rFonts w:hint="default" w:eastAsia="宋体"/>
                <w:color w:val="auto"/>
                <w:kern w:val="0"/>
                <w:lang w:val="en-US" w:eastAsia="zh-CN"/>
              </w:rPr>
            </w:pPr>
            <w:r>
              <w:rPr>
                <w:rFonts w:hint="eastAsia"/>
                <w:color w:val="auto"/>
                <w:kern w:val="0"/>
                <w:lang w:eastAsia="zh-CN"/>
              </w:rPr>
              <w:t>（</w:t>
            </w:r>
            <w:r>
              <w:rPr>
                <w:rFonts w:hint="eastAsia"/>
                <w:color w:val="auto"/>
                <w:kern w:val="0"/>
                <w:lang w:val="en-US" w:eastAsia="zh-CN"/>
              </w:rPr>
              <w:t>5</w:t>
            </w:r>
            <w:r>
              <w:rPr>
                <w:rFonts w:hint="eastAsia"/>
                <w:color w:val="auto"/>
                <w:kern w:val="0"/>
                <w:lang w:eastAsia="zh-CN"/>
              </w:rPr>
              <w:t>）</w:t>
            </w:r>
            <w:r>
              <w:rPr>
                <w:rFonts w:hint="eastAsia"/>
                <w:color w:val="auto"/>
                <w:kern w:val="0"/>
                <w:lang w:val="en-US" w:eastAsia="zh-CN"/>
              </w:rPr>
              <w:t>氨</w:t>
            </w:r>
          </w:p>
          <w:p w14:paraId="58CBD233">
            <w:pPr>
              <w:adjustRightInd w:val="0"/>
              <w:snapToGrid w:val="0"/>
              <w:spacing w:line="360" w:lineRule="auto"/>
              <w:ind w:firstLine="420" w:firstLineChars="200"/>
              <w:rPr>
                <w:rFonts w:hint="default" w:eastAsia="宋体"/>
                <w:color w:val="auto"/>
                <w:kern w:val="0"/>
                <w:lang w:val="en-US" w:eastAsia="zh-CN"/>
              </w:rPr>
            </w:pPr>
            <w:r>
              <w:rPr>
                <w:rFonts w:hint="eastAsia"/>
                <w:color w:val="auto"/>
                <w:kern w:val="0"/>
              </w:rPr>
              <w:t>根据《火电厂烟气脱硝工程技术规范选择性非催化还原法》（HJ563-2010），脱硝系统氨逃逸质量浓度应控制在8mg/m</w:t>
            </w:r>
            <w:r>
              <w:rPr>
                <w:rFonts w:hint="eastAsia"/>
                <w:color w:val="auto"/>
                <w:kern w:val="0"/>
                <w:vertAlign w:val="superscript"/>
              </w:rPr>
              <w:t>3</w:t>
            </w:r>
            <w:r>
              <w:rPr>
                <w:rFonts w:hint="eastAsia"/>
                <w:color w:val="auto"/>
                <w:kern w:val="0"/>
              </w:rPr>
              <w:t>以下，本次评价以8mg/m</w:t>
            </w:r>
            <w:r>
              <w:rPr>
                <w:rFonts w:hint="eastAsia"/>
                <w:color w:val="auto"/>
                <w:kern w:val="0"/>
                <w:vertAlign w:val="superscript"/>
              </w:rPr>
              <w:t>3</w:t>
            </w:r>
            <w:r>
              <w:rPr>
                <w:rFonts w:hint="eastAsia"/>
                <w:color w:val="auto"/>
                <w:kern w:val="0"/>
              </w:rPr>
              <w:t>计，未反应的氨主要与烟气中的HCl、SO</w:t>
            </w:r>
            <w:r>
              <w:rPr>
                <w:rFonts w:hint="eastAsia"/>
                <w:color w:val="auto"/>
                <w:kern w:val="0"/>
                <w:vertAlign w:val="subscript"/>
              </w:rPr>
              <w:t>2</w:t>
            </w:r>
            <w:r>
              <w:rPr>
                <w:rFonts w:hint="eastAsia"/>
                <w:color w:val="auto"/>
                <w:kern w:val="0"/>
              </w:rPr>
              <w:t>及飞灰发生固化反应形成铵盐，经过袋式除尘器后可收集形成的大部分铵盐固化物，再经湿法脱酸后，保守考虑综合氨吸收在90%以上，因此最终通过烟囱排放的氨浓度在0.8mg/m</w:t>
            </w:r>
            <w:r>
              <w:rPr>
                <w:rFonts w:hint="eastAsia"/>
                <w:color w:val="auto"/>
                <w:kern w:val="0"/>
                <w:vertAlign w:val="superscript"/>
              </w:rPr>
              <w:t>3</w:t>
            </w:r>
            <w:r>
              <w:rPr>
                <w:rFonts w:hint="eastAsia"/>
                <w:color w:val="auto"/>
                <w:kern w:val="0"/>
              </w:rPr>
              <w:t>以下。</w:t>
            </w:r>
            <w:r>
              <w:rPr>
                <w:rFonts w:hint="default" w:ascii="Times New Roman" w:hAnsi="Times New Roman" w:cs="Times New Roman"/>
                <w:color w:val="auto"/>
                <w:kern w:val="0"/>
              </w:rPr>
              <w:t>类比企业原有项</w:t>
            </w:r>
            <w:r>
              <w:rPr>
                <w:rFonts w:hint="eastAsia"/>
                <w:color w:val="auto"/>
                <w:kern w:val="0"/>
              </w:rPr>
              <w:t>目，</w:t>
            </w:r>
            <w:r>
              <w:rPr>
                <w:rFonts w:hint="eastAsia"/>
                <w:color w:val="auto"/>
                <w:kern w:val="0"/>
                <w:lang w:val="en-US" w:eastAsia="zh-CN"/>
              </w:rPr>
              <w:t>氨产生量为0.0212t/a。</w:t>
            </w:r>
          </w:p>
          <w:p w14:paraId="7980AB58">
            <w:pPr>
              <w:adjustRightInd w:val="0"/>
              <w:snapToGrid w:val="0"/>
              <w:spacing w:line="360" w:lineRule="auto"/>
              <w:ind w:firstLine="420" w:firstLineChars="200"/>
              <w:rPr>
                <w:rFonts w:hint="default" w:eastAsia="宋体"/>
                <w:color w:val="auto"/>
                <w:kern w:val="0"/>
                <w:lang w:val="en-US" w:eastAsia="zh-CN"/>
              </w:rPr>
            </w:pPr>
            <w:r>
              <w:rPr>
                <w:rFonts w:hint="eastAsia"/>
                <w:color w:val="auto"/>
                <w:kern w:val="0"/>
                <w:lang w:eastAsia="zh-CN"/>
              </w:rPr>
              <w:t>（</w:t>
            </w:r>
            <w:r>
              <w:rPr>
                <w:rFonts w:hint="eastAsia"/>
                <w:color w:val="auto"/>
                <w:kern w:val="0"/>
                <w:lang w:val="en-US" w:eastAsia="zh-CN"/>
              </w:rPr>
              <w:t>6</w:t>
            </w:r>
            <w:r>
              <w:rPr>
                <w:rFonts w:hint="eastAsia"/>
                <w:color w:val="auto"/>
                <w:kern w:val="0"/>
                <w:lang w:eastAsia="zh-CN"/>
              </w:rPr>
              <w:t>）</w:t>
            </w:r>
            <w:r>
              <w:rPr>
                <w:rFonts w:hint="eastAsia"/>
                <w:color w:val="auto"/>
                <w:kern w:val="0"/>
                <w:lang w:val="en-US" w:eastAsia="zh-CN"/>
              </w:rPr>
              <w:t>非甲烷总烃</w:t>
            </w:r>
          </w:p>
          <w:p w14:paraId="11998996">
            <w:pPr>
              <w:adjustRightInd w:val="0"/>
              <w:snapToGrid w:val="0"/>
              <w:spacing w:line="360" w:lineRule="auto"/>
              <w:ind w:firstLine="420" w:firstLineChars="200"/>
              <w:rPr>
                <w:rFonts w:hint="default" w:ascii="Times New Roman" w:hAnsi="Times New Roman" w:cs="Times New Roman"/>
                <w:color w:val="auto"/>
                <w:kern w:val="0"/>
              </w:rPr>
            </w:pPr>
            <w:r>
              <w:rPr>
                <w:rFonts w:hint="default" w:ascii="Times New Roman" w:hAnsi="Times New Roman" w:cs="Times New Roman"/>
                <w:color w:val="auto"/>
                <w:kern w:val="0"/>
              </w:rPr>
              <w:t>本项目焚烧的危废中塑料尼龙约为</w:t>
            </w:r>
            <w:r>
              <w:rPr>
                <w:rFonts w:hint="default" w:ascii="Times New Roman" w:hAnsi="Times New Roman" w:cs="Times New Roman"/>
                <w:color w:val="auto"/>
                <w:kern w:val="0"/>
                <w:lang w:val="en-US" w:eastAsia="zh-CN"/>
              </w:rPr>
              <w:t>17</w:t>
            </w:r>
            <w:r>
              <w:rPr>
                <w:rFonts w:hint="default" w:ascii="Times New Roman" w:hAnsi="Times New Roman" w:cs="Times New Roman"/>
                <w:color w:val="auto"/>
                <w:kern w:val="0"/>
              </w:rPr>
              <w:t>t/a，大部分有机物在二燃室燃烧（温度</w:t>
            </w:r>
            <w:r>
              <w:rPr>
                <w:rFonts w:hint="default" w:ascii="Times New Roman" w:hAnsi="Times New Roman" w:cs="Times New Roman"/>
                <w:color w:val="auto"/>
                <w:kern w:val="0"/>
                <w:lang w:val="en-US" w:eastAsia="zh-CN"/>
              </w:rPr>
              <w:t>＜</w:t>
            </w:r>
            <w:r>
              <w:rPr>
                <w:rFonts w:hint="default" w:ascii="Times New Roman" w:hAnsi="Times New Roman" w:cs="Times New Roman"/>
                <w:color w:val="auto"/>
                <w:kern w:val="0"/>
              </w:rPr>
              <w:t>1400℃）过程中，分解为CO</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、H</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O、HCl、NO</w:t>
            </w:r>
            <w:r>
              <w:rPr>
                <w:rFonts w:hint="default" w:ascii="Times New Roman" w:hAnsi="Times New Roman" w:cs="Times New Roman"/>
                <w:color w:val="auto"/>
                <w:kern w:val="0"/>
                <w:lang w:val="en-US" w:eastAsia="zh-CN"/>
              </w:rPr>
              <w:t>x</w:t>
            </w:r>
            <w:r>
              <w:rPr>
                <w:rFonts w:hint="default" w:ascii="Times New Roman" w:hAnsi="Times New Roman" w:cs="Times New Roman"/>
                <w:color w:val="auto"/>
                <w:kern w:val="0"/>
              </w:rPr>
              <w:t>等气体，</w:t>
            </w:r>
            <w:r>
              <w:rPr>
                <w:rFonts w:hint="eastAsia" w:ascii="Times New Roman" w:hAnsi="Times New Roman" w:cs="Times New Roman"/>
                <w:color w:val="auto"/>
                <w:kern w:val="0"/>
                <w:lang w:val="en-US" w:eastAsia="zh-CN"/>
              </w:rPr>
              <w:t>产生少部分</w:t>
            </w:r>
            <w:r>
              <w:rPr>
                <w:rFonts w:hint="default" w:ascii="Times New Roman" w:hAnsi="Times New Roman" w:cs="Times New Roman"/>
                <w:color w:val="auto"/>
                <w:kern w:val="0"/>
              </w:rPr>
              <w:t>非甲烷总烃</w:t>
            </w:r>
            <w:r>
              <w:rPr>
                <w:rFonts w:hint="eastAsia" w:ascii="Times New Roman" w:hAnsi="Times New Roman" w:cs="Times New Roman"/>
                <w:color w:val="auto"/>
                <w:kern w:val="0"/>
                <w:lang w:eastAsia="zh-CN"/>
              </w:rPr>
              <w:t>，</w:t>
            </w:r>
            <w:r>
              <w:rPr>
                <w:rFonts w:hint="default" w:ascii="Times New Roman" w:hAnsi="Times New Roman" w:cs="Times New Roman"/>
                <w:color w:val="auto"/>
                <w:kern w:val="0"/>
              </w:rPr>
              <w:t>产生量</w:t>
            </w:r>
            <w:r>
              <w:rPr>
                <w:rFonts w:hint="eastAsia" w:ascii="Times New Roman" w:hAnsi="Times New Roman" w:cs="Times New Roman"/>
                <w:color w:val="auto"/>
                <w:kern w:val="0"/>
                <w:lang w:val="en-US" w:eastAsia="zh-CN"/>
              </w:rPr>
              <w:t>约</w:t>
            </w:r>
            <w:r>
              <w:rPr>
                <w:rFonts w:hint="default" w:ascii="Times New Roman" w:hAnsi="Times New Roman" w:cs="Times New Roman"/>
                <w:color w:val="auto"/>
                <w:kern w:val="0"/>
              </w:rPr>
              <w:t>为0.00</w:t>
            </w:r>
            <w:r>
              <w:rPr>
                <w:rFonts w:hint="default" w:ascii="Times New Roman" w:hAnsi="Times New Roman" w:cs="Times New Roman"/>
                <w:color w:val="auto"/>
                <w:kern w:val="0"/>
                <w:lang w:val="en-US" w:eastAsia="zh-CN"/>
              </w:rPr>
              <w:t>17</w:t>
            </w:r>
            <w:r>
              <w:rPr>
                <w:rFonts w:hint="default" w:ascii="Times New Roman" w:hAnsi="Times New Roman" w:cs="Times New Roman"/>
                <w:color w:val="auto"/>
                <w:kern w:val="0"/>
              </w:rPr>
              <w:t>t/a。</w:t>
            </w:r>
          </w:p>
          <w:p w14:paraId="3A84FD48">
            <w:pPr>
              <w:pStyle w:val="2"/>
              <w:adjustRightInd w:val="0"/>
              <w:snapToGrid w:val="0"/>
              <w:spacing w:before="0" w:after="0" w:line="360" w:lineRule="auto"/>
              <w:ind w:firstLine="422" w:firstLineChars="200"/>
              <w:rPr>
                <w:color w:val="auto"/>
                <w:kern w:val="0"/>
                <w:sz w:val="21"/>
                <w:szCs w:val="21"/>
              </w:rPr>
            </w:pPr>
            <w:r>
              <w:rPr>
                <w:rFonts w:hint="eastAsia"/>
                <w:color w:val="auto"/>
                <w:kern w:val="0"/>
                <w:sz w:val="21"/>
                <w:szCs w:val="21"/>
              </w:rPr>
              <w:t>（2）非正常排放</w:t>
            </w:r>
          </w:p>
          <w:p w14:paraId="3A84FD49">
            <w:pPr>
              <w:adjustRightInd w:val="0"/>
              <w:snapToGrid w:val="0"/>
              <w:spacing w:line="360" w:lineRule="auto"/>
              <w:ind w:firstLine="420" w:firstLineChars="200"/>
              <w:rPr>
                <w:color w:val="auto"/>
                <w:kern w:val="0"/>
              </w:rPr>
            </w:pPr>
            <w:r>
              <w:rPr>
                <w:rFonts w:hint="eastAsia"/>
                <w:color w:val="auto"/>
                <w:kern w:val="0"/>
              </w:rPr>
              <w:t>非正常排放一般包括开停车、检修、环保设施不达标三种情况。设备检修以及突发性故障（如区域性停电时的停车），企业会事先调整生产计划。因此，本项目非正常工况考虑废气环保设施运行不正常的情况，本报告按最不利的情况考虑，</w:t>
            </w:r>
            <w:r>
              <w:rPr>
                <w:bCs/>
                <w:color w:val="auto"/>
                <w:kern w:val="0"/>
              </w:rPr>
              <w:t>即风机故障，</w:t>
            </w:r>
            <w:r>
              <w:rPr>
                <w:rFonts w:hint="eastAsia"/>
                <w:bCs/>
                <w:color w:val="auto"/>
                <w:kern w:val="0"/>
              </w:rPr>
              <w:t>废气全部无组织排放</w:t>
            </w:r>
            <w:r>
              <w:rPr>
                <w:rFonts w:hint="eastAsia"/>
                <w:color w:val="auto"/>
                <w:kern w:val="0"/>
              </w:rPr>
              <w:t>，见下表。</w:t>
            </w:r>
          </w:p>
          <w:p w14:paraId="3A84FD4A">
            <w:pPr>
              <w:adjustRightInd w:val="0"/>
              <w:snapToGrid w:val="0"/>
              <w:jc w:val="center"/>
              <w:rPr>
                <w:b/>
                <w:bCs/>
                <w:color w:val="auto"/>
                <w:kern w:val="0"/>
              </w:rPr>
            </w:pPr>
            <w:r>
              <w:rPr>
                <w:rFonts w:hint="eastAsia"/>
                <w:b/>
                <w:bCs/>
                <w:color w:val="auto"/>
                <w:kern w:val="0"/>
              </w:rPr>
              <w:t>表4-</w:t>
            </w:r>
            <w:r>
              <w:rPr>
                <w:rFonts w:hint="eastAsia"/>
                <w:b/>
                <w:bCs/>
                <w:color w:val="auto"/>
                <w:kern w:val="0"/>
                <w:lang w:val="en-US" w:eastAsia="zh-CN"/>
              </w:rPr>
              <w:t>2</w:t>
            </w:r>
            <w:r>
              <w:rPr>
                <w:rFonts w:hint="eastAsia"/>
                <w:b/>
                <w:bCs/>
                <w:color w:val="auto"/>
                <w:kern w:val="0"/>
              </w:rPr>
              <w:t xml:space="preserve">   非正常工况排气筒排放情况</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305"/>
              <w:gridCol w:w="1395"/>
              <w:gridCol w:w="1516"/>
              <w:gridCol w:w="1458"/>
              <w:gridCol w:w="1353"/>
              <w:gridCol w:w="1169"/>
              <w:gridCol w:w="1393"/>
            </w:tblGrid>
            <w:tr w14:paraId="3A84FD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tcBorders>
                    <w:tl2br w:val="nil"/>
                    <w:tr2bl w:val="nil"/>
                  </w:tcBorders>
                  <w:vAlign w:val="center"/>
                </w:tcPr>
                <w:p w14:paraId="3A84FD4B">
                  <w:pPr>
                    <w:adjustRightInd w:val="0"/>
                    <w:snapToGrid w:val="0"/>
                    <w:jc w:val="center"/>
                    <w:rPr>
                      <w:b/>
                      <w:bCs/>
                      <w:color w:val="auto"/>
                      <w:kern w:val="0"/>
                    </w:rPr>
                  </w:pPr>
                  <w:r>
                    <w:rPr>
                      <w:rFonts w:hint="eastAsia"/>
                      <w:b/>
                      <w:bCs/>
                      <w:color w:val="auto"/>
                      <w:kern w:val="0"/>
                    </w:rPr>
                    <w:t>排放源</w:t>
                  </w:r>
                </w:p>
              </w:tc>
              <w:tc>
                <w:tcPr>
                  <w:tcW w:w="727" w:type="pct"/>
                  <w:tcBorders>
                    <w:tl2br w:val="nil"/>
                    <w:tr2bl w:val="nil"/>
                  </w:tcBorders>
                  <w:vAlign w:val="center"/>
                </w:tcPr>
                <w:p w14:paraId="3A84FD4C">
                  <w:pPr>
                    <w:adjustRightInd w:val="0"/>
                    <w:snapToGrid w:val="0"/>
                    <w:jc w:val="center"/>
                    <w:rPr>
                      <w:b/>
                      <w:bCs/>
                      <w:color w:val="auto"/>
                      <w:kern w:val="0"/>
                    </w:rPr>
                  </w:pPr>
                  <w:r>
                    <w:rPr>
                      <w:rFonts w:hint="eastAsia"/>
                      <w:b/>
                      <w:bCs/>
                      <w:color w:val="auto"/>
                      <w:kern w:val="0"/>
                    </w:rPr>
                    <w:t>非正常排放原因</w:t>
                  </w:r>
                </w:p>
              </w:tc>
              <w:tc>
                <w:tcPr>
                  <w:tcW w:w="790" w:type="pct"/>
                  <w:tcBorders>
                    <w:tl2br w:val="nil"/>
                    <w:tr2bl w:val="nil"/>
                  </w:tcBorders>
                  <w:vAlign w:val="center"/>
                </w:tcPr>
                <w:p w14:paraId="3A84FD4D">
                  <w:pPr>
                    <w:adjustRightInd w:val="0"/>
                    <w:snapToGrid w:val="0"/>
                    <w:jc w:val="center"/>
                    <w:rPr>
                      <w:b/>
                      <w:bCs/>
                      <w:color w:val="auto"/>
                      <w:kern w:val="0"/>
                    </w:rPr>
                  </w:pPr>
                  <w:r>
                    <w:rPr>
                      <w:rFonts w:hint="eastAsia"/>
                      <w:b/>
                      <w:bCs/>
                      <w:color w:val="auto"/>
                      <w:kern w:val="0"/>
                    </w:rPr>
                    <w:t>污染物</w:t>
                  </w:r>
                </w:p>
              </w:tc>
              <w:tc>
                <w:tcPr>
                  <w:tcW w:w="760" w:type="pct"/>
                  <w:tcBorders>
                    <w:tl2br w:val="nil"/>
                    <w:tr2bl w:val="nil"/>
                  </w:tcBorders>
                  <w:vAlign w:val="center"/>
                </w:tcPr>
                <w:p w14:paraId="3A84FD4E">
                  <w:pPr>
                    <w:adjustRightInd w:val="0"/>
                    <w:snapToGrid w:val="0"/>
                    <w:jc w:val="center"/>
                    <w:rPr>
                      <w:b/>
                      <w:bCs/>
                      <w:color w:val="auto"/>
                      <w:kern w:val="0"/>
                    </w:rPr>
                  </w:pPr>
                  <w:r>
                    <w:rPr>
                      <w:rFonts w:hint="eastAsia"/>
                      <w:b/>
                      <w:bCs/>
                      <w:color w:val="auto"/>
                      <w:kern w:val="0"/>
                    </w:rPr>
                    <w:t>非正常排放速率kg/h</w:t>
                  </w:r>
                </w:p>
              </w:tc>
              <w:tc>
                <w:tcPr>
                  <w:tcW w:w="705" w:type="pct"/>
                  <w:tcBorders>
                    <w:tl2br w:val="nil"/>
                    <w:tr2bl w:val="nil"/>
                  </w:tcBorders>
                  <w:vAlign w:val="center"/>
                </w:tcPr>
                <w:p w14:paraId="3A84FD4F">
                  <w:pPr>
                    <w:adjustRightInd w:val="0"/>
                    <w:snapToGrid w:val="0"/>
                    <w:jc w:val="center"/>
                    <w:rPr>
                      <w:b/>
                      <w:bCs/>
                      <w:color w:val="auto"/>
                      <w:kern w:val="0"/>
                    </w:rPr>
                  </w:pPr>
                  <w:r>
                    <w:rPr>
                      <w:rFonts w:hint="eastAsia"/>
                      <w:b/>
                      <w:bCs/>
                      <w:color w:val="auto"/>
                      <w:kern w:val="0"/>
                    </w:rPr>
                    <w:t>单次持续时间h</w:t>
                  </w:r>
                </w:p>
              </w:tc>
              <w:tc>
                <w:tcPr>
                  <w:tcW w:w="609" w:type="pct"/>
                  <w:tcBorders>
                    <w:tl2br w:val="nil"/>
                    <w:tr2bl w:val="nil"/>
                  </w:tcBorders>
                  <w:vAlign w:val="center"/>
                </w:tcPr>
                <w:p w14:paraId="3A84FD50">
                  <w:pPr>
                    <w:adjustRightInd w:val="0"/>
                    <w:snapToGrid w:val="0"/>
                    <w:jc w:val="center"/>
                    <w:rPr>
                      <w:b/>
                      <w:bCs/>
                      <w:color w:val="auto"/>
                      <w:kern w:val="0"/>
                    </w:rPr>
                  </w:pPr>
                  <w:r>
                    <w:rPr>
                      <w:rFonts w:hint="eastAsia"/>
                      <w:b/>
                      <w:bCs/>
                      <w:color w:val="auto"/>
                      <w:kern w:val="0"/>
                    </w:rPr>
                    <w:t>年发生频次</w:t>
                  </w:r>
                </w:p>
              </w:tc>
              <w:tc>
                <w:tcPr>
                  <w:tcW w:w="726" w:type="pct"/>
                  <w:tcBorders>
                    <w:tl2br w:val="nil"/>
                    <w:tr2bl w:val="nil"/>
                  </w:tcBorders>
                  <w:vAlign w:val="center"/>
                </w:tcPr>
                <w:p w14:paraId="3A84FD51">
                  <w:pPr>
                    <w:adjustRightInd w:val="0"/>
                    <w:snapToGrid w:val="0"/>
                    <w:jc w:val="center"/>
                    <w:rPr>
                      <w:b/>
                      <w:bCs/>
                      <w:color w:val="auto"/>
                      <w:kern w:val="0"/>
                    </w:rPr>
                  </w:pPr>
                  <w:r>
                    <w:rPr>
                      <w:rFonts w:hint="eastAsia"/>
                      <w:b/>
                      <w:bCs/>
                      <w:color w:val="auto"/>
                      <w:kern w:val="0"/>
                    </w:rPr>
                    <w:t>非正常排放量kg/a</w:t>
                  </w:r>
                </w:p>
              </w:tc>
            </w:tr>
            <w:tr w14:paraId="3A84FD5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vMerge w:val="restart"/>
                  <w:tcBorders>
                    <w:tl2br w:val="nil"/>
                    <w:tr2bl w:val="nil"/>
                  </w:tcBorders>
                  <w:vAlign w:val="center"/>
                </w:tcPr>
                <w:p w14:paraId="3A84FD53">
                  <w:pPr>
                    <w:topLinePunct/>
                    <w:adjustRightInd w:val="0"/>
                    <w:snapToGrid w:val="0"/>
                    <w:jc w:val="center"/>
                    <w:rPr>
                      <w:rFonts w:hint="default" w:eastAsia="宋体"/>
                      <w:color w:val="auto"/>
                      <w:kern w:val="0"/>
                      <w:lang w:val="en-US" w:eastAsia="zh-CN"/>
                    </w:rPr>
                  </w:pPr>
                  <w:r>
                    <w:rPr>
                      <w:rFonts w:hint="eastAsia"/>
                      <w:color w:val="auto"/>
                      <w:kern w:val="0"/>
                      <w:lang w:val="en-US" w:eastAsia="zh-CN"/>
                    </w:rPr>
                    <w:t>3#</w:t>
                  </w:r>
                </w:p>
              </w:tc>
              <w:tc>
                <w:tcPr>
                  <w:tcW w:w="727" w:type="pct"/>
                  <w:vMerge w:val="restart"/>
                  <w:tcBorders>
                    <w:tl2br w:val="nil"/>
                    <w:tr2bl w:val="nil"/>
                  </w:tcBorders>
                  <w:vAlign w:val="center"/>
                </w:tcPr>
                <w:p w14:paraId="3A84FD54">
                  <w:pPr>
                    <w:topLinePunct/>
                    <w:adjustRightInd w:val="0"/>
                    <w:snapToGrid w:val="0"/>
                    <w:jc w:val="center"/>
                    <w:rPr>
                      <w:color w:val="auto"/>
                      <w:kern w:val="0"/>
                    </w:rPr>
                  </w:pPr>
                  <w:r>
                    <w:rPr>
                      <w:rFonts w:hint="eastAsia"/>
                      <w:color w:val="auto"/>
                      <w:kern w:val="0"/>
                    </w:rPr>
                    <w:t>废气处理装置故障</w:t>
                  </w:r>
                </w:p>
              </w:tc>
              <w:tc>
                <w:tcPr>
                  <w:tcW w:w="790" w:type="pct"/>
                  <w:tcBorders>
                    <w:tl2br w:val="nil"/>
                    <w:tr2bl w:val="nil"/>
                  </w:tcBorders>
                  <w:vAlign w:val="center"/>
                </w:tcPr>
                <w:p w14:paraId="3A84FD55">
                  <w:pPr>
                    <w:pStyle w:val="656"/>
                    <w:snapToGrid w:val="0"/>
                    <w:rPr>
                      <w:color w:val="auto"/>
                      <w:kern w:val="0"/>
                      <w:sz w:val="21"/>
                      <w:szCs w:val="21"/>
                    </w:rPr>
                  </w:pPr>
                  <w:r>
                    <w:rPr>
                      <w:rFonts w:hint="eastAsia" w:eastAsia="宋体"/>
                      <w:color w:val="auto"/>
                      <w:sz w:val="21"/>
                      <w:szCs w:val="21"/>
                      <w:lang w:val="en-US" w:eastAsia="zh-CN"/>
                    </w:rPr>
                    <w:t>颗粒物</w:t>
                  </w:r>
                </w:p>
              </w:tc>
              <w:tc>
                <w:tcPr>
                  <w:tcW w:w="1347" w:type="dxa"/>
                  <w:tcBorders>
                    <w:tl2br w:val="nil"/>
                    <w:tr2bl w:val="nil"/>
                  </w:tcBorders>
                  <w:vAlign w:val="center"/>
                </w:tcPr>
                <w:p w14:paraId="3A84FD56">
                  <w:pPr>
                    <w:pStyle w:val="656"/>
                    <w:snapToGrid w:val="0"/>
                    <w:rPr>
                      <w:rFonts w:hint="default"/>
                      <w:color w:val="auto"/>
                      <w:kern w:val="0"/>
                      <w:sz w:val="21"/>
                      <w:szCs w:val="21"/>
                      <w:lang w:val="en-US"/>
                    </w:rPr>
                  </w:pPr>
                  <w:r>
                    <w:rPr>
                      <w:rFonts w:hint="eastAsia" w:eastAsia="宋体"/>
                      <w:color w:val="auto"/>
                      <w:sz w:val="21"/>
                      <w:szCs w:val="21"/>
                      <w:lang w:val="en-US" w:eastAsia="zh-CN"/>
                    </w:rPr>
                    <w:t>1.67</w:t>
                  </w:r>
                </w:p>
              </w:tc>
              <w:tc>
                <w:tcPr>
                  <w:tcW w:w="705" w:type="pct"/>
                  <w:vMerge w:val="restart"/>
                  <w:tcBorders>
                    <w:tl2br w:val="nil"/>
                    <w:tr2bl w:val="nil"/>
                  </w:tcBorders>
                  <w:vAlign w:val="center"/>
                </w:tcPr>
                <w:p w14:paraId="3A84FD57">
                  <w:pPr>
                    <w:adjustRightInd w:val="0"/>
                    <w:snapToGrid w:val="0"/>
                    <w:jc w:val="center"/>
                    <w:rPr>
                      <w:color w:val="auto"/>
                      <w:kern w:val="0"/>
                    </w:rPr>
                  </w:pPr>
                  <w:r>
                    <w:rPr>
                      <w:rFonts w:hint="eastAsia"/>
                      <w:color w:val="auto"/>
                      <w:kern w:val="0"/>
                    </w:rPr>
                    <w:t>0.5</w:t>
                  </w:r>
                </w:p>
              </w:tc>
              <w:tc>
                <w:tcPr>
                  <w:tcW w:w="609" w:type="pct"/>
                  <w:vMerge w:val="restart"/>
                  <w:tcBorders>
                    <w:tl2br w:val="nil"/>
                    <w:tr2bl w:val="nil"/>
                  </w:tcBorders>
                  <w:vAlign w:val="center"/>
                </w:tcPr>
                <w:p w14:paraId="3A84FD58">
                  <w:pPr>
                    <w:adjustRightInd w:val="0"/>
                    <w:snapToGrid w:val="0"/>
                    <w:jc w:val="center"/>
                    <w:rPr>
                      <w:color w:val="auto"/>
                      <w:kern w:val="0"/>
                    </w:rPr>
                  </w:pPr>
                  <w:r>
                    <w:rPr>
                      <w:color w:val="auto"/>
                      <w:kern w:val="0"/>
                    </w:rPr>
                    <w:t>1</w:t>
                  </w:r>
                </w:p>
              </w:tc>
              <w:tc>
                <w:tcPr>
                  <w:tcW w:w="1288" w:type="dxa"/>
                  <w:tcBorders>
                    <w:tl2br w:val="nil"/>
                    <w:tr2bl w:val="nil"/>
                  </w:tcBorders>
                  <w:vAlign w:val="center"/>
                </w:tcPr>
                <w:p w14:paraId="3A84FD59">
                  <w:pPr>
                    <w:pStyle w:val="656"/>
                    <w:snapToGrid w:val="0"/>
                    <w:rPr>
                      <w:rFonts w:hint="default" w:eastAsia="宋体"/>
                      <w:color w:val="auto"/>
                      <w:sz w:val="21"/>
                      <w:szCs w:val="21"/>
                      <w:lang w:val="en-US" w:eastAsia="zh-CN"/>
                    </w:rPr>
                  </w:pPr>
                  <w:r>
                    <w:rPr>
                      <w:rFonts w:hint="eastAsia" w:eastAsia="宋体"/>
                      <w:color w:val="auto"/>
                      <w:sz w:val="21"/>
                      <w:szCs w:val="21"/>
                      <w:lang w:val="en-US" w:eastAsia="zh-CN"/>
                    </w:rPr>
                    <w:t>0.835</w:t>
                  </w:r>
                </w:p>
              </w:tc>
            </w:tr>
            <w:tr w14:paraId="4F0BA18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vMerge w:val="continue"/>
                  <w:tcBorders>
                    <w:tl2br w:val="nil"/>
                    <w:tr2bl w:val="nil"/>
                  </w:tcBorders>
                  <w:vAlign w:val="center"/>
                </w:tcPr>
                <w:p w14:paraId="18111AFA">
                  <w:pPr>
                    <w:topLinePunct/>
                    <w:adjustRightInd w:val="0"/>
                    <w:snapToGrid w:val="0"/>
                    <w:jc w:val="center"/>
                    <w:rPr>
                      <w:rFonts w:hint="eastAsia"/>
                      <w:color w:val="auto"/>
                      <w:kern w:val="0"/>
                      <w:lang w:val="en-US" w:eastAsia="zh-CN"/>
                    </w:rPr>
                  </w:pPr>
                </w:p>
              </w:tc>
              <w:tc>
                <w:tcPr>
                  <w:tcW w:w="727" w:type="pct"/>
                  <w:vMerge w:val="continue"/>
                  <w:tcBorders>
                    <w:tl2br w:val="nil"/>
                    <w:tr2bl w:val="nil"/>
                  </w:tcBorders>
                  <w:vAlign w:val="center"/>
                </w:tcPr>
                <w:p w14:paraId="1B2253A8">
                  <w:pPr>
                    <w:topLinePunct/>
                    <w:adjustRightInd w:val="0"/>
                    <w:snapToGrid w:val="0"/>
                    <w:jc w:val="center"/>
                    <w:rPr>
                      <w:rFonts w:hint="eastAsia"/>
                      <w:color w:val="auto"/>
                      <w:kern w:val="0"/>
                    </w:rPr>
                  </w:pPr>
                </w:p>
              </w:tc>
              <w:tc>
                <w:tcPr>
                  <w:tcW w:w="790" w:type="pct"/>
                  <w:tcBorders>
                    <w:tl2br w:val="nil"/>
                    <w:tr2bl w:val="nil"/>
                  </w:tcBorders>
                  <w:vAlign w:val="center"/>
                </w:tcPr>
                <w:p w14:paraId="554449BE">
                  <w:pPr>
                    <w:pStyle w:val="656"/>
                    <w:snapToGrid w:val="0"/>
                    <w:rPr>
                      <w:rFonts w:hint="eastAsia"/>
                      <w:color w:val="auto"/>
                      <w:kern w:val="0"/>
                      <w:sz w:val="21"/>
                      <w:szCs w:val="21"/>
                    </w:rPr>
                  </w:pPr>
                  <w:r>
                    <w:rPr>
                      <w:rFonts w:hint="eastAsia" w:eastAsia="宋体"/>
                      <w:color w:val="auto"/>
                      <w:sz w:val="21"/>
                      <w:szCs w:val="21"/>
                      <w:lang w:val="en-US" w:eastAsia="zh-CN"/>
                    </w:rPr>
                    <w:t>SO</w:t>
                  </w:r>
                  <w:r>
                    <w:rPr>
                      <w:rFonts w:hint="eastAsia" w:eastAsia="宋体"/>
                      <w:color w:val="auto"/>
                      <w:sz w:val="21"/>
                      <w:szCs w:val="21"/>
                      <w:vertAlign w:val="subscript"/>
                      <w:lang w:val="en-US" w:eastAsia="zh-CN"/>
                    </w:rPr>
                    <w:t>2</w:t>
                  </w:r>
                </w:p>
              </w:tc>
              <w:tc>
                <w:tcPr>
                  <w:tcW w:w="1347" w:type="dxa"/>
                  <w:tcBorders>
                    <w:tl2br w:val="nil"/>
                    <w:tr2bl w:val="nil"/>
                  </w:tcBorders>
                  <w:vAlign w:val="center"/>
                </w:tcPr>
                <w:p w14:paraId="065F5752">
                  <w:pPr>
                    <w:pStyle w:val="656"/>
                    <w:snapToGrid w:val="0"/>
                    <w:rPr>
                      <w:rFonts w:hint="eastAsia"/>
                      <w:color w:val="auto"/>
                      <w:kern w:val="0"/>
                      <w:sz w:val="21"/>
                      <w:szCs w:val="21"/>
                    </w:rPr>
                  </w:pPr>
                  <w:r>
                    <w:rPr>
                      <w:rFonts w:hint="eastAsia" w:eastAsia="宋体"/>
                      <w:color w:val="auto"/>
                      <w:sz w:val="21"/>
                      <w:szCs w:val="21"/>
                      <w:lang w:val="en-US" w:eastAsia="zh-CN"/>
                    </w:rPr>
                    <w:t>0.08</w:t>
                  </w:r>
                </w:p>
              </w:tc>
              <w:tc>
                <w:tcPr>
                  <w:tcW w:w="705" w:type="pct"/>
                  <w:vMerge w:val="continue"/>
                  <w:tcBorders>
                    <w:tl2br w:val="nil"/>
                    <w:tr2bl w:val="nil"/>
                  </w:tcBorders>
                  <w:vAlign w:val="center"/>
                </w:tcPr>
                <w:p w14:paraId="508973F2">
                  <w:pPr>
                    <w:adjustRightInd w:val="0"/>
                    <w:snapToGrid w:val="0"/>
                    <w:jc w:val="center"/>
                    <w:rPr>
                      <w:rFonts w:hint="eastAsia"/>
                      <w:color w:val="auto"/>
                      <w:kern w:val="0"/>
                    </w:rPr>
                  </w:pPr>
                </w:p>
              </w:tc>
              <w:tc>
                <w:tcPr>
                  <w:tcW w:w="609" w:type="pct"/>
                  <w:vMerge w:val="continue"/>
                  <w:tcBorders>
                    <w:tl2br w:val="nil"/>
                    <w:tr2bl w:val="nil"/>
                  </w:tcBorders>
                  <w:vAlign w:val="center"/>
                </w:tcPr>
                <w:p w14:paraId="60CB94BE">
                  <w:pPr>
                    <w:adjustRightInd w:val="0"/>
                    <w:snapToGrid w:val="0"/>
                    <w:jc w:val="center"/>
                    <w:rPr>
                      <w:color w:val="auto"/>
                      <w:kern w:val="0"/>
                    </w:rPr>
                  </w:pPr>
                </w:p>
              </w:tc>
              <w:tc>
                <w:tcPr>
                  <w:tcW w:w="1288" w:type="dxa"/>
                  <w:tcBorders>
                    <w:tl2br w:val="nil"/>
                    <w:tr2bl w:val="nil"/>
                  </w:tcBorders>
                  <w:vAlign w:val="center"/>
                </w:tcPr>
                <w:p w14:paraId="0F73A3CD">
                  <w:pPr>
                    <w:pStyle w:val="656"/>
                    <w:snapToGrid w:val="0"/>
                    <w:rPr>
                      <w:rFonts w:hint="default" w:eastAsia="宋体"/>
                      <w:color w:val="auto"/>
                      <w:sz w:val="21"/>
                      <w:szCs w:val="21"/>
                      <w:lang w:val="en-US" w:eastAsia="zh-CN"/>
                    </w:rPr>
                  </w:pPr>
                  <w:r>
                    <w:rPr>
                      <w:rFonts w:hint="eastAsia" w:eastAsia="宋体"/>
                      <w:color w:val="auto"/>
                      <w:sz w:val="21"/>
                      <w:szCs w:val="21"/>
                      <w:lang w:val="en-US" w:eastAsia="zh-CN"/>
                    </w:rPr>
                    <w:t>0.04</w:t>
                  </w:r>
                </w:p>
              </w:tc>
            </w:tr>
            <w:tr w14:paraId="7033377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vMerge w:val="continue"/>
                  <w:tcBorders>
                    <w:tl2br w:val="nil"/>
                    <w:tr2bl w:val="nil"/>
                  </w:tcBorders>
                  <w:vAlign w:val="center"/>
                </w:tcPr>
                <w:p w14:paraId="76F0D4F1">
                  <w:pPr>
                    <w:topLinePunct/>
                    <w:adjustRightInd w:val="0"/>
                    <w:snapToGrid w:val="0"/>
                    <w:jc w:val="center"/>
                    <w:rPr>
                      <w:rFonts w:hint="eastAsia"/>
                      <w:color w:val="auto"/>
                      <w:kern w:val="0"/>
                      <w:lang w:val="en-US" w:eastAsia="zh-CN"/>
                    </w:rPr>
                  </w:pPr>
                </w:p>
              </w:tc>
              <w:tc>
                <w:tcPr>
                  <w:tcW w:w="727" w:type="pct"/>
                  <w:vMerge w:val="continue"/>
                  <w:tcBorders>
                    <w:tl2br w:val="nil"/>
                    <w:tr2bl w:val="nil"/>
                  </w:tcBorders>
                  <w:vAlign w:val="center"/>
                </w:tcPr>
                <w:p w14:paraId="39858374">
                  <w:pPr>
                    <w:topLinePunct/>
                    <w:adjustRightInd w:val="0"/>
                    <w:snapToGrid w:val="0"/>
                    <w:jc w:val="center"/>
                    <w:rPr>
                      <w:rFonts w:hint="eastAsia"/>
                      <w:color w:val="auto"/>
                      <w:kern w:val="0"/>
                    </w:rPr>
                  </w:pPr>
                </w:p>
              </w:tc>
              <w:tc>
                <w:tcPr>
                  <w:tcW w:w="790" w:type="pct"/>
                  <w:tcBorders>
                    <w:tl2br w:val="nil"/>
                    <w:tr2bl w:val="nil"/>
                  </w:tcBorders>
                  <w:vAlign w:val="center"/>
                </w:tcPr>
                <w:p w14:paraId="35F44605">
                  <w:pPr>
                    <w:pStyle w:val="656"/>
                    <w:snapToGrid w:val="0"/>
                    <w:rPr>
                      <w:rFonts w:hint="eastAsia"/>
                      <w:color w:val="auto"/>
                      <w:kern w:val="0"/>
                      <w:sz w:val="21"/>
                      <w:szCs w:val="21"/>
                    </w:rPr>
                  </w:pPr>
                  <w:r>
                    <w:rPr>
                      <w:rFonts w:hint="eastAsia" w:eastAsia="宋体"/>
                      <w:color w:val="auto"/>
                      <w:sz w:val="21"/>
                      <w:szCs w:val="21"/>
                      <w:lang w:val="en-US" w:eastAsia="zh-CN"/>
                    </w:rPr>
                    <w:t>NOx</w:t>
                  </w:r>
                </w:p>
              </w:tc>
              <w:tc>
                <w:tcPr>
                  <w:tcW w:w="1347" w:type="dxa"/>
                  <w:tcBorders>
                    <w:tl2br w:val="nil"/>
                    <w:tr2bl w:val="nil"/>
                  </w:tcBorders>
                  <w:vAlign w:val="center"/>
                </w:tcPr>
                <w:p w14:paraId="6C720139">
                  <w:pPr>
                    <w:pStyle w:val="656"/>
                    <w:snapToGrid w:val="0"/>
                    <w:rPr>
                      <w:rFonts w:hint="default"/>
                      <w:color w:val="auto"/>
                      <w:kern w:val="0"/>
                      <w:sz w:val="21"/>
                      <w:szCs w:val="21"/>
                      <w:lang w:val="en-US"/>
                    </w:rPr>
                  </w:pPr>
                  <w:r>
                    <w:rPr>
                      <w:rFonts w:hint="eastAsia" w:eastAsia="宋体"/>
                      <w:color w:val="auto"/>
                      <w:sz w:val="21"/>
                      <w:szCs w:val="21"/>
                      <w:lang w:val="en-US" w:eastAsia="zh-CN"/>
                    </w:rPr>
                    <w:t>0.07</w:t>
                  </w:r>
                </w:p>
              </w:tc>
              <w:tc>
                <w:tcPr>
                  <w:tcW w:w="705" w:type="pct"/>
                  <w:vMerge w:val="continue"/>
                  <w:tcBorders>
                    <w:tl2br w:val="nil"/>
                    <w:tr2bl w:val="nil"/>
                  </w:tcBorders>
                  <w:vAlign w:val="center"/>
                </w:tcPr>
                <w:p w14:paraId="6C7D6DF3">
                  <w:pPr>
                    <w:adjustRightInd w:val="0"/>
                    <w:snapToGrid w:val="0"/>
                    <w:jc w:val="center"/>
                    <w:rPr>
                      <w:rFonts w:hint="eastAsia"/>
                      <w:color w:val="auto"/>
                      <w:kern w:val="0"/>
                    </w:rPr>
                  </w:pPr>
                </w:p>
              </w:tc>
              <w:tc>
                <w:tcPr>
                  <w:tcW w:w="609" w:type="pct"/>
                  <w:vMerge w:val="continue"/>
                  <w:tcBorders>
                    <w:tl2br w:val="nil"/>
                    <w:tr2bl w:val="nil"/>
                  </w:tcBorders>
                  <w:vAlign w:val="center"/>
                </w:tcPr>
                <w:p w14:paraId="52F332C4">
                  <w:pPr>
                    <w:adjustRightInd w:val="0"/>
                    <w:snapToGrid w:val="0"/>
                    <w:jc w:val="center"/>
                    <w:rPr>
                      <w:color w:val="auto"/>
                      <w:kern w:val="0"/>
                    </w:rPr>
                  </w:pPr>
                </w:p>
              </w:tc>
              <w:tc>
                <w:tcPr>
                  <w:tcW w:w="1288" w:type="dxa"/>
                  <w:tcBorders>
                    <w:tl2br w:val="nil"/>
                    <w:tr2bl w:val="nil"/>
                  </w:tcBorders>
                  <w:vAlign w:val="center"/>
                </w:tcPr>
                <w:p w14:paraId="7DAEE576">
                  <w:pPr>
                    <w:pStyle w:val="656"/>
                    <w:snapToGrid w:val="0"/>
                    <w:rPr>
                      <w:rFonts w:hint="default" w:eastAsia="宋体"/>
                      <w:color w:val="auto"/>
                      <w:sz w:val="21"/>
                      <w:szCs w:val="21"/>
                      <w:lang w:val="en-US" w:eastAsia="zh-CN"/>
                    </w:rPr>
                  </w:pPr>
                  <w:r>
                    <w:rPr>
                      <w:rFonts w:hint="eastAsia" w:eastAsia="宋体"/>
                      <w:color w:val="auto"/>
                      <w:sz w:val="21"/>
                      <w:szCs w:val="21"/>
                      <w:lang w:val="en-US" w:eastAsia="zh-CN"/>
                    </w:rPr>
                    <w:t>0.035</w:t>
                  </w:r>
                </w:p>
              </w:tc>
            </w:tr>
            <w:tr w14:paraId="7F0BA72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vMerge w:val="continue"/>
                  <w:tcBorders>
                    <w:tl2br w:val="nil"/>
                    <w:tr2bl w:val="nil"/>
                  </w:tcBorders>
                  <w:vAlign w:val="center"/>
                </w:tcPr>
                <w:p w14:paraId="518F4EC7">
                  <w:pPr>
                    <w:topLinePunct/>
                    <w:adjustRightInd w:val="0"/>
                    <w:snapToGrid w:val="0"/>
                    <w:jc w:val="center"/>
                    <w:rPr>
                      <w:rFonts w:hint="eastAsia"/>
                      <w:color w:val="auto"/>
                      <w:kern w:val="0"/>
                      <w:lang w:val="en-US" w:eastAsia="zh-CN"/>
                    </w:rPr>
                  </w:pPr>
                </w:p>
              </w:tc>
              <w:tc>
                <w:tcPr>
                  <w:tcW w:w="727" w:type="pct"/>
                  <w:vMerge w:val="continue"/>
                  <w:tcBorders>
                    <w:tl2br w:val="nil"/>
                    <w:tr2bl w:val="nil"/>
                  </w:tcBorders>
                  <w:vAlign w:val="center"/>
                </w:tcPr>
                <w:p w14:paraId="07756BEC">
                  <w:pPr>
                    <w:topLinePunct/>
                    <w:adjustRightInd w:val="0"/>
                    <w:snapToGrid w:val="0"/>
                    <w:jc w:val="center"/>
                    <w:rPr>
                      <w:rFonts w:hint="eastAsia"/>
                      <w:color w:val="auto"/>
                      <w:kern w:val="0"/>
                    </w:rPr>
                  </w:pPr>
                </w:p>
              </w:tc>
              <w:tc>
                <w:tcPr>
                  <w:tcW w:w="790" w:type="pct"/>
                  <w:tcBorders>
                    <w:tl2br w:val="nil"/>
                    <w:tr2bl w:val="nil"/>
                  </w:tcBorders>
                  <w:vAlign w:val="center"/>
                </w:tcPr>
                <w:p w14:paraId="7F857C84">
                  <w:pPr>
                    <w:pStyle w:val="656"/>
                    <w:snapToGrid w:val="0"/>
                    <w:rPr>
                      <w:rFonts w:hint="eastAsia"/>
                      <w:color w:val="auto"/>
                      <w:kern w:val="0"/>
                      <w:sz w:val="21"/>
                      <w:szCs w:val="21"/>
                    </w:rPr>
                  </w:pPr>
                  <w:r>
                    <w:rPr>
                      <w:rFonts w:hint="eastAsia" w:eastAsia="宋体"/>
                      <w:color w:val="auto"/>
                      <w:sz w:val="21"/>
                      <w:szCs w:val="21"/>
                      <w:lang w:val="en-US" w:eastAsia="zh-CN"/>
                    </w:rPr>
                    <w:t>氨</w:t>
                  </w:r>
                </w:p>
              </w:tc>
              <w:tc>
                <w:tcPr>
                  <w:tcW w:w="1347" w:type="dxa"/>
                  <w:tcBorders>
                    <w:tl2br w:val="nil"/>
                    <w:tr2bl w:val="nil"/>
                  </w:tcBorders>
                  <w:vAlign w:val="center"/>
                </w:tcPr>
                <w:p w14:paraId="403531AE">
                  <w:pPr>
                    <w:pStyle w:val="656"/>
                    <w:snapToGrid w:val="0"/>
                    <w:rPr>
                      <w:rFonts w:hint="eastAsia"/>
                      <w:color w:val="auto"/>
                      <w:kern w:val="0"/>
                      <w:sz w:val="21"/>
                      <w:szCs w:val="21"/>
                    </w:rPr>
                  </w:pPr>
                  <w:r>
                    <w:rPr>
                      <w:rFonts w:hint="eastAsia" w:eastAsia="宋体"/>
                      <w:color w:val="auto"/>
                      <w:sz w:val="21"/>
                      <w:szCs w:val="21"/>
                      <w:lang w:val="en-US" w:eastAsia="zh-CN"/>
                    </w:rPr>
                    <w:t>0.0053</w:t>
                  </w:r>
                </w:p>
              </w:tc>
              <w:tc>
                <w:tcPr>
                  <w:tcW w:w="705" w:type="pct"/>
                  <w:vMerge w:val="continue"/>
                  <w:tcBorders>
                    <w:tl2br w:val="nil"/>
                    <w:tr2bl w:val="nil"/>
                  </w:tcBorders>
                  <w:vAlign w:val="center"/>
                </w:tcPr>
                <w:p w14:paraId="2CF48554">
                  <w:pPr>
                    <w:adjustRightInd w:val="0"/>
                    <w:snapToGrid w:val="0"/>
                    <w:jc w:val="center"/>
                    <w:rPr>
                      <w:rFonts w:hint="eastAsia"/>
                      <w:color w:val="auto"/>
                      <w:kern w:val="0"/>
                    </w:rPr>
                  </w:pPr>
                </w:p>
              </w:tc>
              <w:tc>
                <w:tcPr>
                  <w:tcW w:w="609" w:type="pct"/>
                  <w:vMerge w:val="continue"/>
                  <w:tcBorders>
                    <w:tl2br w:val="nil"/>
                    <w:tr2bl w:val="nil"/>
                  </w:tcBorders>
                  <w:vAlign w:val="center"/>
                </w:tcPr>
                <w:p w14:paraId="20BE4EC9">
                  <w:pPr>
                    <w:adjustRightInd w:val="0"/>
                    <w:snapToGrid w:val="0"/>
                    <w:jc w:val="center"/>
                    <w:rPr>
                      <w:color w:val="auto"/>
                      <w:kern w:val="0"/>
                    </w:rPr>
                  </w:pPr>
                </w:p>
              </w:tc>
              <w:tc>
                <w:tcPr>
                  <w:tcW w:w="1288" w:type="dxa"/>
                  <w:tcBorders>
                    <w:tl2br w:val="nil"/>
                    <w:tr2bl w:val="nil"/>
                  </w:tcBorders>
                  <w:vAlign w:val="center"/>
                </w:tcPr>
                <w:p w14:paraId="2C2BD3BD">
                  <w:pPr>
                    <w:pStyle w:val="656"/>
                    <w:snapToGrid w:val="0"/>
                    <w:rPr>
                      <w:rFonts w:hint="default" w:eastAsia="宋体"/>
                      <w:color w:val="auto"/>
                      <w:sz w:val="21"/>
                      <w:szCs w:val="21"/>
                      <w:lang w:val="en-US" w:eastAsia="zh-CN"/>
                    </w:rPr>
                  </w:pPr>
                  <w:r>
                    <w:rPr>
                      <w:rFonts w:hint="eastAsia" w:eastAsia="宋体"/>
                      <w:color w:val="auto"/>
                      <w:sz w:val="21"/>
                      <w:szCs w:val="21"/>
                      <w:lang w:val="en-US" w:eastAsia="zh-CN"/>
                    </w:rPr>
                    <w:t>0.00265</w:t>
                  </w:r>
                </w:p>
              </w:tc>
            </w:tr>
            <w:tr w14:paraId="264116F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vMerge w:val="continue"/>
                  <w:tcBorders>
                    <w:tl2br w:val="nil"/>
                    <w:tr2bl w:val="nil"/>
                  </w:tcBorders>
                  <w:vAlign w:val="center"/>
                </w:tcPr>
                <w:p w14:paraId="4F4D7888">
                  <w:pPr>
                    <w:topLinePunct/>
                    <w:adjustRightInd w:val="0"/>
                    <w:snapToGrid w:val="0"/>
                    <w:jc w:val="center"/>
                    <w:rPr>
                      <w:rFonts w:hint="eastAsia"/>
                      <w:color w:val="auto"/>
                      <w:kern w:val="0"/>
                      <w:lang w:val="en-US" w:eastAsia="zh-CN"/>
                    </w:rPr>
                  </w:pPr>
                </w:p>
              </w:tc>
              <w:tc>
                <w:tcPr>
                  <w:tcW w:w="727" w:type="pct"/>
                  <w:vMerge w:val="continue"/>
                  <w:tcBorders>
                    <w:tl2br w:val="nil"/>
                    <w:tr2bl w:val="nil"/>
                  </w:tcBorders>
                  <w:vAlign w:val="center"/>
                </w:tcPr>
                <w:p w14:paraId="387B6D60">
                  <w:pPr>
                    <w:topLinePunct/>
                    <w:adjustRightInd w:val="0"/>
                    <w:snapToGrid w:val="0"/>
                    <w:jc w:val="center"/>
                    <w:rPr>
                      <w:rFonts w:hint="eastAsia"/>
                      <w:color w:val="auto"/>
                      <w:kern w:val="0"/>
                    </w:rPr>
                  </w:pPr>
                </w:p>
              </w:tc>
              <w:tc>
                <w:tcPr>
                  <w:tcW w:w="790" w:type="pct"/>
                  <w:tcBorders>
                    <w:tl2br w:val="nil"/>
                    <w:tr2bl w:val="nil"/>
                  </w:tcBorders>
                  <w:vAlign w:val="center"/>
                </w:tcPr>
                <w:p w14:paraId="17CD5C1E">
                  <w:pPr>
                    <w:pStyle w:val="656"/>
                    <w:snapToGrid w:val="0"/>
                    <w:rPr>
                      <w:rFonts w:hint="eastAsia"/>
                      <w:color w:val="auto"/>
                      <w:kern w:val="0"/>
                      <w:sz w:val="21"/>
                      <w:szCs w:val="21"/>
                    </w:rPr>
                  </w:pPr>
                  <w:r>
                    <w:rPr>
                      <w:rFonts w:hint="eastAsia" w:eastAsia="宋体"/>
                      <w:color w:val="auto"/>
                      <w:sz w:val="21"/>
                      <w:szCs w:val="21"/>
                      <w:lang w:val="en-US" w:eastAsia="zh-CN"/>
                    </w:rPr>
                    <w:t>CO</w:t>
                  </w:r>
                </w:p>
              </w:tc>
              <w:tc>
                <w:tcPr>
                  <w:tcW w:w="1347" w:type="dxa"/>
                  <w:tcBorders>
                    <w:tl2br w:val="nil"/>
                    <w:tr2bl w:val="nil"/>
                  </w:tcBorders>
                  <w:vAlign w:val="center"/>
                </w:tcPr>
                <w:p w14:paraId="4E64612F">
                  <w:pPr>
                    <w:pStyle w:val="656"/>
                    <w:snapToGrid w:val="0"/>
                    <w:rPr>
                      <w:rFonts w:hint="default"/>
                      <w:color w:val="auto"/>
                      <w:kern w:val="0"/>
                      <w:sz w:val="21"/>
                      <w:szCs w:val="21"/>
                      <w:lang w:val="en-US"/>
                    </w:rPr>
                  </w:pPr>
                  <w:r>
                    <w:rPr>
                      <w:rFonts w:hint="eastAsia" w:eastAsia="宋体"/>
                      <w:color w:val="auto"/>
                      <w:sz w:val="21"/>
                      <w:szCs w:val="21"/>
                      <w:lang w:val="en-US" w:eastAsia="zh-CN"/>
                    </w:rPr>
                    <w:t>0.25</w:t>
                  </w:r>
                </w:p>
              </w:tc>
              <w:tc>
                <w:tcPr>
                  <w:tcW w:w="705" w:type="pct"/>
                  <w:vMerge w:val="continue"/>
                  <w:tcBorders>
                    <w:tl2br w:val="nil"/>
                    <w:tr2bl w:val="nil"/>
                  </w:tcBorders>
                  <w:vAlign w:val="center"/>
                </w:tcPr>
                <w:p w14:paraId="03C19C0C">
                  <w:pPr>
                    <w:adjustRightInd w:val="0"/>
                    <w:snapToGrid w:val="0"/>
                    <w:jc w:val="center"/>
                    <w:rPr>
                      <w:rFonts w:hint="eastAsia"/>
                      <w:color w:val="auto"/>
                      <w:kern w:val="0"/>
                    </w:rPr>
                  </w:pPr>
                </w:p>
              </w:tc>
              <w:tc>
                <w:tcPr>
                  <w:tcW w:w="609" w:type="pct"/>
                  <w:vMerge w:val="continue"/>
                  <w:tcBorders>
                    <w:tl2br w:val="nil"/>
                    <w:tr2bl w:val="nil"/>
                  </w:tcBorders>
                  <w:vAlign w:val="center"/>
                </w:tcPr>
                <w:p w14:paraId="02A20E24">
                  <w:pPr>
                    <w:adjustRightInd w:val="0"/>
                    <w:snapToGrid w:val="0"/>
                    <w:jc w:val="center"/>
                    <w:rPr>
                      <w:color w:val="auto"/>
                      <w:kern w:val="0"/>
                    </w:rPr>
                  </w:pPr>
                </w:p>
              </w:tc>
              <w:tc>
                <w:tcPr>
                  <w:tcW w:w="1288" w:type="dxa"/>
                  <w:tcBorders>
                    <w:tl2br w:val="nil"/>
                    <w:tr2bl w:val="nil"/>
                  </w:tcBorders>
                  <w:vAlign w:val="center"/>
                </w:tcPr>
                <w:p w14:paraId="3088F21A">
                  <w:pPr>
                    <w:pStyle w:val="656"/>
                    <w:snapToGrid w:val="0"/>
                    <w:rPr>
                      <w:rFonts w:hint="default" w:eastAsia="宋体"/>
                      <w:color w:val="auto"/>
                      <w:sz w:val="21"/>
                      <w:szCs w:val="21"/>
                      <w:lang w:val="en-US" w:eastAsia="zh-CN"/>
                    </w:rPr>
                  </w:pPr>
                  <w:r>
                    <w:rPr>
                      <w:rFonts w:hint="eastAsia" w:eastAsia="宋体"/>
                      <w:color w:val="auto"/>
                      <w:sz w:val="21"/>
                      <w:szCs w:val="21"/>
                      <w:lang w:val="en-US" w:eastAsia="zh-CN"/>
                    </w:rPr>
                    <w:t>0.125</w:t>
                  </w:r>
                </w:p>
              </w:tc>
            </w:tr>
            <w:tr w14:paraId="4AB1DBF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vMerge w:val="continue"/>
                  <w:tcBorders>
                    <w:tl2br w:val="nil"/>
                    <w:tr2bl w:val="nil"/>
                  </w:tcBorders>
                  <w:vAlign w:val="center"/>
                </w:tcPr>
                <w:p w14:paraId="49FEA974">
                  <w:pPr>
                    <w:topLinePunct/>
                    <w:adjustRightInd w:val="0"/>
                    <w:snapToGrid w:val="0"/>
                    <w:jc w:val="center"/>
                    <w:rPr>
                      <w:rFonts w:hint="eastAsia"/>
                      <w:color w:val="auto"/>
                      <w:kern w:val="0"/>
                      <w:lang w:val="en-US" w:eastAsia="zh-CN"/>
                    </w:rPr>
                  </w:pPr>
                </w:p>
              </w:tc>
              <w:tc>
                <w:tcPr>
                  <w:tcW w:w="727" w:type="pct"/>
                  <w:vMerge w:val="continue"/>
                  <w:tcBorders>
                    <w:tl2br w:val="nil"/>
                    <w:tr2bl w:val="nil"/>
                  </w:tcBorders>
                  <w:vAlign w:val="center"/>
                </w:tcPr>
                <w:p w14:paraId="3CA2F8F8">
                  <w:pPr>
                    <w:topLinePunct/>
                    <w:adjustRightInd w:val="0"/>
                    <w:snapToGrid w:val="0"/>
                    <w:jc w:val="center"/>
                    <w:rPr>
                      <w:rFonts w:hint="eastAsia"/>
                      <w:color w:val="auto"/>
                      <w:kern w:val="0"/>
                    </w:rPr>
                  </w:pPr>
                </w:p>
              </w:tc>
              <w:tc>
                <w:tcPr>
                  <w:tcW w:w="790" w:type="pct"/>
                  <w:tcBorders>
                    <w:tl2br w:val="nil"/>
                    <w:tr2bl w:val="nil"/>
                  </w:tcBorders>
                  <w:vAlign w:val="center"/>
                </w:tcPr>
                <w:p w14:paraId="3E64E37D">
                  <w:pPr>
                    <w:pStyle w:val="656"/>
                    <w:snapToGrid w:val="0"/>
                    <w:rPr>
                      <w:rFonts w:hint="eastAsia"/>
                      <w:color w:val="auto"/>
                      <w:kern w:val="0"/>
                      <w:sz w:val="21"/>
                      <w:szCs w:val="21"/>
                    </w:rPr>
                  </w:pPr>
                  <w:r>
                    <w:rPr>
                      <w:rFonts w:hint="eastAsia" w:eastAsia="宋体"/>
                      <w:color w:val="auto"/>
                      <w:sz w:val="21"/>
                      <w:szCs w:val="21"/>
                      <w:lang w:val="en-US" w:eastAsia="zh-CN"/>
                    </w:rPr>
                    <w:t>HCl</w:t>
                  </w:r>
                </w:p>
              </w:tc>
              <w:tc>
                <w:tcPr>
                  <w:tcW w:w="1347" w:type="dxa"/>
                  <w:tcBorders>
                    <w:tl2br w:val="nil"/>
                    <w:tr2bl w:val="nil"/>
                  </w:tcBorders>
                  <w:vAlign w:val="center"/>
                </w:tcPr>
                <w:p w14:paraId="40438E7B">
                  <w:pPr>
                    <w:pStyle w:val="656"/>
                    <w:snapToGrid w:val="0"/>
                    <w:rPr>
                      <w:rFonts w:hint="eastAsia"/>
                      <w:color w:val="auto"/>
                      <w:kern w:val="0"/>
                      <w:sz w:val="21"/>
                      <w:szCs w:val="21"/>
                    </w:rPr>
                  </w:pPr>
                  <w:r>
                    <w:rPr>
                      <w:rFonts w:hint="eastAsia" w:eastAsia="宋体"/>
                      <w:color w:val="auto"/>
                      <w:sz w:val="21"/>
                      <w:szCs w:val="21"/>
                      <w:lang w:val="en-US" w:eastAsia="zh-CN"/>
                    </w:rPr>
                    <w:t>0.053</w:t>
                  </w:r>
                </w:p>
              </w:tc>
              <w:tc>
                <w:tcPr>
                  <w:tcW w:w="705" w:type="pct"/>
                  <w:vMerge w:val="continue"/>
                  <w:tcBorders>
                    <w:tl2br w:val="nil"/>
                    <w:tr2bl w:val="nil"/>
                  </w:tcBorders>
                  <w:vAlign w:val="center"/>
                </w:tcPr>
                <w:p w14:paraId="3EE8AE16">
                  <w:pPr>
                    <w:adjustRightInd w:val="0"/>
                    <w:snapToGrid w:val="0"/>
                    <w:jc w:val="center"/>
                    <w:rPr>
                      <w:rFonts w:hint="eastAsia"/>
                      <w:color w:val="auto"/>
                      <w:kern w:val="0"/>
                    </w:rPr>
                  </w:pPr>
                </w:p>
              </w:tc>
              <w:tc>
                <w:tcPr>
                  <w:tcW w:w="609" w:type="pct"/>
                  <w:vMerge w:val="continue"/>
                  <w:tcBorders>
                    <w:tl2br w:val="nil"/>
                    <w:tr2bl w:val="nil"/>
                  </w:tcBorders>
                  <w:vAlign w:val="center"/>
                </w:tcPr>
                <w:p w14:paraId="22763D29">
                  <w:pPr>
                    <w:adjustRightInd w:val="0"/>
                    <w:snapToGrid w:val="0"/>
                    <w:jc w:val="center"/>
                    <w:rPr>
                      <w:color w:val="auto"/>
                      <w:kern w:val="0"/>
                    </w:rPr>
                  </w:pPr>
                </w:p>
              </w:tc>
              <w:tc>
                <w:tcPr>
                  <w:tcW w:w="1288" w:type="dxa"/>
                  <w:tcBorders>
                    <w:tl2br w:val="nil"/>
                    <w:tr2bl w:val="nil"/>
                  </w:tcBorders>
                  <w:vAlign w:val="center"/>
                </w:tcPr>
                <w:p w14:paraId="6B68C285">
                  <w:pPr>
                    <w:pStyle w:val="656"/>
                    <w:snapToGrid w:val="0"/>
                    <w:rPr>
                      <w:rFonts w:hint="default" w:eastAsia="宋体"/>
                      <w:color w:val="auto"/>
                      <w:sz w:val="21"/>
                      <w:szCs w:val="21"/>
                      <w:lang w:val="en-US" w:eastAsia="zh-CN"/>
                    </w:rPr>
                  </w:pPr>
                  <w:r>
                    <w:rPr>
                      <w:rFonts w:hint="eastAsia" w:eastAsia="宋体"/>
                      <w:color w:val="auto"/>
                      <w:sz w:val="21"/>
                      <w:szCs w:val="21"/>
                      <w:lang w:val="en-US" w:eastAsia="zh-CN"/>
                    </w:rPr>
                    <w:t>0.0265</w:t>
                  </w:r>
                </w:p>
              </w:tc>
            </w:tr>
            <w:tr w14:paraId="030B119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vMerge w:val="continue"/>
                  <w:tcBorders>
                    <w:tl2br w:val="nil"/>
                    <w:tr2bl w:val="nil"/>
                  </w:tcBorders>
                  <w:vAlign w:val="center"/>
                </w:tcPr>
                <w:p w14:paraId="3215677E">
                  <w:pPr>
                    <w:topLinePunct/>
                    <w:adjustRightInd w:val="0"/>
                    <w:snapToGrid w:val="0"/>
                    <w:jc w:val="center"/>
                    <w:rPr>
                      <w:rFonts w:hint="eastAsia"/>
                      <w:color w:val="auto"/>
                      <w:kern w:val="0"/>
                      <w:lang w:val="en-US" w:eastAsia="zh-CN"/>
                    </w:rPr>
                  </w:pPr>
                </w:p>
              </w:tc>
              <w:tc>
                <w:tcPr>
                  <w:tcW w:w="727" w:type="pct"/>
                  <w:vMerge w:val="continue"/>
                  <w:tcBorders>
                    <w:tl2br w:val="nil"/>
                    <w:tr2bl w:val="nil"/>
                  </w:tcBorders>
                  <w:vAlign w:val="center"/>
                </w:tcPr>
                <w:p w14:paraId="30990AC4">
                  <w:pPr>
                    <w:topLinePunct/>
                    <w:adjustRightInd w:val="0"/>
                    <w:snapToGrid w:val="0"/>
                    <w:jc w:val="center"/>
                    <w:rPr>
                      <w:rFonts w:hint="eastAsia"/>
                      <w:color w:val="auto"/>
                      <w:kern w:val="0"/>
                    </w:rPr>
                  </w:pPr>
                </w:p>
              </w:tc>
              <w:tc>
                <w:tcPr>
                  <w:tcW w:w="790" w:type="pct"/>
                  <w:tcBorders>
                    <w:tl2br w:val="nil"/>
                    <w:tr2bl w:val="nil"/>
                  </w:tcBorders>
                  <w:vAlign w:val="center"/>
                </w:tcPr>
                <w:p w14:paraId="16EE0175">
                  <w:pPr>
                    <w:pStyle w:val="656"/>
                    <w:snapToGrid w:val="0"/>
                    <w:rPr>
                      <w:rFonts w:hint="eastAsia"/>
                      <w:color w:val="auto"/>
                      <w:kern w:val="0"/>
                      <w:sz w:val="21"/>
                      <w:szCs w:val="21"/>
                    </w:rPr>
                  </w:pPr>
                  <w:r>
                    <w:rPr>
                      <w:rFonts w:hint="eastAsia" w:eastAsia="宋体"/>
                      <w:color w:val="auto"/>
                      <w:sz w:val="21"/>
                      <w:szCs w:val="21"/>
                      <w:lang w:val="en-US" w:eastAsia="zh-CN"/>
                    </w:rPr>
                    <w:t>非甲烷总烃</w:t>
                  </w:r>
                </w:p>
              </w:tc>
              <w:tc>
                <w:tcPr>
                  <w:tcW w:w="1347" w:type="dxa"/>
                  <w:tcBorders>
                    <w:tl2br w:val="nil"/>
                    <w:tr2bl w:val="nil"/>
                  </w:tcBorders>
                  <w:vAlign w:val="center"/>
                </w:tcPr>
                <w:p w14:paraId="0233A6ED">
                  <w:pPr>
                    <w:pStyle w:val="656"/>
                    <w:snapToGrid w:val="0"/>
                    <w:rPr>
                      <w:rFonts w:hint="eastAsia"/>
                      <w:color w:val="auto"/>
                      <w:kern w:val="0"/>
                      <w:sz w:val="21"/>
                      <w:szCs w:val="21"/>
                    </w:rPr>
                  </w:pPr>
                  <w:r>
                    <w:rPr>
                      <w:rFonts w:hint="eastAsia" w:eastAsia="宋体"/>
                      <w:color w:val="auto"/>
                      <w:sz w:val="21"/>
                      <w:szCs w:val="21"/>
                      <w:lang w:val="en-US" w:eastAsia="zh-CN"/>
                    </w:rPr>
                    <w:t>0.000425</w:t>
                  </w:r>
                </w:p>
              </w:tc>
              <w:tc>
                <w:tcPr>
                  <w:tcW w:w="705" w:type="pct"/>
                  <w:vMerge w:val="continue"/>
                  <w:tcBorders>
                    <w:tl2br w:val="nil"/>
                    <w:tr2bl w:val="nil"/>
                  </w:tcBorders>
                  <w:vAlign w:val="center"/>
                </w:tcPr>
                <w:p w14:paraId="53DB7E18">
                  <w:pPr>
                    <w:adjustRightInd w:val="0"/>
                    <w:snapToGrid w:val="0"/>
                    <w:jc w:val="center"/>
                    <w:rPr>
                      <w:rFonts w:hint="eastAsia"/>
                      <w:color w:val="auto"/>
                      <w:kern w:val="0"/>
                    </w:rPr>
                  </w:pPr>
                </w:p>
              </w:tc>
              <w:tc>
                <w:tcPr>
                  <w:tcW w:w="609" w:type="pct"/>
                  <w:vMerge w:val="continue"/>
                  <w:tcBorders>
                    <w:tl2br w:val="nil"/>
                    <w:tr2bl w:val="nil"/>
                  </w:tcBorders>
                  <w:vAlign w:val="center"/>
                </w:tcPr>
                <w:p w14:paraId="3A798D11">
                  <w:pPr>
                    <w:adjustRightInd w:val="0"/>
                    <w:snapToGrid w:val="0"/>
                    <w:jc w:val="center"/>
                    <w:rPr>
                      <w:color w:val="auto"/>
                      <w:kern w:val="0"/>
                    </w:rPr>
                  </w:pPr>
                </w:p>
              </w:tc>
              <w:tc>
                <w:tcPr>
                  <w:tcW w:w="1288" w:type="dxa"/>
                  <w:tcBorders>
                    <w:tl2br w:val="nil"/>
                    <w:tr2bl w:val="nil"/>
                  </w:tcBorders>
                  <w:vAlign w:val="center"/>
                </w:tcPr>
                <w:p w14:paraId="5A049C26">
                  <w:pPr>
                    <w:pStyle w:val="656"/>
                    <w:snapToGrid w:val="0"/>
                    <w:rPr>
                      <w:rFonts w:hint="default" w:eastAsia="宋体"/>
                      <w:color w:val="auto"/>
                      <w:sz w:val="21"/>
                      <w:szCs w:val="21"/>
                      <w:lang w:val="en-US" w:eastAsia="zh-CN"/>
                    </w:rPr>
                  </w:pPr>
                  <w:r>
                    <w:rPr>
                      <w:rFonts w:hint="eastAsia" w:eastAsia="宋体"/>
                      <w:color w:val="auto"/>
                      <w:sz w:val="21"/>
                      <w:szCs w:val="21"/>
                      <w:lang w:val="en-US" w:eastAsia="zh-CN"/>
                    </w:rPr>
                    <w:t>0.0002125</w:t>
                  </w:r>
                </w:p>
              </w:tc>
            </w:tr>
            <w:tr w14:paraId="5FD48BD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vMerge w:val="continue"/>
                  <w:tcBorders>
                    <w:tl2br w:val="nil"/>
                    <w:tr2bl w:val="nil"/>
                  </w:tcBorders>
                  <w:vAlign w:val="center"/>
                </w:tcPr>
                <w:p w14:paraId="78AB71F0">
                  <w:pPr>
                    <w:topLinePunct/>
                    <w:adjustRightInd w:val="0"/>
                    <w:snapToGrid w:val="0"/>
                    <w:jc w:val="center"/>
                    <w:rPr>
                      <w:rFonts w:hint="eastAsia"/>
                      <w:color w:val="auto"/>
                      <w:kern w:val="0"/>
                      <w:lang w:val="en-US" w:eastAsia="zh-CN"/>
                    </w:rPr>
                  </w:pPr>
                </w:p>
              </w:tc>
              <w:tc>
                <w:tcPr>
                  <w:tcW w:w="727" w:type="pct"/>
                  <w:vMerge w:val="continue"/>
                  <w:tcBorders>
                    <w:tl2br w:val="nil"/>
                    <w:tr2bl w:val="nil"/>
                  </w:tcBorders>
                  <w:vAlign w:val="center"/>
                </w:tcPr>
                <w:p w14:paraId="3B4A929B">
                  <w:pPr>
                    <w:topLinePunct/>
                    <w:adjustRightInd w:val="0"/>
                    <w:snapToGrid w:val="0"/>
                    <w:jc w:val="center"/>
                    <w:rPr>
                      <w:rFonts w:hint="eastAsia"/>
                      <w:color w:val="auto"/>
                      <w:kern w:val="0"/>
                    </w:rPr>
                  </w:pPr>
                </w:p>
              </w:tc>
              <w:tc>
                <w:tcPr>
                  <w:tcW w:w="790" w:type="pct"/>
                  <w:tcBorders>
                    <w:tl2br w:val="nil"/>
                    <w:tr2bl w:val="nil"/>
                  </w:tcBorders>
                  <w:vAlign w:val="center"/>
                </w:tcPr>
                <w:p w14:paraId="719668B6">
                  <w:pPr>
                    <w:pStyle w:val="656"/>
                    <w:snapToGrid w:val="0"/>
                    <w:rPr>
                      <w:rFonts w:hint="eastAsia"/>
                      <w:color w:val="auto"/>
                      <w:kern w:val="0"/>
                      <w:sz w:val="21"/>
                      <w:szCs w:val="21"/>
                    </w:rPr>
                  </w:pPr>
                  <w:r>
                    <w:rPr>
                      <w:rFonts w:hint="eastAsia" w:eastAsia="宋体"/>
                      <w:color w:val="auto"/>
                      <w:sz w:val="21"/>
                      <w:szCs w:val="21"/>
                      <w:lang w:val="en-US" w:eastAsia="zh-CN"/>
                    </w:rPr>
                    <w:t>铜及其化合物（以Cu计）</w:t>
                  </w:r>
                </w:p>
              </w:tc>
              <w:tc>
                <w:tcPr>
                  <w:tcW w:w="1347" w:type="dxa"/>
                  <w:tcBorders>
                    <w:tl2br w:val="nil"/>
                    <w:tr2bl w:val="nil"/>
                  </w:tcBorders>
                  <w:vAlign w:val="center"/>
                </w:tcPr>
                <w:p w14:paraId="2A68DFCF">
                  <w:pPr>
                    <w:pStyle w:val="656"/>
                    <w:snapToGrid w:val="0"/>
                    <w:rPr>
                      <w:rFonts w:hint="eastAsia"/>
                      <w:color w:val="auto"/>
                      <w:kern w:val="0"/>
                      <w:sz w:val="21"/>
                      <w:szCs w:val="21"/>
                    </w:rPr>
                  </w:pPr>
                  <w:r>
                    <w:rPr>
                      <w:rFonts w:hint="eastAsia" w:eastAsia="宋体"/>
                      <w:color w:val="auto"/>
                      <w:sz w:val="21"/>
                      <w:szCs w:val="21"/>
                      <w:lang w:val="en-US" w:eastAsia="zh-CN"/>
                    </w:rPr>
                    <w:t>0.1125</w:t>
                  </w:r>
                </w:p>
              </w:tc>
              <w:tc>
                <w:tcPr>
                  <w:tcW w:w="705" w:type="pct"/>
                  <w:vMerge w:val="continue"/>
                  <w:tcBorders>
                    <w:tl2br w:val="nil"/>
                    <w:tr2bl w:val="nil"/>
                  </w:tcBorders>
                  <w:vAlign w:val="center"/>
                </w:tcPr>
                <w:p w14:paraId="381BC5A2">
                  <w:pPr>
                    <w:adjustRightInd w:val="0"/>
                    <w:snapToGrid w:val="0"/>
                    <w:jc w:val="center"/>
                    <w:rPr>
                      <w:rFonts w:hint="eastAsia"/>
                      <w:color w:val="auto"/>
                      <w:kern w:val="0"/>
                    </w:rPr>
                  </w:pPr>
                </w:p>
              </w:tc>
              <w:tc>
                <w:tcPr>
                  <w:tcW w:w="609" w:type="pct"/>
                  <w:vMerge w:val="continue"/>
                  <w:tcBorders>
                    <w:tl2br w:val="nil"/>
                    <w:tr2bl w:val="nil"/>
                  </w:tcBorders>
                  <w:vAlign w:val="center"/>
                </w:tcPr>
                <w:p w14:paraId="7F959221">
                  <w:pPr>
                    <w:adjustRightInd w:val="0"/>
                    <w:snapToGrid w:val="0"/>
                    <w:jc w:val="center"/>
                    <w:rPr>
                      <w:color w:val="auto"/>
                      <w:kern w:val="0"/>
                    </w:rPr>
                  </w:pPr>
                </w:p>
              </w:tc>
              <w:tc>
                <w:tcPr>
                  <w:tcW w:w="1288" w:type="dxa"/>
                  <w:tcBorders>
                    <w:tl2br w:val="nil"/>
                    <w:tr2bl w:val="nil"/>
                  </w:tcBorders>
                  <w:vAlign w:val="center"/>
                </w:tcPr>
                <w:p w14:paraId="0E160F22">
                  <w:pPr>
                    <w:pStyle w:val="656"/>
                    <w:snapToGrid w:val="0"/>
                    <w:rPr>
                      <w:rFonts w:hint="default" w:eastAsia="宋体"/>
                      <w:color w:val="auto"/>
                      <w:sz w:val="21"/>
                      <w:szCs w:val="21"/>
                      <w:lang w:val="en-US" w:eastAsia="zh-CN"/>
                    </w:rPr>
                  </w:pPr>
                  <w:r>
                    <w:rPr>
                      <w:rFonts w:hint="eastAsia" w:eastAsia="宋体"/>
                      <w:color w:val="auto"/>
                      <w:sz w:val="21"/>
                      <w:szCs w:val="21"/>
                      <w:lang w:val="en-US" w:eastAsia="zh-CN"/>
                    </w:rPr>
                    <w:t>0.05625</w:t>
                  </w:r>
                </w:p>
              </w:tc>
            </w:tr>
            <w:tr w14:paraId="02265B6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vMerge w:val="continue"/>
                  <w:tcBorders>
                    <w:tl2br w:val="nil"/>
                    <w:tr2bl w:val="nil"/>
                  </w:tcBorders>
                  <w:vAlign w:val="center"/>
                </w:tcPr>
                <w:p w14:paraId="008035C6">
                  <w:pPr>
                    <w:topLinePunct/>
                    <w:adjustRightInd w:val="0"/>
                    <w:snapToGrid w:val="0"/>
                    <w:jc w:val="center"/>
                    <w:rPr>
                      <w:rFonts w:hint="eastAsia"/>
                      <w:color w:val="auto"/>
                      <w:kern w:val="0"/>
                      <w:lang w:val="en-US" w:eastAsia="zh-CN"/>
                    </w:rPr>
                  </w:pPr>
                </w:p>
              </w:tc>
              <w:tc>
                <w:tcPr>
                  <w:tcW w:w="727" w:type="pct"/>
                  <w:vMerge w:val="continue"/>
                  <w:tcBorders>
                    <w:tl2br w:val="nil"/>
                    <w:tr2bl w:val="nil"/>
                  </w:tcBorders>
                  <w:vAlign w:val="center"/>
                </w:tcPr>
                <w:p w14:paraId="7F74C799">
                  <w:pPr>
                    <w:topLinePunct/>
                    <w:adjustRightInd w:val="0"/>
                    <w:snapToGrid w:val="0"/>
                    <w:jc w:val="center"/>
                    <w:rPr>
                      <w:rFonts w:hint="eastAsia"/>
                      <w:color w:val="auto"/>
                      <w:kern w:val="0"/>
                    </w:rPr>
                  </w:pPr>
                </w:p>
              </w:tc>
              <w:tc>
                <w:tcPr>
                  <w:tcW w:w="790" w:type="pct"/>
                  <w:tcBorders>
                    <w:tl2br w:val="nil"/>
                    <w:tr2bl w:val="nil"/>
                  </w:tcBorders>
                  <w:vAlign w:val="center"/>
                </w:tcPr>
                <w:p w14:paraId="3413F206">
                  <w:pPr>
                    <w:pStyle w:val="656"/>
                    <w:snapToGrid w:val="0"/>
                    <w:rPr>
                      <w:rFonts w:hint="eastAsia"/>
                      <w:color w:val="auto"/>
                      <w:kern w:val="0"/>
                      <w:sz w:val="21"/>
                      <w:szCs w:val="21"/>
                    </w:rPr>
                  </w:pPr>
                  <w:r>
                    <w:rPr>
                      <w:rFonts w:hint="eastAsia" w:eastAsia="宋体"/>
                      <w:color w:val="auto"/>
                      <w:sz w:val="21"/>
                      <w:szCs w:val="21"/>
                      <w:lang w:val="en-US" w:eastAsia="zh-CN"/>
                    </w:rPr>
                    <w:t>二噁英类</w:t>
                  </w:r>
                </w:p>
              </w:tc>
              <w:tc>
                <w:tcPr>
                  <w:tcW w:w="1347" w:type="dxa"/>
                  <w:tcBorders>
                    <w:tl2br w:val="nil"/>
                    <w:tr2bl w:val="nil"/>
                  </w:tcBorders>
                  <w:vAlign w:val="center"/>
                </w:tcPr>
                <w:p w14:paraId="2A95592D">
                  <w:pPr>
                    <w:pStyle w:val="656"/>
                    <w:snapToGrid w:val="0"/>
                    <w:rPr>
                      <w:rFonts w:hint="eastAsia"/>
                      <w:color w:val="auto"/>
                      <w:kern w:val="0"/>
                      <w:sz w:val="21"/>
                      <w:szCs w:val="21"/>
                    </w:rPr>
                  </w:pPr>
                  <w:r>
                    <w:rPr>
                      <w:rFonts w:hint="eastAsia"/>
                      <w:color w:val="auto"/>
                      <w:sz w:val="21"/>
                      <w:szCs w:val="21"/>
                      <w:lang w:val="en-US" w:eastAsia="zh-CN"/>
                    </w:rPr>
                    <w:t>0.00325</w:t>
                  </w:r>
                  <w:r>
                    <w:rPr>
                      <w:rFonts w:hint="eastAsia"/>
                      <w:color w:val="auto"/>
                      <w:kern w:val="0"/>
                      <w:sz w:val="21"/>
                      <w:szCs w:val="21"/>
                    </w:rPr>
                    <w:t>ngTEQ/</w:t>
                  </w:r>
                  <w:r>
                    <w:rPr>
                      <w:rFonts w:hint="eastAsia"/>
                      <w:color w:val="auto"/>
                      <w:kern w:val="0"/>
                      <w:sz w:val="21"/>
                      <w:szCs w:val="21"/>
                      <w:lang w:val="en-US" w:eastAsia="zh-CN"/>
                    </w:rPr>
                    <w:t>h</w:t>
                  </w:r>
                </w:p>
              </w:tc>
              <w:tc>
                <w:tcPr>
                  <w:tcW w:w="705" w:type="pct"/>
                  <w:vMerge w:val="continue"/>
                  <w:tcBorders>
                    <w:tl2br w:val="nil"/>
                    <w:tr2bl w:val="nil"/>
                  </w:tcBorders>
                  <w:vAlign w:val="center"/>
                </w:tcPr>
                <w:p w14:paraId="1FD604A2">
                  <w:pPr>
                    <w:adjustRightInd w:val="0"/>
                    <w:snapToGrid w:val="0"/>
                    <w:jc w:val="center"/>
                    <w:rPr>
                      <w:rFonts w:hint="eastAsia"/>
                      <w:color w:val="auto"/>
                      <w:kern w:val="0"/>
                    </w:rPr>
                  </w:pPr>
                </w:p>
              </w:tc>
              <w:tc>
                <w:tcPr>
                  <w:tcW w:w="609" w:type="pct"/>
                  <w:vMerge w:val="continue"/>
                  <w:tcBorders>
                    <w:tl2br w:val="nil"/>
                    <w:tr2bl w:val="nil"/>
                  </w:tcBorders>
                  <w:vAlign w:val="center"/>
                </w:tcPr>
                <w:p w14:paraId="72B8BDC5">
                  <w:pPr>
                    <w:adjustRightInd w:val="0"/>
                    <w:snapToGrid w:val="0"/>
                    <w:jc w:val="center"/>
                    <w:rPr>
                      <w:color w:val="auto"/>
                      <w:kern w:val="0"/>
                    </w:rPr>
                  </w:pPr>
                </w:p>
              </w:tc>
              <w:tc>
                <w:tcPr>
                  <w:tcW w:w="726" w:type="pct"/>
                  <w:tcBorders>
                    <w:tl2br w:val="nil"/>
                    <w:tr2bl w:val="nil"/>
                  </w:tcBorders>
                  <w:vAlign w:val="center"/>
                </w:tcPr>
                <w:p w14:paraId="5FA3080B">
                  <w:pPr>
                    <w:adjustRightInd w:val="0"/>
                    <w:snapToGrid w:val="0"/>
                    <w:jc w:val="center"/>
                    <w:rPr>
                      <w:rFonts w:hint="default" w:eastAsia="宋体"/>
                      <w:color w:val="auto"/>
                      <w:kern w:val="0"/>
                      <w:lang w:val="en-US" w:eastAsia="zh-CN"/>
                    </w:rPr>
                  </w:pPr>
                  <w:r>
                    <w:rPr>
                      <w:rFonts w:hint="eastAsia"/>
                      <w:color w:val="auto"/>
                      <w:kern w:val="0"/>
                      <w:lang w:val="en-US" w:eastAsia="zh-CN"/>
                    </w:rPr>
                    <w:t>0.001625</w:t>
                  </w:r>
                  <w:r>
                    <w:rPr>
                      <w:rFonts w:hint="eastAsia"/>
                      <w:color w:val="auto"/>
                      <w:kern w:val="0"/>
                      <w:sz w:val="21"/>
                      <w:szCs w:val="21"/>
                    </w:rPr>
                    <w:t>ngTEQ/</w:t>
                  </w:r>
                  <w:r>
                    <w:rPr>
                      <w:rFonts w:hint="eastAsia"/>
                      <w:color w:val="auto"/>
                      <w:kern w:val="0"/>
                      <w:sz w:val="21"/>
                      <w:szCs w:val="21"/>
                      <w:lang w:val="en-US" w:eastAsia="zh-CN"/>
                    </w:rPr>
                    <w:t>h</w:t>
                  </w:r>
                </w:p>
              </w:tc>
            </w:tr>
          </w:tbl>
          <w:p w14:paraId="3A84FD5B">
            <w:pPr>
              <w:pStyle w:val="695"/>
              <w:snapToGrid w:val="0"/>
              <w:spacing w:line="360" w:lineRule="auto"/>
              <w:ind w:firstLine="420" w:firstLineChars="200"/>
              <w:jc w:val="both"/>
              <w:rPr>
                <w:rFonts w:ascii="Times New Roman"/>
                <w:color w:val="auto"/>
                <w:szCs w:val="21"/>
              </w:rPr>
            </w:pPr>
            <w:r>
              <w:rPr>
                <w:rFonts w:ascii="Times New Roman"/>
                <w:color w:val="auto"/>
                <w:szCs w:val="21"/>
              </w:rPr>
              <w:t>由上表可知，非正常工况下</w:t>
            </w:r>
            <w:r>
              <w:rPr>
                <w:rFonts w:hint="eastAsia" w:ascii="Times New Roman"/>
                <w:color w:val="auto"/>
                <w:szCs w:val="21"/>
              </w:rPr>
              <w:t>污染因子</w:t>
            </w:r>
            <w:r>
              <w:rPr>
                <w:rFonts w:ascii="Times New Roman"/>
                <w:color w:val="auto"/>
                <w:szCs w:val="21"/>
              </w:rPr>
              <w:t>排</w:t>
            </w:r>
            <w:r>
              <w:rPr>
                <w:rFonts w:hint="eastAsia" w:ascii="Times New Roman"/>
                <w:color w:val="auto"/>
                <w:szCs w:val="21"/>
              </w:rPr>
              <w:t>放</w:t>
            </w:r>
            <w:r>
              <w:rPr>
                <w:rFonts w:ascii="Times New Roman"/>
                <w:color w:val="auto"/>
                <w:szCs w:val="21"/>
              </w:rPr>
              <w:t>量</w:t>
            </w:r>
            <w:r>
              <w:rPr>
                <w:rFonts w:hint="eastAsia" w:ascii="Times New Roman"/>
                <w:color w:val="auto"/>
                <w:szCs w:val="21"/>
              </w:rPr>
              <w:t>均有所</w:t>
            </w:r>
            <w:r>
              <w:rPr>
                <w:rFonts w:ascii="Times New Roman"/>
                <w:color w:val="auto"/>
                <w:szCs w:val="21"/>
              </w:rPr>
              <w:t>增加，为确保项目废气处理装置正常运行，建设方在日常运行过程中，拟采取如下措施：</w:t>
            </w:r>
          </w:p>
          <w:p w14:paraId="3A84FD5C">
            <w:pPr>
              <w:pStyle w:val="695"/>
              <w:snapToGrid w:val="0"/>
              <w:spacing w:line="360" w:lineRule="auto"/>
              <w:ind w:firstLine="420" w:firstLineChars="200"/>
              <w:jc w:val="both"/>
              <w:rPr>
                <w:rFonts w:ascii="Times New Roman"/>
                <w:color w:val="auto"/>
                <w:szCs w:val="21"/>
              </w:rPr>
            </w:pPr>
            <w:r>
              <w:rPr>
                <w:rFonts w:hint="eastAsia" w:hAnsi="宋体" w:cs="宋体"/>
                <w:color w:val="auto"/>
                <w:szCs w:val="21"/>
              </w:rPr>
              <w:t>①</w:t>
            </w:r>
            <w:r>
              <w:rPr>
                <w:rFonts w:ascii="Times New Roman"/>
                <w:color w:val="auto"/>
                <w:szCs w:val="21"/>
              </w:rPr>
              <w:t>由公司委派专人负责每日巡检废气处理装置，做好巡检记录；</w:t>
            </w:r>
          </w:p>
          <w:p w14:paraId="3A84FD5D">
            <w:pPr>
              <w:pStyle w:val="695"/>
              <w:snapToGrid w:val="0"/>
              <w:spacing w:line="360" w:lineRule="auto"/>
              <w:ind w:firstLine="420" w:firstLineChars="200"/>
              <w:jc w:val="both"/>
              <w:rPr>
                <w:rFonts w:ascii="Times New Roman"/>
                <w:color w:val="auto"/>
                <w:szCs w:val="21"/>
              </w:rPr>
            </w:pPr>
            <w:r>
              <w:rPr>
                <w:rFonts w:hint="eastAsia" w:hAnsi="宋体" w:cs="宋体"/>
                <w:color w:val="auto"/>
                <w:szCs w:val="21"/>
              </w:rPr>
              <w:t>②</w:t>
            </w:r>
            <w:r>
              <w:rPr>
                <w:rFonts w:ascii="Times New Roman"/>
                <w:color w:val="auto"/>
                <w:szCs w:val="21"/>
              </w:rPr>
              <w:t>当发现废气处理设施故障并导致废气非正常排放时，应立即停止生产，待废气处理装置故障排除后并可正常运行时方可恢复加工生产；</w:t>
            </w:r>
          </w:p>
          <w:p w14:paraId="3A84FD5E">
            <w:pPr>
              <w:pStyle w:val="695"/>
              <w:snapToGrid w:val="0"/>
              <w:spacing w:line="360" w:lineRule="auto"/>
              <w:ind w:firstLine="420" w:firstLineChars="200"/>
              <w:jc w:val="both"/>
              <w:rPr>
                <w:rFonts w:ascii="Times New Roman"/>
                <w:color w:val="auto"/>
                <w:szCs w:val="21"/>
              </w:rPr>
            </w:pPr>
            <w:r>
              <w:rPr>
                <w:rFonts w:hint="eastAsia" w:hAnsi="宋体" w:cs="宋体"/>
                <w:color w:val="auto"/>
                <w:szCs w:val="21"/>
              </w:rPr>
              <w:t>③</w:t>
            </w:r>
            <w:r>
              <w:rPr>
                <w:rFonts w:ascii="Times New Roman"/>
                <w:color w:val="auto"/>
                <w:szCs w:val="21"/>
              </w:rPr>
              <w:t>定期对</w:t>
            </w:r>
            <w:r>
              <w:rPr>
                <w:rFonts w:hint="eastAsia" w:ascii="Times New Roman"/>
                <w:color w:val="auto"/>
                <w:szCs w:val="21"/>
                <w:lang w:val="en-US" w:eastAsia="zh-CN"/>
              </w:rPr>
              <w:t>废气处理</w:t>
            </w:r>
            <w:r>
              <w:rPr>
                <w:rFonts w:ascii="Times New Roman"/>
                <w:color w:val="auto"/>
                <w:szCs w:val="21"/>
              </w:rPr>
              <w:t>装置进行更换及维护保养，保证废气处理装置的正常运行，以减少废气的非正常排放；</w:t>
            </w:r>
          </w:p>
          <w:p w14:paraId="3A84FD5F">
            <w:pPr>
              <w:pStyle w:val="23"/>
              <w:widowControl w:val="0"/>
              <w:ind w:firstLine="420" w:firstLineChars="200"/>
              <w:rPr>
                <w:color w:val="auto"/>
                <w:sz w:val="21"/>
                <w:szCs w:val="21"/>
              </w:rPr>
            </w:pPr>
            <w:r>
              <w:rPr>
                <w:color w:val="auto"/>
                <w:sz w:val="21"/>
                <w:szCs w:val="21"/>
              </w:rPr>
              <w:fldChar w:fldCharType="begin"/>
            </w:r>
            <w:r>
              <w:rPr>
                <w:color w:val="auto"/>
                <w:sz w:val="21"/>
                <w:szCs w:val="21"/>
              </w:rPr>
              <w:instrText xml:space="preserve"> = 4 \* GB3 \* MERGEFORMAT </w:instrText>
            </w:r>
            <w:r>
              <w:rPr>
                <w:color w:val="auto"/>
                <w:sz w:val="21"/>
                <w:szCs w:val="21"/>
              </w:rPr>
              <w:fldChar w:fldCharType="separate"/>
            </w:r>
            <w:r>
              <w:rPr>
                <w:color w:val="auto"/>
                <w:sz w:val="21"/>
                <w:szCs w:val="21"/>
              </w:rPr>
              <w:t>④</w:t>
            </w:r>
            <w:r>
              <w:rPr>
                <w:color w:val="auto"/>
                <w:sz w:val="21"/>
                <w:szCs w:val="21"/>
              </w:rPr>
              <w:fldChar w:fldCharType="end"/>
            </w:r>
            <w:r>
              <w:rPr>
                <w:color w:val="auto"/>
                <w:sz w:val="21"/>
                <w:szCs w:val="21"/>
              </w:rPr>
              <w:t>建立废气处理装置运行管理台账，由专人负责记录。</w:t>
            </w:r>
          </w:p>
          <w:p w14:paraId="3A84FD60">
            <w:pPr>
              <w:adjustRightInd w:val="0"/>
              <w:snapToGrid w:val="0"/>
              <w:spacing w:line="360" w:lineRule="auto"/>
              <w:ind w:firstLine="422" w:firstLineChars="200"/>
              <w:jc w:val="left"/>
              <w:rPr>
                <w:color w:val="auto"/>
                <w:kern w:val="0"/>
              </w:rPr>
            </w:pPr>
            <w:r>
              <w:rPr>
                <w:rFonts w:hint="eastAsia"/>
                <w:b/>
                <w:bCs/>
                <w:color w:val="auto"/>
                <w:kern w:val="0"/>
              </w:rPr>
              <w:t>（3）废气排放源基本情况</w:t>
            </w:r>
          </w:p>
          <w:p w14:paraId="3A84FD61">
            <w:pPr>
              <w:jc w:val="center"/>
              <w:rPr>
                <w:b/>
                <w:color w:val="auto"/>
                <w:kern w:val="0"/>
                <w:lang w:bidi="ar"/>
              </w:rPr>
            </w:pPr>
            <w:r>
              <w:rPr>
                <w:rFonts w:hint="eastAsia"/>
                <w:b/>
                <w:color w:val="auto"/>
                <w:kern w:val="0"/>
                <w:lang w:bidi="ar"/>
              </w:rPr>
              <w:t>表4-</w:t>
            </w:r>
            <w:r>
              <w:rPr>
                <w:rFonts w:hint="eastAsia"/>
                <w:b/>
                <w:color w:val="auto"/>
                <w:kern w:val="0"/>
                <w:lang w:val="en-US" w:eastAsia="zh-CN" w:bidi="ar"/>
              </w:rPr>
              <w:t>3</w:t>
            </w:r>
            <w:r>
              <w:rPr>
                <w:rFonts w:hint="eastAsia"/>
                <w:b/>
                <w:color w:val="auto"/>
                <w:kern w:val="0"/>
                <w:lang w:bidi="ar"/>
              </w:rPr>
              <w:t xml:space="preserve">   点源参数表</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79"/>
              <w:gridCol w:w="656"/>
              <w:gridCol w:w="658"/>
              <w:gridCol w:w="844"/>
              <w:gridCol w:w="1022"/>
              <w:gridCol w:w="665"/>
              <w:gridCol w:w="892"/>
              <w:gridCol w:w="1022"/>
              <w:gridCol w:w="779"/>
              <w:gridCol w:w="1298"/>
              <w:gridCol w:w="1074"/>
            </w:tblGrid>
            <w:tr w14:paraId="1040530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54" w:type="pct"/>
                  <w:vMerge w:val="restart"/>
                  <w:tcBorders>
                    <w:tl2br w:val="nil"/>
                    <w:tr2bl w:val="nil"/>
                  </w:tcBorders>
                  <w:shd w:val="clear" w:color="auto" w:fill="auto"/>
                  <w:vAlign w:val="center"/>
                </w:tcPr>
                <w:p w14:paraId="3A84FD62">
                  <w:pPr>
                    <w:adjustRightInd w:val="0"/>
                    <w:snapToGrid w:val="0"/>
                    <w:jc w:val="center"/>
                    <w:rPr>
                      <w:b/>
                      <w:color w:val="auto"/>
                      <w:kern w:val="0"/>
                      <w:sz w:val="18"/>
                      <w:szCs w:val="18"/>
                      <w:lang w:bidi="ar"/>
                    </w:rPr>
                  </w:pPr>
                  <w:r>
                    <w:rPr>
                      <w:rFonts w:hint="eastAsia"/>
                      <w:b/>
                      <w:color w:val="auto"/>
                      <w:kern w:val="0"/>
                      <w:sz w:val="18"/>
                      <w:szCs w:val="18"/>
                      <w:lang w:bidi="ar"/>
                    </w:rPr>
                    <w:t>名称</w:t>
                  </w:r>
                </w:p>
              </w:tc>
              <w:tc>
                <w:tcPr>
                  <w:tcW w:w="685" w:type="pct"/>
                  <w:gridSpan w:val="2"/>
                  <w:tcBorders>
                    <w:tl2br w:val="nil"/>
                    <w:tr2bl w:val="nil"/>
                  </w:tcBorders>
                  <w:shd w:val="clear" w:color="auto" w:fill="auto"/>
                  <w:vAlign w:val="center"/>
                </w:tcPr>
                <w:p w14:paraId="3A84FD63">
                  <w:pPr>
                    <w:adjustRightInd w:val="0"/>
                    <w:snapToGrid w:val="0"/>
                    <w:jc w:val="center"/>
                    <w:rPr>
                      <w:b/>
                      <w:color w:val="auto"/>
                      <w:kern w:val="0"/>
                      <w:sz w:val="18"/>
                      <w:szCs w:val="18"/>
                      <w:lang w:bidi="ar"/>
                    </w:rPr>
                  </w:pPr>
                  <w:r>
                    <w:rPr>
                      <w:rFonts w:hint="eastAsia"/>
                      <w:b/>
                      <w:color w:val="auto"/>
                      <w:kern w:val="0"/>
                      <w:sz w:val="18"/>
                      <w:szCs w:val="18"/>
                      <w:lang w:bidi="ar"/>
                    </w:rPr>
                    <w:t>排气筒底部中心坐标m</w:t>
                  </w:r>
                </w:p>
              </w:tc>
              <w:tc>
                <w:tcPr>
                  <w:tcW w:w="440" w:type="pct"/>
                  <w:vMerge w:val="restart"/>
                  <w:tcBorders>
                    <w:tl2br w:val="nil"/>
                    <w:tr2bl w:val="nil"/>
                  </w:tcBorders>
                  <w:shd w:val="clear" w:color="auto" w:fill="auto"/>
                  <w:vAlign w:val="center"/>
                </w:tcPr>
                <w:p w14:paraId="3A84FD64">
                  <w:pPr>
                    <w:adjustRightInd w:val="0"/>
                    <w:snapToGrid w:val="0"/>
                    <w:jc w:val="center"/>
                    <w:rPr>
                      <w:b/>
                      <w:color w:val="auto"/>
                      <w:kern w:val="0"/>
                      <w:sz w:val="18"/>
                      <w:szCs w:val="18"/>
                      <w:lang w:bidi="ar"/>
                    </w:rPr>
                  </w:pPr>
                  <w:r>
                    <w:rPr>
                      <w:rFonts w:hint="eastAsia"/>
                      <w:b/>
                      <w:color w:val="auto"/>
                      <w:kern w:val="0"/>
                      <w:sz w:val="18"/>
                      <w:szCs w:val="18"/>
                      <w:lang w:bidi="ar"/>
                    </w:rPr>
                    <w:t>排气筒高度m</w:t>
                  </w:r>
                </w:p>
              </w:tc>
              <w:tc>
                <w:tcPr>
                  <w:tcW w:w="533" w:type="pct"/>
                  <w:vMerge w:val="restart"/>
                  <w:tcBorders>
                    <w:tl2br w:val="nil"/>
                    <w:tr2bl w:val="nil"/>
                  </w:tcBorders>
                  <w:shd w:val="clear" w:color="auto" w:fill="auto"/>
                  <w:vAlign w:val="center"/>
                </w:tcPr>
                <w:p w14:paraId="3A84FD65">
                  <w:pPr>
                    <w:adjustRightInd w:val="0"/>
                    <w:snapToGrid w:val="0"/>
                    <w:jc w:val="center"/>
                    <w:rPr>
                      <w:b/>
                      <w:color w:val="auto"/>
                      <w:kern w:val="0"/>
                      <w:sz w:val="18"/>
                      <w:szCs w:val="18"/>
                      <w:lang w:bidi="ar"/>
                    </w:rPr>
                  </w:pPr>
                  <w:r>
                    <w:rPr>
                      <w:rFonts w:hint="eastAsia"/>
                      <w:b/>
                      <w:color w:val="auto"/>
                      <w:kern w:val="0"/>
                      <w:sz w:val="18"/>
                      <w:szCs w:val="18"/>
                      <w:lang w:bidi="ar"/>
                    </w:rPr>
                    <w:t>排气筒出口内径m</w:t>
                  </w:r>
                </w:p>
              </w:tc>
              <w:tc>
                <w:tcPr>
                  <w:tcW w:w="347" w:type="pct"/>
                  <w:vMerge w:val="restart"/>
                  <w:tcBorders>
                    <w:tl2br w:val="nil"/>
                    <w:tr2bl w:val="nil"/>
                  </w:tcBorders>
                  <w:shd w:val="clear" w:color="auto" w:fill="auto"/>
                  <w:vAlign w:val="center"/>
                </w:tcPr>
                <w:p w14:paraId="3A84FD66">
                  <w:pPr>
                    <w:adjustRightInd w:val="0"/>
                    <w:snapToGrid w:val="0"/>
                    <w:jc w:val="center"/>
                    <w:rPr>
                      <w:b/>
                      <w:color w:val="auto"/>
                      <w:kern w:val="0"/>
                      <w:sz w:val="18"/>
                      <w:szCs w:val="18"/>
                      <w:lang w:bidi="ar"/>
                    </w:rPr>
                  </w:pPr>
                  <w:r>
                    <w:rPr>
                      <w:b/>
                      <w:color w:val="auto"/>
                      <w:kern w:val="0"/>
                      <w:sz w:val="18"/>
                      <w:szCs w:val="18"/>
                      <w:lang w:bidi="ar"/>
                    </w:rPr>
                    <w:t>温度/℃</w:t>
                  </w:r>
                </w:p>
              </w:tc>
              <w:tc>
                <w:tcPr>
                  <w:tcW w:w="465" w:type="pct"/>
                  <w:vMerge w:val="restart"/>
                  <w:tcBorders>
                    <w:tl2br w:val="nil"/>
                    <w:tr2bl w:val="nil"/>
                  </w:tcBorders>
                  <w:shd w:val="clear" w:color="auto" w:fill="auto"/>
                  <w:vAlign w:val="center"/>
                </w:tcPr>
                <w:p w14:paraId="3A84FD67">
                  <w:pPr>
                    <w:adjustRightInd w:val="0"/>
                    <w:snapToGrid w:val="0"/>
                    <w:jc w:val="center"/>
                    <w:rPr>
                      <w:b/>
                      <w:color w:val="auto"/>
                      <w:kern w:val="0"/>
                      <w:sz w:val="18"/>
                      <w:szCs w:val="18"/>
                      <w:lang w:bidi="ar"/>
                    </w:rPr>
                  </w:pPr>
                  <w:r>
                    <w:rPr>
                      <w:rFonts w:hint="eastAsia"/>
                      <w:b/>
                      <w:color w:val="auto"/>
                      <w:kern w:val="0"/>
                      <w:sz w:val="18"/>
                      <w:szCs w:val="18"/>
                      <w:lang w:bidi="ar"/>
                    </w:rPr>
                    <w:t>烟气流速m/s</w:t>
                  </w:r>
                </w:p>
              </w:tc>
              <w:tc>
                <w:tcPr>
                  <w:tcW w:w="533" w:type="pct"/>
                  <w:vMerge w:val="restart"/>
                  <w:tcBorders>
                    <w:tl2br w:val="nil"/>
                    <w:tr2bl w:val="nil"/>
                  </w:tcBorders>
                  <w:shd w:val="clear" w:color="auto" w:fill="auto"/>
                  <w:vAlign w:val="center"/>
                </w:tcPr>
                <w:p w14:paraId="3A84FD68">
                  <w:pPr>
                    <w:adjustRightInd w:val="0"/>
                    <w:snapToGrid w:val="0"/>
                    <w:jc w:val="center"/>
                    <w:rPr>
                      <w:b/>
                      <w:color w:val="auto"/>
                      <w:kern w:val="0"/>
                      <w:sz w:val="18"/>
                      <w:szCs w:val="18"/>
                      <w:lang w:bidi="ar"/>
                    </w:rPr>
                  </w:pPr>
                  <w:r>
                    <w:rPr>
                      <w:rFonts w:hint="eastAsia"/>
                      <w:b/>
                      <w:color w:val="auto"/>
                      <w:kern w:val="0"/>
                      <w:sz w:val="18"/>
                      <w:szCs w:val="18"/>
                      <w:lang w:bidi="ar"/>
                    </w:rPr>
                    <w:t>年排放小时数/h</w:t>
                  </w:r>
                </w:p>
              </w:tc>
              <w:tc>
                <w:tcPr>
                  <w:tcW w:w="406" w:type="pct"/>
                  <w:vMerge w:val="restart"/>
                  <w:tcBorders>
                    <w:tl2br w:val="nil"/>
                    <w:tr2bl w:val="nil"/>
                  </w:tcBorders>
                  <w:shd w:val="clear" w:color="auto" w:fill="auto"/>
                  <w:vAlign w:val="center"/>
                </w:tcPr>
                <w:p w14:paraId="3A84FD69">
                  <w:pPr>
                    <w:adjustRightInd w:val="0"/>
                    <w:snapToGrid w:val="0"/>
                    <w:jc w:val="center"/>
                    <w:rPr>
                      <w:b/>
                      <w:color w:val="auto"/>
                      <w:kern w:val="0"/>
                      <w:sz w:val="18"/>
                      <w:szCs w:val="18"/>
                      <w:lang w:bidi="ar"/>
                    </w:rPr>
                  </w:pPr>
                  <w:r>
                    <w:rPr>
                      <w:rFonts w:hint="eastAsia"/>
                      <w:b/>
                      <w:color w:val="auto"/>
                      <w:kern w:val="0"/>
                      <w:sz w:val="18"/>
                      <w:szCs w:val="18"/>
                      <w:lang w:bidi="ar"/>
                    </w:rPr>
                    <w:t>排放工况</w:t>
                  </w:r>
                </w:p>
              </w:tc>
              <w:tc>
                <w:tcPr>
                  <w:tcW w:w="677" w:type="pct"/>
                  <w:vMerge w:val="restart"/>
                  <w:tcBorders>
                    <w:tl2br w:val="nil"/>
                    <w:tr2bl w:val="nil"/>
                  </w:tcBorders>
                  <w:shd w:val="clear" w:color="auto" w:fill="auto"/>
                  <w:vAlign w:val="center"/>
                </w:tcPr>
                <w:p w14:paraId="3A84FD6A">
                  <w:pPr>
                    <w:adjustRightInd w:val="0"/>
                    <w:snapToGrid w:val="0"/>
                    <w:jc w:val="center"/>
                    <w:rPr>
                      <w:rFonts w:hint="eastAsia" w:eastAsia="宋体"/>
                      <w:b/>
                      <w:color w:val="auto"/>
                      <w:kern w:val="0"/>
                      <w:sz w:val="18"/>
                      <w:szCs w:val="18"/>
                      <w:lang w:val="en-US" w:eastAsia="zh-CN" w:bidi="ar"/>
                    </w:rPr>
                  </w:pPr>
                  <w:r>
                    <w:rPr>
                      <w:rFonts w:hint="eastAsia"/>
                      <w:b/>
                      <w:color w:val="auto"/>
                      <w:kern w:val="0"/>
                      <w:sz w:val="18"/>
                      <w:szCs w:val="18"/>
                      <w:lang w:val="en-US" w:eastAsia="zh-CN" w:bidi="ar"/>
                    </w:rPr>
                    <w:t>污染因子</w:t>
                  </w:r>
                </w:p>
              </w:tc>
              <w:tc>
                <w:tcPr>
                  <w:tcW w:w="554" w:type="pct"/>
                  <w:vMerge w:val="restart"/>
                  <w:tcBorders>
                    <w:tl2br w:val="nil"/>
                    <w:tr2bl w:val="nil"/>
                  </w:tcBorders>
                  <w:shd w:val="clear" w:color="auto" w:fill="auto"/>
                  <w:vAlign w:val="center"/>
                </w:tcPr>
                <w:p w14:paraId="6D6C1A45">
                  <w:pPr>
                    <w:adjustRightInd w:val="0"/>
                    <w:snapToGrid w:val="0"/>
                    <w:jc w:val="center"/>
                    <w:rPr>
                      <w:rFonts w:hint="eastAsia"/>
                      <w:b/>
                      <w:color w:val="auto"/>
                      <w:kern w:val="0"/>
                      <w:sz w:val="18"/>
                      <w:szCs w:val="18"/>
                      <w:lang w:bidi="ar"/>
                    </w:rPr>
                  </w:pPr>
                  <w:r>
                    <w:rPr>
                      <w:rFonts w:hint="eastAsia"/>
                      <w:b/>
                      <w:color w:val="auto"/>
                      <w:kern w:val="0"/>
                      <w:sz w:val="18"/>
                      <w:szCs w:val="18"/>
                      <w:lang w:bidi="ar"/>
                    </w:rPr>
                    <w:t>速率kg/h</w:t>
                  </w:r>
                </w:p>
              </w:tc>
            </w:tr>
            <w:tr w14:paraId="1B1816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54" w:type="pct"/>
                  <w:vMerge w:val="continue"/>
                  <w:tcBorders>
                    <w:tl2br w:val="nil"/>
                    <w:tr2bl w:val="nil"/>
                  </w:tcBorders>
                  <w:shd w:val="clear" w:color="auto" w:fill="auto"/>
                  <w:vAlign w:val="center"/>
                </w:tcPr>
                <w:p w14:paraId="3A84FD6C">
                  <w:pPr>
                    <w:adjustRightInd w:val="0"/>
                    <w:snapToGrid w:val="0"/>
                    <w:jc w:val="center"/>
                    <w:rPr>
                      <w:b/>
                      <w:color w:val="auto"/>
                      <w:kern w:val="0"/>
                      <w:sz w:val="18"/>
                      <w:szCs w:val="18"/>
                      <w:lang w:bidi="ar"/>
                    </w:rPr>
                  </w:pPr>
                </w:p>
              </w:tc>
              <w:tc>
                <w:tcPr>
                  <w:tcW w:w="342" w:type="pct"/>
                  <w:tcBorders>
                    <w:tl2br w:val="nil"/>
                    <w:tr2bl w:val="nil"/>
                  </w:tcBorders>
                  <w:shd w:val="clear" w:color="auto" w:fill="auto"/>
                  <w:vAlign w:val="center"/>
                </w:tcPr>
                <w:p w14:paraId="3A84FD6D">
                  <w:pPr>
                    <w:adjustRightInd w:val="0"/>
                    <w:snapToGrid w:val="0"/>
                    <w:jc w:val="center"/>
                    <w:rPr>
                      <w:b/>
                      <w:color w:val="auto"/>
                      <w:kern w:val="0"/>
                      <w:sz w:val="18"/>
                      <w:szCs w:val="18"/>
                      <w:lang w:bidi="ar"/>
                    </w:rPr>
                  </w:pPr>
                  <w:r>
                    <w:rPr>
                      <w:rFonts w:hint="eastAsia"/>
                      <w:b/>
                      <w:color w:val="auto"/>
                      <w:kern w:val="0"/>
                      <w:sz w:val="18"/>
                      <w:szCs w:val="18"/>
                      <w:lang w:bidi="ar"/>
                    </w:rPr>
                    <w:t>x</w:t>
                  </w:r>
                </w:p>
              </w:tc>
              <w:tc>
                <w:tcPr>
                  <w:tcW w:w="343" w:type="pct"/>
                  <w:tcBorders>
                    <w:tl2br w:val="nil"/>
                    <w:tr2bl w:val="nil"/>
                  </w:tcBorders>
                  <w:shd w:val="clear" w:color="auto" w:fill="auto"/>
                  <w:vAlign w:val="center"/>
                </w:tcPr>
                <w:p w14:paraId="3A84FD6E">
                  <w:pPr>
                    <w:adjustRightInd w:val="0"/>
                    <w:snapToGrid w:val="0"/>
                    <w:jc w:val="center"/>
                    <w:rPr>
                      <w:b/>
                      <w:color w:val="auto"/>
                      <w:kern w:val="0"/>
                      <w:sz w:val="18"/>
                      <w:szCs w:val="18"/>
                      <w:lang w:bidi="ar"/>
                    </w:rPr>
                  </w:pPr>
                  <w:r>
                    <w:rPr>
                      <w:rFonts w:hint="eastAsia"/>
                      <w:b/>
                      <w:color w:val="auto"/>
                      <w:kern w:val="0"/>
                      <w:sz w:val="18"/>
                      <w:szCs w:val="18"/>
                      <w:lang w:bidi="ar"/>
                    </w:rPr>
                    <w:t>y</w:t>
                  </w:r>
                </w:p>
              </w:tc>
              <w:tc>
                <w:tcPr>
                  <w:tcW w:w="440" w:type="pct"/>
                  <w:vMerge w:val="continue"/>
                  <w:tcBorders>
                    <w:tl2br w:val="nil"/>
                    <w:tr2bl w:val="nil"/>
                  </w:tcBorders>
                  <w:shd w:val="clear" w:color="auto" w:fill="auto"/>
                  <w:vAlign w:val="center"/>
                </w:tcPr>
                <w:p w14:paraId="3A84FD6F">
                  <w:pPr>
                    <w:adjustRightInd w:val="0"/>
                    <w:snapToGrid w:val="0"/>
                    <w:jc w:val="center"/>
                    <w:rPr>
                      <w:b/>
                      <w:color w:val="auto"/>
                      <w:kern w:val="0"/>
                      <w:sz w:val="18"/>
                      <w:szCs w:val="18"/>
                      <w:lang w:bidi="ar"/>
                    </w:rPr>
                  </w:pPr>
                </w:p>
              </w:tc>
              <w:tc>
                <w:tcPr>
                  <w:tcW w:w="533" w:type="pct"/>
                  <w:vMerge w:val="continue"/>
                  <w:tcBorders>
                    <w:tl2br w:val="nil"/>
                    <w:tr2bl w:val="nil"/>
                  </w:tcBorders>
                  <w:shd w:val="clear" w:color="auto" w:fill="auto"/>
                  <w:vAlign w:val="center"/>
                </w:tcPr>
                <w:p w14:paraId="3A84FD70">
                  <w:pPr>
                    <w:adjustRightInd w:val="0"/>
                    <w:snapToGrid w:val="0"/>
                    <w:jc w:val="center"/>
                    <w:rPr>
                      <w:b/>
                      <w:color w:val="auto"/>
                      <w:kern w:val="0"/>
                      <w:sz w:val="18"/>
                      <w:szCs w:val="18"/>
                      <w:lang w:bidi="ar"/>
                    </w:rPr>
                  </w:pPr>
                </w:p>
              </w:tc>
              <w:tc>
                <w:tcPr>
                  <w:tcW w:w="347" w:type="pct"/>
                  <w:vMerge w:val="continue"/>
                  <w:tcBorders>
                    <w:tl2br w:val="nil"/>
                    <w:tr2bl w:val="nil"/>
                  </w:tcBorders>
                  <w:shd w:val="clear" w:color="auto" w:fill="auto"/>
                  <w:vAlign w:val="center"/>
                </w:tcPr>
                <w:p w14:paraId="3A84FD71">
                  <w:pPr>
                    <w:adjustRightInd w:val="0"/>
                    <w:snapToGrid w:val="0"/>
                    <w:jc w:val="center"/>
                    <w:rPr>
                      <w:b/>
                      <w:color w:val="auto"/>
                      <w:kern w:val="0"/>
                      <w:sz w:val="18"/>
                      <w:szCs w:val="18"/>
                      <w:lang w:bidi="ar"/>
                    </w:rPr>
                  </w:pPr>
                </w:p>
              </w:tc>
              <w:tc>
                <w:tcPr>
                  <w:tcW w:w="465" w:type="pct"/>
                  <w:vMerge w:val="continue"/>
                  <w:tcBorders>
                    <w:tl2br w:val="nil"/>
                    <w:tr2bl w:val="nil"/>
                  </w:tcBorders>
                  <w:shd w:val="clear" w:color="auto" w:fill="auto"/>
                  <w:vAlign w:val="center"/>
                </w:tcPr>
                <w:p w14:paraId="3A84FD72">
                  <w:pPr>
                    <w:adjustRightInd w:val="0"/>
                    <w:snapToGrid w:val="0"/>
                    <w:jc w:val="center"/>
                    <w:rPr>
                      <w:b/>
                      <w:color w:val="auto"/>
                      <w:kern w:val="0"/>
                      <w:sz w:val="18"/>
                      <w:szCs w:val="18"/>
                      <w:lang w:bidi="ar"/>
                    </w:rPr>
                  </w:pPr>
                </w:p>
              </w:tc>
              <w:tc>
                <w:tcPr>
                  <w:tcW w:w="533" w:type="pct"/>
                  <w:vMerge w:val="continue"/>
                  <w:tcBorders>
                    <w:tl2br w:val="nil"/>
                    <w:tr2bl w:val="nil"/>
                  </w:tcBorders>
                  <w:shd w:val="clear" w:color="auto" w:fill="auto"/>
                  <w:vAlign w:val="center"/>
                </w:tcPr>
                <w:p w14:paraId="3A84FD73">
                  <w:pPr>
                    <w:adjustRightInd w:val="0"/>
                    <w:snapToGrid w:val="0"/>
                    <w:jc w:val="center"/>
                    <w:rPr>
                      <w:b/>
                      <w:color w:val="auto"/>
                      <w:kern w:val="0"/>
                      <w:sz w:val="18"/>
                      <w:szCs w:val="18"/>
                      <w:lang w:bidi="ar"/>
                    </w:rPr>
                  </w:pPr>
                </w:p>
              </w:tc>
              <w:tc>
                <w:tcPr>
                  <w:tcW w:w="406" w:type="pct"/>
                  <w:vMerge w:val="continue"/>
                  <w:tcBorders>
                    <w:tl2br w:val="nil"/>
                    <w:tr2bl w:val="nil"/>
                  </w:tcBorders>
                  <w:shd w:val="clear" w:color="auto" w:fill="auto"/>
                  <w:vAlign w:val="center"/>
                </w:tcPr>
                <w:p w14:paraId="3A84FD74">
                  <w:pPr>
                    <w:adjustRightInd w:val="0"/>
                    <w:snapToGrid w:val="0"/>
                    <w:jc w:val="center"/>
                    <w:rPr>
                      <w:b/>
                      <w:color w:val="auto"/>
                      <w:kern w:val="0"/>
                      <w:sz w:val="18"/>
                      <w:szCs w:val="18"/>
                      <w:lang w:bidi="ar"/>
                    </w:rPr>
                  </w:pPr>
                </w:p>
              </w:tc>
              <w:tc>
                <w:tcPr>
                  <w:tcW w:w="677" w:type="pct"/>
                  <w:vMerge w:val="continue"/>
                  <w:tcBorders>
                    <w:tl2br w:val="nil"/>
                    <w:tr2bl w:val="nil"/>
                  </w:tcBorders>
                  <w:shd w:val="clear" w:color="auto" w:fill="auto"/>
                  <w:vAlign w:val="center"/>
                </w:tcPr>
                <w:p w14:paraId="3A84FD75">
                  <w:pPr>
                    <w:adjustRightInd w:val="0"/>
                    <w:snapToGrid w:val="0"/>
                    <w:jc w:val="center"/>
                    <w:rPr>
                      <w:b/>
                      <w:color w:val="auto"/>
                      <w:kern w:val="0"/>
                      <w:sz w:val="18"/>
                      <w:szCs w:val="18"/>
                      <w:lang w:bidi="ar"/>
                    </w:rPr>
                  </w:pPr>
                </w:p>
              </w:tc>
              <w:tc>
                <w:tcPr>
                  <w:tcW w:w="554" w:type="pct"/>
                  <w:vMerge w:val="continue"/>
                  <w:tcBorders>
                    <w:tl2br w:val="nil"/>
                    <w:tr2bl w:val="nil"/>
                  </w:tcBorders>
                  <w:shd w:val="clear" w:color="auto" w:fill="auto"/>
                  <w:vAlign w:val="center"/>
                </w:tcPr>
                <w:p w14:paraId="52B2D356">
                  <w:pPr>
                    <w:adjustRightInd w:val="0"/>
                    <w:snapToGrid w:val="0"/>
                    <w:jc w:val="center"/>
                    <w:rPr>
                      <w:rFonts w:hint="eastAsia"/>
                      <w:b/>
                      <w:color w:val="auto"/>
                      <w:kern w:val="0"/>
                      <w:sz w:val="18"/>
                      <w:szCs w:val="18"/>
                      <w:lang w:bidi="ar"/>
                    </w:rPr>
                  </w:pPr>
                </w:p>
              </w:tc>
            </w:tr>
            <w:tr w14:paraId="502CBDC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54" w:type="pct"/>
                  <w:vMerge w:val="restart"/>
                  <w:tcBorders>
                    <w:tl2br w:val="nil"/>
                    <w:tr2bl w:val="nil"/>
                  </w:tcBorders>
                  <w:shd w:val="clear" w:color="auto" w:fill="auto"/>
                  <w:vAlign w:val="center"/>
                </w:tcPr>
                <w:p w14:paraId="3A84FD77">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3#</w:t>
                  </w:r>
                </w:p>
              </w:tc>
              <w:tc>
                <w:tcPr>
                  <w:tcW w:w="342" w:type="pct"/>
                  <w:vMerge w:val="restart"/>
                  <w:tcBorders>
                    <w:tl2br w:val="nil"/>
                    <w:tr2bl w:val="nil"/>
                  </w:tcBorders>
                  <w:shd w:val="clear" w:color="auto" w:fill="auto"/>
                  <w:vAlign w:val="center"/>
                </w:tcPr>
                <w:p w14:paraId="3A84FD78">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350</w:t>
                  </w:r>
                </w:p>
              </w:tc>
              <w:tc>
                <w:tcPr>
                  <w:tcW w:w="343" w:type="pct"/>
                  <w:vMerge w:val="restart"/>
                  <w:tcBorders>
                    <w:tl2br w:val="nil"/>
                    <w:tr2bl w:val="nil"/>
                  </w:tcBorders>
                  <w:shd w:val="clear" w:color="auto" w:fill="auto"/>
                  <w:vAlign w:val="center"/>
                </w:tcPr>
                <w:p w14:paraId="3A84FD79">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-110</w:t>
                  </w:r>
                </w:p>
              </w:tc>
              <w:tc>
                <w:tcPr>
                  <w:tcW w:w="440" w:type="pct"/>
                  <w:vMerge w:val="restart"/>
                  <w:tcBorders>
                    <w:tl2br w:val="nil"/>
                    <w:tr2bl w:val="nil"/>
                  </w:tcBorders>
                  <w:shd w:val="clear" w:color="auto" w:fill="auto"/>
                  <w:vAlign w:val="center"/>
                </w:tcPr>
                <w:p w14:paraId="3A84FD7A">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25</w:t>
                  </w:r>
                </w:p>
              </w:tc>
              <w:tc>
                <w:tcPr>
                  <w:tcW w:w="533" w:type="pct"/>
                  <w:vMerge w:val="restart"/>
                  <w:tcBorders>
                    <w:tl2br w:val="nil"/>
                    <w:tr2bl w:val="nil"/>
                  </w:tcBorders>
                  <w:shd w:val="clear" w:color="auto" w:fill="auto"/>
                  <w:vAlign w:val="center"/>
                </w:tcPr>
                <w:p w14:paraId="3A84FD7B">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0.5</w:t>
                  </w:r>
                </w:p>
              </w:tc>
              <w:tc>
                <w:tcPr>
                  <w:tcW w:w="347" w:type="pct"/>
                  <w:vMerge w:val="restart"/>
                  <w:tcBorders>
                    <w:tl2br w:val="nil"/>
                    <w:tr2bl w:val="nil"/>
                  </w:tcBorders>
                  <w:shd w:val="clear" w:color="auto" w:fill="auto"/>
                  <w:vAlign w:val="center"/>
                </w:tcPr>
                <w:p w14:paraId="3A84FD7C">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120-150</w:t>
                  </w:r>
                </w:p>
              </w:tc>
              <w:tc>
                <w:tcPr>
                  <w:tcW w:w="465" w:type="pct"/>
                  <w:vMerge w:val="restart"/>
                  <w:tcBorders>
                    <w:tl2br w:val="nil"/>
                    <w:tr2bl w:val="nil"/>
                  </w:tcBorders>
                  <w:shd w:val="clear" w:color="auto" w:fill="auto"/>
                  <w:vAlign w:val="center"/>
                </w:tcPr>
                <w:p w14:paraId="3A84FD7D">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9.2</w:t>
                  </w:r>
                </w:p>
              </w:tc>
              <w:tc>
                <w:tcPr>
                  <w:tcW w:w="533" w:type="pct"/>
                  <w:vMerge w:val="restart"/>
                  <w:tcBorders>
                    <w:tl2br w:val="nil"/>
                    <w:tr2bl w:val="nil"/>
                  </w:tcBorders>
                  <w:shd w:val="clear" w:color="auto" w:fill="auto"/>
                  <w:vAlign w:val="center"/>
                </w:tcPr>
                <w:p w14:paraId="3A84FD7E">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4000</w:t>
                  </w:r>
                </w:p>
              </w:tc>
              <w:tc>
                <w:tcPr>
                  <w:tcW w:w="406" w:type="pct"/>
                  <w:vMerge w:val="restart"/>
                  <w:tcBorders>
                    <w:tl2br w:val="nil"/>
                    <w:tr2bl w:val="nil"/>
                  </w:tcBorders>
                  <w:shd w:val="clear" w:color="auto" w:fill="auto"/>
                  <w:vAlign w:val="center"/>
                </w:tcPr>
                <w:p w14:paraId="3A84FD7F">
                  <w:pPr>
                    <w:adjustRightInd w:val="0"/>
                    <w:snapToGrid w:val="0"/>
                    <w:jc w:val="center"/>
                    <w:rPr>
                      <w:bCs/>
                      <w:color w:val="auto"/>
                      <w:kern w:val="0"/>
                      <w:sz w:val="18"/>
                      <w:szCs w:val="18"/>
                      <w:lang w:bidi="ar"/>
                    </w:rPr>
                  </w:pPr>
                  <w:r>
                    <w:rPr>
                      <w:rFonts w:hint="eastAsia"/>
                      <w:bCs/>
                      <w:color w:val="auto"/>
                      <w:kern w:val="0"/>
                      <w:sz w:val="18"/>
                      <w:szCs w:val="18"/>
                      <w:lang w:bidi="ar"/>
                    </w:rPr>
                    <w:t>连续</w:t>
                  </w:r>
                </w:p>
              </w:tc>
              <w:tc>
                <w:tcPr>
                  <w:tcW w:w="677" w:type="pct"/>
                  <w:tcBorders>
                    <w:tl2br w:val="nil"/>
                    <w:tr2bl w:val="nil"/>
                  </w:tcBorders>
                  <w:shd w:val="clear" w:color="auto" w:fill="auto"/>
                  <w:vAlign w:val="center"/>
                </w:tcPr>
                <w:p w14:paraId="3A84FD80">
                  <w:pPr>
                    <w:pStyle w:val="656"/>
                    <w:snapToGrid w:val="0"/>
                    <w:rPr>
                      <w:bCs/>
                      <w:color w:val="auto"/>
                      <w:kern w:val="0"/>
                      <w:sz w:val="18"/>
                      <w:szCs w:val="18"/>
                      <w:lang w:bidi="ar"/>
                    </w:rPr>
                  </w:pPr>
                  <w:r>
                    <w:rPr>
                      <w:rFonts w:hint="eastAsia" w:eastAsia="宋体"/>
                      <w:color w:val="auto"/>
                      <w:sz w:val="18"/>
                      <w:szCs w:val="18"/>
                      <w:lang w:val="en-US" w:eastAsia="zh-CN"/>
                    </w:rPr>
                    <w:t>颗粒物</w:t>
                  </w:r>
                </w:p>
              </w:tc>
              <w:tc>
                <w:tcPr>
                  <w:tcW w:w="992" w:type="dxa"/>
                  <w:tcBorders>
                    <w:tl2br w:val="nil"/>
                    <w:tr2bl w:val="nil"/>
                  </w:tcBorders>
                  <w:shd w:val="clear" w:color="auto" w:fill="auto"/>
                  <w:vAlign w:val="center"/>
                </w:tcPr>
                <w:p w14:paraId="371567F9">
                  <w:pPr>
                    <w:pStyle w:val="656"/>
                    <w:snapToGrid w:val="0"/>
                    <w:rPr>
                      <w:rFonts w:hint="default"/>
                      <w:bCs/>
                      <w:color w:val="auto"/>
                      <w:kern w:val="0"/>
                      <w:sz w:val="18"/>
                      <w:szCs w:val="18"/>
                      <w:lang w:val="en-US" w:bidi="ar"/>
                    </w:rPr>
                  </w:pPr>
                  <w:r>
                    <w:rPr>
                      <w:rFonts w:hint="eastAsia" w:eastAsia="宋体"/>
                      <w:color w:val="auto"/>
                      <w:sz w:val="18"/>
                      <w:szCs w:val="18"/>
                      <w:lang w:val="en-US" w:eastAsia="zh-CN"/>
                    </w:rPr>
                    <w:t>0.00825</w:t>
                  </w:r>
                </w:p>
              </w:tc>
            </w:tr>
            <w:tr w14:paraId="777340B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54" w:type="pct"/>
                  <w:vMerge w:val="continue"/>
                  <w:tcBorders>
                    <w:tl2br w:val="nil"/>
                    <w:tr2bl w:val="nil"/>
                  </w:tcBorders>
                  <w:shd w:val="clear" w:color="auto" w:fill="auto"/>
                  <w:vAlign w:val="center"/>
                </w:tcPr>
                <w:p w14:paraId="467037E2">
                  <w:pPr>
                    <w:adjustRightInd w:val="0"/>
                    <w:snapToGrid w:val="0"/>
                    <w:jc w:val="center"/>
                    <w:rPr>
                      <w:rFonts w:hint="eastAsia"/>
                      <w:bCs/>
                      <w:color w:val="auto"/>
                      <w:kern w:val="0"/>
                      <w:sz w:val="18"/>
                      <w:szCs w:val="18"/>
                      <w:lang w:bidi="ar"/>
                    </w:rPr>
                  </w:pPr>
                </w:p>
              </w:tc>
              <w:tc>
                <w:tcPr>
                  <w:tcW w:w="342" w:type="pct"/>
                  <w:vMerge w:val="continue"/>
                  <w:tcBorders>
                    <w:tl2br w:val="nil"/>
                    <w:tr2bl w:val="nil"/>
                  </w:tcBorders>
                  <w:shd w:val="clear" w:color="auto" w:fill="auto"/>
                  <w:vAlign w:val="center"/>
                </w:tcPr>
                <w:p w14:paraId="6C5FAC56">
                  <w:pPr>
                    <w:adjustRightInd w:val="0"/>
                    <w:snapToGrid w:val="0"/>
                    <w:jc w:val="center"/>
                    <w:rPr>
                      <w:rFonts w:hint="eastAsia"/>
                      <w:bCs/>
                      <w:color w:val="auto"/>
                      <w:kern w:val="0"/>
                      <w:sz w:val="18"/>
                      <w:szCs w:val="18"/>
                      <w:lang w:bidi="ar"/>
                    </w:rPr>
                  </w:pPr>
                </w:p>
              </w:tc>
              <w:tc>
                <w:tcPr>
                  <w:tcW w:w="343" w:type="pct"/>
                  <w:vMerge w:val="continue"/>
                  <w:tcBorders>
                    <w:tl2br w:val="nil"/>
                    <w:tr2bl w:val="nil"/>
                  </w:tcBorders>
                  <w:shd w:val="clear" w:color="auto" w:fill="auto"/>
                  <w:vAlign w:val="center"/>
                </w:tcPr>
                <w:p w14:paraId="73B94EC7">
                  <w:pPr>
                    <w:adjustRightInd w:val="0"/>
                    <w:snapToGrid w:val="0"/>
                    <w:jc w:val="center"/>
                    <w:rPr>
                      <w:rFonts w:hint="eastAsia"/>
                      <w:bCs/>
                      <w:color w:val="auto"/>
                      <w:kern w:val="0"/>
                      <w:sz w:val="18"/>
                      <w:szCs w:val="18"/>
                      <w:lang w:bidi="ar"/>
                    </w:rPr>
                  </w:pPr>
                </w:p>
              </w:tc>
              <w:tc>
                <w:tcPr>
                  <w:tcW w:w="440" w:type="pct"/>
                  <w:vMerge w:val="continue"/>
                  <w:tcBorders>
                    <w:tl2br w:val="nil"/>
                    <w:tr2bl w:val="nil"/>
                  </w:tcBorders>
                  <w:shd w:val="clear" w:color="auto" w:fill="auto"/>
                  <w:vAlign w:val="center"/>
                </w:tcPr>
                <w:p w14:paraId="56463619">
                  <w:pPr>
                    <w:adjustRightInd w:val="0"/>
                    <w:snapToGrid w:val="0"/>
                    <w:jc w:val="center"/>
                    <w:rPr>
                      <w:rFonts w:hint="eastAsia"/>
                      <w:bCs/>
                      <w:color w:val="auto"/>
                      <w:kern w:val="0"/>
                      <w:sz w:val="18"/>
                      <w:szCs w:val="18"/>
                      <w:lang w:bidi="ar"/>
                    </w:rPr>
                  </w:pPr>
                </w:p>
              </w:tc>
              <w:tc>
                <w:tcPr>
                  <w:tcW w:w="533" w:type="pct"/>
                  <w:vMerge w:val="continue"/>
                  <w:tcBorders>
                    <w:tl2br w:val="nil"/>
                    <w:tr2bl w:val="nil"/>
                  </w:tcBorders>
                  <w:shd w:val="clear" w:color="auto" w:fill="auto"/>
                  <w:vAlign w:val="center"/>
                </w:tcPr>
                <w:p w14:paraId="7972C8AD">
                  <w:pPr>
                    <w:adjustRightInd w:val="0"/>
                    <w:snapToGrid w:val="0"/>
                    <w:jc w:val="center"/>
                    <w:rPr>
                      <w:rFonts w:hint="eastAsia"/>
                      <w:bCs/>
                      <w:color w:val="auto"/>
                      <w:kern w:val="0"/>
                      <w:sz w:val="18"/>
                      <w:szCs w:val="18"/>
                      <w:lang w:bidi="ar"/>
                    </w:rPr>
                  </w:pPr>
                </w:p>
              </w:tc>
              <w:tc>
                <w:tcPr>
                  <w:tcW w:w="347" w:type="pct"/>
                  <w:vMerge w:val="continue"/>
                  <w:tcBorders>
                    <w:tl2br w:val="nil"/>
                    <w:tr2bl w:val="nil"/>
                  </w:tcBorders>
                  <w:shd w:val="clear" w:color="auto" w:fill="auto"/>
                  <w:vAlign w:val="center"/>
                </w:tcPr>
                <w:p w14:paraId="3F4323FA">
                  <w:pPr>
                    <w:adjustRightInd w:val="0"/>
                    <w:snapToGrid w:val="0"/>
                    <w:jc w:val="center"/>
                    <w:rPr>
                      <w:rFonts w:hint="eastAsia"/>
                      <w:bCs/>
                      <w:color w:val="auto"/>
                      <w:kern w:val="0"/>
                      <w:sz w:val="18"/>
                      <w:szCs w:val="18"/>
                      <w:lang w:bidi="ar"/>
                    </w:rPr>
                  </w:pPr>
                </w:p>
              </w:tc>
              <w:tc>
                <w:tcPr>
                  <w:tcW w:w="465" w:type="pct"/>
                  <w:vMerge w:val="continue"/>
                  <w:tcBorders>
                    <w:tl2br w:val="nil"/>
                    <w:tr2bl w:val="nil"/>
                  </w:tcBorders>
                  <w:shd w:val="clear" w:color="auto" w:fill="auto"/>
                  <w:vAlign w:val="center"/>
                </w:tcPr>
                <w:p w14:paraId="3694D57F">
                  <w:pPr>
                    <w:adjustRightInd w:val="0"/>
                    <w:snapToGrid w:val="0"/>
                    <w:jc w:val="center"/>
                    <w:rPr>
                      <w:rFonts w:hint="eastAsia"/>
                      <w:bCs/>
                      <w:color w:val="auto"/>
                      <w:kern w:val="0"/>
                      <w:sz w:val="18"/>
                      <w:szCs w:val="18"/>
                      <w:lang w:bidi="ar"/>
                    </w:rPr>
                  </w:pPr>
                </w:p>
              </w:tc>
              <w:tc>
                <w:tcPr>
                  <w:tcW w:w="533" w:type="pct"/>
                  <w:vMerge w:val="continue"/>
                  <w:tcBorders>
                    <w:tl2br w:val="nil"/>
                    <w:tr2bl w:val="nil"/>
                  </w:tcBorders>
                  <w:shd w:val="clear" w:color="auto" w:fill="auto"/>
                  <w:vAlign w:val="center"/>
                </w:tcPr>
                <w:p w14:paraId="62ED3C15">
                  <w:pPr>
                    <w:adjustRightInd w:val="0"/>
                    <w:snapToGrid w:val="0"/>
                    <w:jc w:val="center"/>
                    <w:rPr>
                      <w:rFonts w:hint="eastAsia"/>
                      <w:bCs/>
                      <w:color w:val="auto"/>
                      <w:kern w:val="0"/>
                      <w:sz w:val="18"/>
                      <w:szCs w:val="18"/>
                      <w:lang w:bidi="ar"/>
                    </w:rPr>
                  </w:pPr>
                </w:p>
              </w:tc>
              <w:tc>
                <w:tcPr>
                  <w:tcW w:w="406" w:type="pct"/>
                  <w:vMerge w:val="continue"/>
                  <w:tcBorders>
                    <w:tl2br w:val="nil"/>
                    <w:tr2bl w:val="nil"/>
                  </w:tcBorders>
                  <w:shd w:val="clear" w:color="auto" w:fill="auto"/>
                  <w:vAlign w:val="center"/>
                </w:tcPr>
                <w:p w14:paraId="3B99AF2C">
                  <w:pPr>
                    <w:adjustRightInd w:val="0"/>
                    <w:snapToGrid w:val="0"/>
                    <w:jc w:val="center"/>
                    <w:rPr>
                      <w:rFonts w:hint="eastAsia"/>
                      <w:bCs/>
                      <w:color w:val="auto"/>
                      <w:kern w:val="0"/>
                      <w:sz w:val="18"/>
                      <w:szCs w:val="18"/>
                      <w:lang w:bidi="ar"/>
                    </w:rPr>
                  </w:pPr>
                </w:p>
              </w:tc>
              <w:tc>
                <w:tcPr>
                  <w:tcW w:w="677" w:type="pct"/>
                  <w:tcBorders>
                    <w:tl2br w:val="nil"/>
                    <w:tr2bl w:val="nil"/>
                  </w:tcBorders>
                  <w:shd w:val="clear" w:color="auto" w:fill="auto"/>
                  <w:vAlign w:val="center"/>
                </w:tcPr>
                <w:p w14:paraId="2F3BA6EA">
                  <w:pPr>
                    <w:pStyle w:val="656"/>
                    <w:snapToGrid w:val="0"/>
                    <w:rPr>
                      <w:rFonts w:hint="eastAsia"/>
                      <w:bCs/>
                      <w:color w:val="auto"/>
                      <w:kern w:val="0"/>
                      <w:sz w:val="18"/>
                      <w:szCs w:val="18"/>
                      <w:lang w:bidi="ar"/>
                    </w:rPr>
                  </w:pPr>
                  <w:r>
                    <w:rPr>
                      <w:rFonts w:hint="eastAsia" w:eastAsia="宋体"/>
                      <w:color w:val="auto"/>
                      <w:sz w:val="18"/>
                      <w:szCs w:val="18"/>
                      <w:lang w:val="en-US" w:eastAsia="zh-CN"/>
                    </w:rPr>
                    <w:t>SO</w:t>
                  </w:r>
                  <w:r>
                    <w:rPr>
                      <w:rFonts w:hint="eastAsia" w:eastAsia="宋体"/>
                      <w:color w:val="auto"/>
                      <w:sz w:val="18"/>
                      <w:szCs w:val="18"/>
                      <w:vertAlign w:val="subscript"/>
                      <w:lang w:val="en-US" w:eastAsia="zh-CN"/>
                    </w:rPr>
                    <w:t>2</w:t>
                  </w:r>
                </w:p>
              </w:tc>
              <w:tc>
                <w:tcPr>
                  <w:tcW w:w="992" w:type="dxa"/>
                  <w:tcBorders>
                    <w:tl2br w:val="nil"/>
                    <w:tr2bl w:val="nil"/>
                  </w:tcBorders>
                  <w:shd w:val="clear" w:color="auto" w:fill="auto"/>
                  <w:vAlign w:val="center"/>
                </w:tcPr>
                <w:p w14:paraId="45B13538">
                  <w:pPr>
                    <w:pStyle w:val="656"/>
                    <w:snapToGrid w:val="0"/>
                    <w:rPr>
                      <w:rFonts w:hint="eastAsia"/>
                      <w:bCs/>
                      <w:color w:val="auto"/>
                      <w:kern w:val="0"/>
                      <w:sz w:val="18"/>
                      <w:szCs w:val="18"/>
                      <w:lang w:bidi="ar"/>
                    </w:rPr>
                  </w:pPr>
                  <w:r>
                    <w:rPr>
                      <w:rFonts w:hint="eastAsia" w:eastAsia="宋体"/>
                      <w:color w:val="auto"/>
                      <w:sz w:val="18"/>
                      <w:szCs w:val="18"/>
                      <w:lang w:val="en-US" w:eastAsia="zh-CN"/>
                    </w:rPr>
                    <w:t>0.008</w:t>
                  </w:r>
                </w:p>
              </w:tc>
            </w:tr>
            <w:tr w14:paraId="4350A62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54" w:type="pct"/>
                  <w:vMerge w:val="continue"/>
                  <w:tcBorders>
                    <w:tl2br w:val="nil"/>
                    <w:tr2bl w:val="nil"/>
                  </w:tcBorders>
                  <w:shd w:val="clear" w:color="auto" w:fill="auto"/>
                  <w:vAlign w:val="center"/>
                </w:tcPr>
                <w:p w14:paraId="6BE50144">
                  <w:pPr>
                    <w:adjustRightInd w:val="0"/>
                    <w:snapToGrid w:val="0"/>
                    <w:jc w:val="center"/>
                    <w:rPr>
                      <w:rFonts w:hint="eastAsia"/>
                      <w:bCs/>
                      <w:color w:val="auto"/>
                      <w:kern w:val="0"/>
                      <w:sz w:val="18"/>
                      <w:szCs w:val="18"/>
                      <w:lang w:bidi="ar"/>
                    </w:rPr>
                  </w:pPr>
                </w:p>
              </w:tc>
              <w:tc>
                <w:tcPr>
                  <w:tcW w:w="342" w:type="pct"/>
                  <w:vMerge w:val="continue"/>
                  <w:tcBorders>
                    <w:tl2br w:val="nil"/>
                    <w:tr2bl w:val="nil"/>
                  </w:tcBorders>
                  <w:shd w:val="clear" w:color="auto" w:fill="auto"/>
                  <w:vAlign w:val="center"/>
                </w:tcPr>
                <w:p w14:paraId="2420FD4E">
                  <w:pPr>
                    <w:adjustRightInd w:val="0"/>
                    <w:snapToGrid w:val="0"/>
                    <w:jc w:val="center"/>
                    <w:rPr>
                      <w:rFonts w:hint="eastAsia"/>
                      <w:bCs/>
                      <w:color w:val="auto"/>
                      <w:kern w:val="0"/>
                      <w:sz w:val="18"/>
                      <w:szCs w:val="18"/>
                      <w:lang w:bidi="ar"/>
                    </w:rPr>
                  </w:pPr>
                </w:p>
              </w:tc>
              <w:tc>
                <w:tcPr>
                  <w:tcW w:w="343" w:type="pct"/>
                  <w:vMerge w:val="continue"/>
                  <w:tcBorders>
                    <w:tl2br w:val="nil"/>
                    <w:tr2bl w:val="nil"/>
                  </w:tcBorders>
                  <w:shd w:val="clear" w:color="auto" w:fill="auto"/>
                  <w:vAlign w:val="center"/>
                </w:tcPr>
                <w:p w14:paraId="2C30A321">
                  <w:pPr>
                    <w:adjustRightInd w:val="0"/>
                    <w:snapToGrid w:val="0"/>
                    <w:jc w:val="center"/>
                    <w:rPr>
                      <w:rFonts w:hint="eastAsia"/>
                      <w:bCs/>
                      <w:color w:val="auto"/>
                      <w:kern w:val="0"/>
                      <w:sz w:val="18"/>
                      <w:szCs w:val="18"/>
                      <w:lang w:bidi="ar"/>
                    </w:rPr>
                  </w:pPr>
                </w:p>
              </w:tc>
              <w:tc>
                <w:tcPr>
                  <w:tcW w:w="440" w:type="pct"/>
                  <w:vMerge w:val="continue"/>
                  <w:tcBorders>
                    <w:tl2br w:val="nil"/>
                    <w:tr2bl w:val="nil"/>
                  </w:tcBorders>
                  <w:shd w:val="clear" w:color="auto" w:fill="auto"/>
                  <w:vAlign w:val="center"/>
                </w:tcPr>
                <w:p w14:paraId="6E36B2D7">
                  <w:pPr>
                    <w:adjustRightInd w:val="0"/>
                    <w:snapToGrid w:val="0"/>
                    <w:jc w:val="center"/>
                    <w:rPr>
                      <w:rFonts w:hint="eastAsia"/>
                      <w:bCs/>
                      <w:color w:val="auto"/>
                      <w:kern w:val="0"/>
                      <w:sz w:val="18"/>
                      <w:szCs w:val="18"/>
                      <w:lang w:bidi="ar"/>
                    </w:rPr>
                  </w:pPr>
                </w:p>
              </w:tc>
              <w:tc>
                <w:tcPr>
                  <w:tcW w:w="533" w:type="pct"/>
                  <w:vMerge w:val="continue"/>
                  <w:tcBorders>
                    <w:tl2br w:val="nil"/>
                    <w:tr2bl w:val="nil"/>
                  </w:tcBorders>
                  <w:shd w:val="clear" w:color="auto" w:fill="auto"/>
                  <w:vAlign w:val="center"/>
                </w:tcPr>
                <w:p w14:paraId="2F3F6ADE">
                  <w:pPr>
                    <w:adjustRightInd w:val="0"/>
                    <w:snapToGrid w:val="0"/>
                    <w:jc w:val="center"/>
                    <w:rPr>
                      <w:rFonts w:hint="eastAsia"/>
                      <w:bCs/>
                      <w:color w:val="auto"/>
                      <w:kern w:val="0"/>
                      <w:sz w:val="18"/>
                      <w:szCs w:val="18"/>
                      <w:lang w:bidi="ar"/>
                    </w:rPr>
                  </w:pPr>
                </w:p>
              </w:tc>
              <w:tc>
                <w:tcPr>
                  <w:tcW w:w="347" w:type="pct"/>
                  <w:vMerge w:val="continue"/>
                  <w:tcBorders>
                    <w:tl2br w:val="nil"/>
                    <w:tr2bl w:val="nil"/>
                  </w:tcBorders>
                  <w:shd w:val="clear" w:color="auto" w:fill="auto"/>
                  <w:vAlign w:val="center"/>
                </w:tcPr>
                <w:p w14:paraId="297D99B8">
                  <w:pPr>
                    <w:adjustRightInd w:val="0"/>
                    <w:snapToGrid w:val="0"/>
                    <w:jc w:val="center"/>
                    <w:rPr>
                      <w:rFonts w:hint="eastAsia"/>
                      <w:bCs/>
                      <w:color w:val="auto"/>
                      <w:kern w:val="0"/>
                      <w:sz w:val="18"/>
                      <w:szCs w:val="18"/>
                      <w:lang w:bidi="ar"/>
                    </w:rPr>
                  </w:pPr>
                </w:p>
              </w:tc>
              <w:tc>
                <w:tcPr>
                  <w:tcW w:w="465" w:type="pct"/>
                  <w:vMerge w:val="continue"/>
                  <w:tcBorders>
                    <w:tl2br w:val="nil"/>
                    <w:tr2bl w:val="nil"/>
                  </w:tcBorders>
                  <w:shd w:val="clear" w:color="auto" w:fill="auto"/>
                  <w:vAlign w:val="center"/>
                </w:tcPr>
                <w:p w14:paraId="71FB3149">
                  <w:pPr>
                    <w:adjustRightInd w:val="0"/>
                    <w:snapToGrid w:val="0"/>
                    <w:jc w:val="center"/>
                    <w:rPr>
                      <w:rFonts w:hint="eastAsia"/>
                      <w:bCs/>
                      <w:color w:val="auto"/>
                      <w:kern w:val="0"/>
                      <w:sz w:val="18"/>
                      <w:szCs w:val="18"/>
                      <w:lang w:bidi="ar"/>
                    </w:rPr>
                  </w:pPr>
                </w:p>
              </w:tc>
              <w:tc>
                <w:tcPr>
                  <w:tcW w:w="533" w:type="pct"/>
                  <w:vMerge w:val="continue"/>
                  <w:tcBorders>
                    <w:tl2br w:val="nil"/>
                    <w:tr2bl w:val="nil"/>
                  </w:tcBorders>
                  <w:shd w:val="clear" w:color="auto" w:fill="auto"/>
                  <w:vAlign w:val="center"/>
                </w:tcPr>
                <w:p w14:paraId="7EE64BB1">
                  <w:pPr>
                    <w:adjustRightInd w:val="0"/>
                    <w:snapToGrid w:val="0"/>
                    <w:jc w:val="center"/>
                    <w:rPr>
                      <w:rFonts w:hint="eastAsia"/>
                      <w:bCs/>
                      <w:color w:val="auto"/>
                      <w:kern w:val="0"/>
                      <w:sz w:val="18"/>
                      <w:szCs w:val="18"/>
                      <w:lang w:bidi="ar"/>
                    </w:rPr>
                  </w:pPr>
                </w:p>
              </w:tc>
              <w:tc>
                <w:tcPr>
                  <w:tcW w:w="406" w:type="pct"/>
                  <w:vMerge w:val="continue"/>
                  <w:tcBorders>
                    <w:tl2br w:val="nil"/>
                    <w:tr2bl w:val="nil"/>
                  </w:tcBorders>
                  <w:shd w:val="clear" w:color="auto" w:fill="auto"/>
                  <w:vAlign w:val="center"/>
                </w:tcPr>
                <w:p w14:paraId="1A262A6F">
                  <w:pPr>
                    <w:adjustRightInd w:val="0"/>
                    <w:snapToGrid w:val="0"/>
                    <w:jc w:val="center"/>
                    <w:rPr>
                      <w:rFonts w:hint="eastAsia"/>
                      <w:bCs/>
                      <w:color w:val="auto"/>
                      <w:kern w:val="0"/>
                      <w:sz w:val="18"/>
                      <w:szCs w:val="18"/>
                      <w:lang w:bidi="ar"/>
                    </w:rPr>
                  </w:pPr>
                </w:p>
              </w:tc>
              <w:tc>
                <w:tcPr>
                  <w:tcW w:w="677" w:type="pct"/>
                  <w:tcBorders>
                    <w:tl2br w:val="nil"/>
                    <w:tr2bl w:val="nil"/>
                  </w:tcBorders>
                  <w:shd w:val="clear" w:color="auto" w:fill="auto"/>
                  <w:vAlign w:val="center"/>
                </w:tcPr>
                <w:p w14:paraId="39201DB1">
                  <w:pPr>
                    <w:pStyle w:val="656"/>
                    <w:snapToGrid w:val="0"/>
                    <w:rPr>
                      <w:rFonts w:hint="eastAsia"/>
                      <w:bCs/>
                      <w:color w:val="auto"/>
                      <w:kern w:val="0"/>
                      <w:sz w:val="18"/>
                      <w:szCs w:val="18"/>
                      <w:lang w:bidi="ar"/>
                    </w:rPr>
                  </w:pPr>
                  <w:r>
                    <w:rPr>
                      <w:rFonts w:hint="eastAsia" w:eastAsia="宋体"/>
                      <w:color w:val="auto"/>
                      <w:sz w:val="18"/>
                      <w:szCs w:val="18"/>
                      <w:lang w:val="en-US" w:eastAsia="zh-CN"/>
                    </w:rPr>
                    <w:t>NOx</w:t>
                  </w:r>
                </w:p>
              </w:tc>
              <w:tc>
                <w:tcPr>
                  <w:tcW w:w="992" w:type="dxa"/>
                  <w:tcBorders>
                    <w:tl2br w:val="nil"/>
                    <w:tr2bl w:val="nil"/>
                  </w:tcBorders>
                  <w:shd w:val="clear" w:color="auto" w:fill="auto"/>
                  <w:vAlign w:val="center"/>
                </w:tcPr>
                <w:p w14:paraId="2BF039AB">
                  <w:pPr>
                    <w:pStyle w:val="656"/>
                    <w:snapToGrid w:val="0"/>
                    <w:rPr>
                      <w:rFonts w:hint="default"/>
                      <w:bCs/>
                      <w:color w:val="auto"/>
                      <w:kern w:val="0"/>
                      <w:sz w:val="18"/>
                      <w:szCs w:val="18"/>
                      <w:lang w:val="en-US" w:bidi="ar"/>
                    </w:rPr>
                  </w:pPr>
                  <w:r>
                    <w:rPr>
                      <w:rFonts w:hint="eastAsia" w:eastAsia="宋体"/>
                      <w:color w:val="auto"/>
                      <w:sz w:val="18"/>
                      <w:szCs w:val="18"/>
                      <w:lang w:val="en-US" w:eastAsia="zh-CN"/>
                    </w:rPr>
                    <w:t>0.025</w:t>
                  </w:r>
                </w:p>
              </w:tc>
            </w:tr>
            <w:tr w14:paraId="506AA00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54" w:type="pct"/>
                  <w:vMerge w:val="continue"/>
                  <w:tcBorders>
                    <w:tl2br w:val="nil"/>
                    <w:tr2bl w:val="nil"/>
                  </w:tcBorders>
                  <w:shd w:val="clear" w:color="auto" w:fill="auto"/>
                  <w:vAlign w:val="center"/>
                </w:tcPr>
                <w:p w14:paraId="7C8F8DA5">
                  <w:pPr>
                    <w:adjustRightInd w:val="0"/>
                    <w:snapToGrid w:val="0"/>
                    <w:jc w:val="center"/>
                    <w:rPr>
                      <w:rFonts w:hint="eastAsia"/>
                      <w:bCs/>
                      <w:color w:val="auto"/>
                      <w:kern w:val="0"/>
                      <w:sz w:val="18"/>
                      <w:szCs w:val="18"/>
                      <w:lang w:bidi="ar"/>
                    </w:rPr>
                  </w:pPr>
                </w:p>
              </w:tc>
              <w:tc>
                <w:tcPr>
                  <w:tcW w:w="342" w:type="pct"/>
                  <w:vMerge w:val="continue"/>
                  <w:tcBorders>
                    <w:tl2br w:val="nil"/>
                    <w:tr2bl w:val="nil"/>
                  </w:tcBorders>
                  <w:shd w:val="clear" w:color="auto" w:fill="auto"/>
                  <w:vAlign w:val="center"/>
                </w:tcPr>
                <w:p w14:paraId="7456BE44">
                  <w:pPr>
                    <w:adjustRightInd w:val="0"/>
                    <w:snapToGrid w:val="0"/>
                    <w:jc w:val="center"/>
                    <w:rPr>
                      <w:rFonts w:hint="eastAsia"/>
                      <w:bCs/>
                      <w:color w:val="auto"/>
                      <w:kern w:val="0"/>
                      <w:sz w:val="18"/>
                      <w:szCs w:val="18"/>
                      <w:lang w:bidi="ar"/>
                    </w:rPr>
                  </w:pPr>
                </w:p>
              </w:tc>
              <w:tc>
                <w:tcPr>
                  <w:tcW w:w="343" w:type="pct"/>
                  <w:vMerge w:val="continue"/>
                  <w:tcBorders>
                    <w:tl2br w:val="nil"/>
                    <w:tr2bl w:val="nil"/>
                  </w:tcBorders>
                  <w:shd w:val="clear" w:color="auto" w:fill="auto"/>
                  <w:vAlign w:val="center"/>
                </w:tcPr>
                <w:p w14:paraId="5CE0E895">
                  <w:pPr>
                    <w:adjustRightInd w:val="0"/>
                    <w:snapToGrid w:val="0"/>
                    <w:jc w:val="center"/>
                    <w:rPr>
                      <w:rFonts w:hint="eastAsia"/>
                      <w:bCs/>
                      <w:color w:val="auto"/>
                      <w:kern w:val="0"/>
                      <w:sz w:val="18"/>
                      <w:szCs w:val="18"/>
                      <w:lang w:bidi="ar"/>
                    </w:rPr>
                  </w:pPr>
                </w:p>
              </w:tc>
              <w:tc>
                <w:tcPr>
                  <w:tcW w:w="440" w:type="pct"/>
                  <w:vMerge w:val="continue"/>
                  <w:tcBorders>
                    <w:tl2br w:val="nil"/>
                    <w:tr2bl w:val="nil"/>
                  </w:tcBorders>
                  <w:shd w:val="clear" w:color="auto" w:fill="auto"/>
                  <w:vAlign w:val="center"/>
                </w:tcPr>
                <w:p w14:paraId="7DA6ECE3">
                  <w:pPr>
                    <w:adjustRightInd w:val="0"/>
                    <w:snapToGrid w:val="0"/>
                    <w:jc w:val="center"/>
                    <w:rPr>
                      <w:rFonts w:hint="eastAsia"/>
                      <w:bCs/>
                      <w:color w:val="auto"/>
                      <w:kern w:val="0"/>
                      <w:sz w:val="18"/>
                      <w:szCs w:val="18"/>
                      <w:lang w:bidi="ar"/>
                    </w:rPr>
                  </w:pPr>
                </w:p>
              </w:tc>
              <w:tc>
                <w:tcPr>
                  <w:tcW w:w="533" w:type="pct"/>
                  <w:vMerge w:val="continue"/>
                  <w:tcBorders>
                    <w:tl2br w:val="nil"/>
                    <w:tr2bl w:val="nil"/>
                  </w:tcBorders>
                  <w:shd w:val="clear" w:color="auto" w:fill="auto"/>
                  <w:vAlign w:val="center"/>
                </w:tcPr>
                <w:p w14:paraId="2B8254F7">
                  <w:pPr>
                    <w:adjustRightInd w:val="0"/>
                    <w:snapToGrid w:val="0"/>
                    <w:jc w:val="center"/>
                    <w:rPr>
                      <w:rFonts w:hint="eastAsia"/>
                      <w:bCs/>
                      <w:color w:val="auto"/>
                      <w:kern w:val="0"/>
                      <w:sz w:val="18"/>
                      <w:szCs w:val="18"/>
                      <w:lang w:bidi="ar"/>
                    </w:rPr>
                  </w:pPr>
                </w:p>
              </w:tc>
              <w:tc>
                <w:tcPr>
                  <w:tcW w:w="347" w:type="pct"/>
                  <w:vMerge w:val="continue"/>
                  <w:tcBorders>
                    <w:tl2br w:val="nil"/>
                    <w:tr2bl w:val="nil"/>
                  </w:tcBorders>
                  <w:shd w:val="clear" w:color="auto" w:fill="auto"/>
                  <w:vAlign w:val="center"/>
                </w:tcPr>
                <w:p w14:paraId="542BB505">
                  <w:pPr>
                    <w:adjustRightInd w:val="0"/>
                    <w:snapToGrid w:val="0"/>
                    <w:jc w:val="center"/>
                    <w:rPr>
                      <w:rFonts w:hint="eastAsia"/>
                      <w:bCs/>
                      <w:color w:val="auto"/>
                      <w:kern w:val="0"/>
                      <w:sz w:val="18"/>
                      <w:szCs w:val="18"/>
                      <w:lang w:bidi="ar"/>
                    </w:rPr>
                  </w:pPr>
                </w:p>
              </w:tc>
              <w:tc>
                <w:tcPr>
                  <w:tcW w:w="465" w:type="pct"/>
                  <w:vMerge w:val="continue"/>
                  <w:tcBorders>
                    <w:tl2br w:val="nil"/>
                    <w:tr2bl w:val="nil"/>
                  </w:tcBorders>
                  <w:shd w:val="clear" w:color="auto" w:fill="auto"/>
                  <w:vAlign w:val="center"/>
                </w:tcPr>
                <w:p w14:paraId="1A39FD6F">
                  <w:pPr>
                    <w:adjustRightInd w:val="0"/>
                    <w:snapToGrid w:val="0"/>
                    <w:jc w:val="center"/>
                    <w:rPr>
                      <w:rFonts w:hint="eastAsia"/>
                      <w:bCs/>
                      <w:color w:val="auto"/>
                      <w:kern w:val="0"/>
                      <w:sz w:val="18"/>
                      <w:szCs w:val="18"/>
                      <w:lang w:bidi="ar"/>
                    </w:rPr>
                  </w:pPr>
                </w:p>
              </w:tc>
              <w:tc>
                <w:tcPr>
                  <w:tcW w:w="533" w:type="pct"/>
                  <w:vMerge w:val="continue"/>
                  <w:tcBorders>
                    <w:tl2br w:val="nil"/>
                    <w:tr2bl w:val="nil"/>
                  </w:tcBorders>
                  <w:shd w:val="clear" w:color="auto" w:fill="auto"/>
                  <w:vAlign w:val="center"/>
                </w:tcPr>
                <w:p w14:paraId="44E2FCD8">
                  <w:pPr>
                    <w:adjustRightInd w:val="0"/>
                    <w:snapToGrid w:val="0"/>
                    <w:jc w:val="center"/>
                    <w:rPr>
                      <w:rFonts w:hint="eastAsia"/>
                      <w:bCs/>
                      <w:color w:val="auto"/>
                      <w:kern w:val="0"/>
                      <w:sz w:val="18"/>
                      <w:szCs w:val="18"/>
                      <w:lang w:bidi="ar"/>
                    </w:rPr>
                  </w:pPr>
                </w:p>
              </w:tc>
              <w:tc>
                <w:tcPr>
                  <w:tcW w:w="406" w:type="pct"/>
                  <w:vMerge w:val="continue"/>
                  <w:tcBorders>
                    <w:tl2br w:val="nil"/>
                    <w:tr2bl w:val="nil"/>
                  </w:tcBorders>
                  <w:shd w:val="clear" w:color="auto" w:fill="auto"/>
                  <w:vAlign w:val="center"/>
                </w:tcPr>
                <w:p w14:paraId="56BE74AC">
                  <w:pPr>
                    <w:adjustRightInd w:val="0"/>
                    <w:snapToGrid w:val="0"/>
                    <w:jc w:val="center"/>
                    <w:rPr>
                      <w:rFonts w:hint="eastAsia"/>
                      <w:bCs/>
                      <w:color w:val="auto"/>
                      <w:kern w:val="0"/>
                      <w:sz w:val="18"/>
                      <w:szCs w:val="18"/>
                      <w:lang w:bidi="ar"/>
                    </w:rPr>
                  </w:pPr>
                </w:p>
              </w:tc>
              <w:tc>
                <w:tcPr>
                  <w:tcW w:w="677" w:type="pct"/>
                  <w:tcBorders>
                    <w:tl2br w:val="nil"/>
                    <w:tr2bl w:val="nil"/>
                  </w:tcBorders>
                  <w:shd w:val="clear" w:color="auto" w:fill="auto"/>
                  <w:vAlign w:val="center"/>
                </w:tcPr>
                <w:p w14:paraId="5434F515">
                  <w:pPr>
                    <w:pStyle w:val="656"/>
                    <w:snapToGrid w:val="0"/>
                    <w:rPr>
                      <w:rFonts w:hint="eastAsia"/>
                      <w:bCs/>
                      <w:color w:val="auto"/>
                      <w:kern w:val="0"/>
                      <w:sz w:val="18"/>
                      <w:szCs w:val="18"/>
                      <w:lang w:bidi="ar"/>
                    </w:rPr>
                  </w:pPr>
                  <w:r>
                    <w:rPr>
                      <w:rFonts w:hint="eastAsia" w:eastAsia="宋体"/>
                      <w:color w:val="auto"/>
                      <w:sz w:val="18"/>
                      <w:szCs w:val="18"/>
                      <w:lang w:val="en-US" w:eastAsia="zh-CN"/>
                    </w:rPr>
                    <w:t>氨</w:t>
                  </w:r>
                </w:p>
              </w:tc>
              <w:tc>
                <w:tcPr>
                  <w:tcW w:w="992" w:type="dxa"/>
                  <w:tcBorders>
                    <w:tl2br w:val="nil"/>
                    <w:tr2bl w:val="nil"/>
                  </w:tcBorders>
                  <w:shd w:val="clear" w:color="auto" w:fill="auto"/>
                  <w:vAlign w:val="center"/>
                </w:tcPr>
                <w:p w14:paraId="28D70D82">
                  <w:pPr>
                    <w:pStyle w:val="656"/>
                    <w:snapToGrid w:val="0"/>
                    <w:rPr>
                      <w:rFonts w:hint="eastAsia"/>
                      <w:bCs/>
                      <w:color w:val="auto"/>
                      <w:kern w:val="0"/>
                      <w:sz w:val="18"/>
                      <w:szCs w:val="18"/>
                      <w:lang w:bidi="ar"/>
                    </w:rPr>
                  </w:pPr>
                  <w:r>
                    <w:rPr>
                      <w:rFonts w:hint="eastAsia" w:eastAsia="宋体"/>
                      <w:color w:val="auto"/>
                      <w:sz w:val="18"/>
                      <w:szCs w:val="18"/>
                      <w:lang w:val="en-US" w:eastAsia="zh-CN"/>
                    </w:rPr>
                    <w:t>0.0011</w:t>
                  </w:r>
                </w:p>
              </w:tc>
            </w:tr>
            <w:tr w14:paraId="27AE1F9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54" w:type="pct"/>
                  <w:vMerge w:val="continue"/>
                  <w:tcBorders>
                    <w:tl2br w:val="nil"/>
                    <w:tr2bl w:val="nil"/>
                  </w:tcBorders>
                  <w:shd w:val="clear" w:color="auto" w:fill="auto"/>
                  <w:vAlign w:val="center"/>
                </w:tcPr>
                <w:p w14:paraId="2E0B94A3">
                  <w:pPr>
                    <w:adjustRightInd w:val="0"/>
                    <w:snapToGrid w:val="0"/>
                    <w:jc w:val="center"/>
                    <w:rPr>
                      <w:rFonts w:hint="eastAsia"/>
                      <w:bCs/>
                      <w:color w:val="auto"/>
                      <w:kern w:val="0"/>
                      <w:sz w:val="18"/>
                      <w:szCs w:val="18"/>
                      <w:lang w:bidi="ar"/>
                    </w:rPr>
                  </w:pPr>
                </w:p>
              </w:tc>
              <w:tc>
                <w:tcPr>
                  <w:tcW w:w="342" w:type="pct"/>
                  <w:vMerge w:val="continue"/>
                  <w:tcBorders>
                    <w:tl2br w:val="nil"/>
                    <w:tr2bl w:val="nil"/>
                  </w:tcBorders>
                  <w:shd w:val="clear" w:color="auto" w:fill="auto"/>
                  <w:vAlign w:val="center"/>
                </w:tcPr>
                <w:p w14:paraId="64AA98B0">
                  <w:pPr>
                    <w:adjustRightInd w:val="0"/>
                    <w:snapToGrid w:val="0"/>
                    <w:jc w:val="center"/>
                    <w:rPr>
                      <w:rFonts w:hint="eastAsia"/>
                      <w:bCs/>
                      <w:color w:val="auto"/>
                      <w:kern w:val="0"/>
                      <w:sz w:val="18"/>
                      <w:szCs w:val="18"/>
                      <w:lang w:bidi="ar"/>
                    </w:rPr>
                  </w:pPr>
                </w:p>
              </w:tc>
              <w:tc>
                <w:tcPr>
                  <w:tcW w:w="343" w:type="pct"/>
                  <w:vMerge w:val="continue"/>
                  <w:tcBorders>
                    <w:tl2br w:val="nil"/>
                    <w:tr2bl w:val="nil"/>
                  </w:tcBorders>
                  <w:shd w:val="clear" w:color="auto" w:fill="auto"/>
                  <w:vAlign w:val="center"/>
                </w:tcPr>
                <w:p w14:paraId="485FB79C">
                  <w:pPr>
                    <w:adjustRightInd w:val="0"/>
                    <w:snapToGrid w:val="0"/>
                    <w:jc w:val="center"/>
                    <w:rPr>
                      <w:rFonts w:hint="eastAsia"/>
                      <w:bCs/>
                      <w:color w:val="auto"/>
                      <w:kern w:val="0"/>
                      <w:sz w:val="18"/>
                      <w:szCs w:val="18"/>
                      <w:lang w:bidi="ar"/>
                    </w:rPr>
                  </w:pPr>
                </w:p>
              </w:tc>
              <w:tc>
                <w:tcPr>
                  <w:tcW w:w="440" w:type="pct"/>
                  <w:vMerge w:val="continue"/>
                  <w:tcBorders>
                    <w:tl2br w:val="nil"/>
                    <w:tr2bl w:val="nil"/>
                  </w:tcBorders>
                  <w:shd w:val="clear" w:color="auto" w:fill="auto"/>
                  <w:vAlign w:val="center"/>
                </w:tcPr>
                <w:p w14:paraId="40341AA5">
                  <w:pPr>
                    <w:adjustRightInd w:val="0"/>
                    <w:snapToGrid w:val="0"/>
                    <w:jc w:val="center"/>
                    <w:rPr>
                      <w:rFonts w:hint="eastAsia"/>
                      <w:bCs/>
                      <w:color w:val="auto"/>
                      <w:kern w:val="0"/>
                      <w:sz w:val="18"/>
                      <w:szCs w:val="18"/>
                      <w:lang w:bidi="ar"/>
                    </w:rPr>
                  </w:pPr>
                </w:p>
              </w:tc>
              <w:tc>
                <w:tcPr>
                  <w:tcW w:w="533" w:type="pct"/>
                  <w:vMerge w:val="continue"/>
                  <w:tcBorders>
                    <w:tl2br w:val="nil"/>
                    <w:tr2bl w:val="nil"/>
                  </w:tcBorders>
                  <w:shd w:val="clear" w:color="auto" w:fill="auto"/>
                  <w:vAlign w:val="center"/>
                </w:tcPr>
                <w:p w14:paraId="2BC5254A">
                  <w:pPr>
                    <w:adjustRightInd w:val="0"/>
                    <w:snapToGrid w:val="0"/>
                    <w:jc w:val="center"/>
                    <w:rPr>
                      <w:rFonts w:hint="eastAsia"/>
                      <w:bCs/>
                      <w:color w:val="auto"/>
                      <w:kern w:val="0"/>
                      <w:sz w:val="18"/>
                      <w:szCs w:val="18"/>
                      <w:lang w:bidi="ar"/>
                    </w:rPr>
                  </w:pPr>
                </w:p>
              </w:tc>
              <w:tc>
                <w:tcPr>
                  <w:tcW w:w="347" w:type="pct"/>
                  <w:vMerge w:val="continue"/>
                  <w:tcBorders>
                    <w:tl2br w:val="nil"/>
                    <w:tr2bl w:val="nil"/>
                  </w:tcBorders>
                  <w:shd w:val="clear" w:color="auto" w:fill="auto"/>
                  <w:vAlign w:val="center"/>
                </w:tcPr>
                <w:p w14:paraId="1235F001">
                  <w:pPr>
                    <w:adjustRightInd w:val="0"/>
                    <w:snapToGrid w:val="0"/>
                    <w:jc w:val="center"/>
                    <w:rPr>
                      <w:rFonts w:hint="eastAsia"/>
                      <w:bCs/>
                      <w:color w:val="auto"/>
                      <w:kern w:val="0"/>
                      <w:sz w:val="18"/>
                      <w:szCs w:val="18"/>
                      <w:lang w:bidi="ar"/>
                    </w:rPr>
                  </w:pPr>
                </w:p>
              </w:tc>
              <w:tc>
                <w:tcPr>
                  <w:tcW w:w="465" w:type="pct"/>
                  <w:vMerge w:val="continue"/>
                  <w:tcBorders>
                    <w:tl2br w:val="nil"/>
                    <w:tr2bl w:val="nil"/>
                  </w:tcBorders>
                  <w:shd w:val="clear" w:color="auto" w:fill="auto"/>
                  <w:vAlign w:val="center"/>
                </w:tcPr>
                <w:p w14:paraId="5EBC734F">
                  <w:pPr>
                    <w:adjustRightInd w:val="0"/>
                    <w:snapToGrid w:val="0"/>
                    <w:jc w:val="center"/>
                    <w:rPr>
                      <w:rFonts w:hint="eastAsia"/>
                      <w:bCs/>
                      <w:color w:val="auto"/>
                      <w:kern w:val="0"/>
                      <w:sz w:val="18"/>
                      <w:szCs w:val="18"/>
                      <w:lang w:bidi="ar"/>
                    </w:rPr>
                  </w:pPr>
                </w:p>
              </w:tc>
              <w:tc>
                <w:tcPr>
                  <w:tcW w:w="533" w:type="pct"/>
                  <w:vMerge w:val="continue"/>
                  <w:tcBorders>
                    <w:tl2br w:val="nil"/>
                    <w:tr2bl w:val="nil"/>
                  </w:tcBorders>
                  <w:shd w:val="clear" w:color="auto" w:fill="auto"/>
                  <w:vAlign w:val="center"/>
                </w:tcPr>
                <w:p w14:paraId="07065FB4">
                  <w:pPr>
                    <w:adjustRightInd w:val="0"/>
                    <w:snapToGrid w:val="0"/>
                    <w:jc w:val="center"/>
                    <w:rPr>
                      <w:rFonts w:hint="eastAsia"/>
                      <w:bCs/>
                      <w:color w:val="auto"/>
                      <w:kern w:val="0"/>
                      <w:sz w:val="18"/>
                      <w:szCs w:val="18"/>
                      <w:lang w:bidi="ar"/>
                    </w:rPr>
                  </w:pPr>
                </w:p>
              </w:tc>
              <w:tc>
                <w:tcPr>
                  <w:tcW w:w="406" w:type="pct"/>
                  <w:vMerge w:val="continue"/>
                  <w:tcBorders>
                    <w:tl2br w:val="nil"/>
                    <w:tr2bl w:val="nil"/>
                  </w:tcBorders>
                  <w:shd w:val="clear" w:color="auto" w:fill="auto"/>
                  <w:vAlign w:val="center"/>
                </w:tcPr>
                <w:p w14:paraId="3BA26C28">
                  <w:pPr>
                    <w:adjustRightInd w:val="0"/>
                    <w:snapToGrid w:val="0"/>
                    <w:jc w:val="center"/>
                    <w:rPr>
                      <w:rFonts w:hint="eastAsia"/>
                      <w:bCs/>
                      <w:color w:val="auto"/>
                      <w:kern w:val="0"/>
                      <w:sz w:val="18"/>
                      <w:szCs w:val="18"/>
                      <w:lang w:bidi="ar"/>
                    </w:rPr>
                  </w:pPr>
                </w:p>
              </w:tc>
              <w:tc>
                <w:tcPr>
                  <w:tcW w:w="677" w:type="pct"/>
                  <w:tcBorders>
                    <w:tl2br w:val="nil"/>
                    <w:tr2bl w:val="nil"/>
                  </w:tcBorders>
                  <w:shd w:val="clear" w:color="auto" w:fill="auto"/>
                  <w:vAlign w:val="center"/>
                </w:tcPr>
                <w:p w14:paraId="3046EBB0">
                  <w:pPr>
                    <w:pStyle w:val="656"/>
                    <w:snapToGrid w:val="0"/>
                    <w:rPr>
                      <w:rFonts w:hint="eastAsia"/>
                      <w:bCs/>
                      <w:color w:val="auto"/>
                      <w:kern w:val="0"/>
                      <w:sz w:val="18"/>
                      <w:szCs w:val="18"/>
                      <w:lang w:bidi="ar"/>
                    </w:rPr>
                  </w:pPr>
                  <w:r>
                    <w:rPr>
                      <w:rFonts w:hint="eastAsia" w:eastAsia="宋体"/>
                      <w:color w:val="auto"/>
                      <w:sz w:val="18"/>
                      <w:szCs w:val="18"/>
                      <w:lang w:val="en-US" w:eastAsia="zh-CN"/>
                    </w:rPr>
                    <w:t>CO</w:t>
                  </w:r>
                </w:p>
              </w:tc>
              <w:tc>
                <w:tcPr>
                  <w:tcW w:w="992" w:type="dxa"/>
                  <w:tcBorders>
                    <w:tl2br w:val="nil"/>
                    <w:tr2bl w:val="nil"/>
                  </w:tcBorders>
                  <w:shd w:val="clear" w:color="auto" w:fill="auto"/>
                  <w:vAlign w:val="center"/>
                </w:tcPr>
                <w:p w14:paraId="74F19246">
                  <w:pPr>
                    <w:pStyle w:val="656"/>
                    <w:snapToGrid w:val="0"/>
                    <w:rPr>
                      <w:rFonts w:hint="default"/>
                      <w:bCs/>
                      <w:color w:val="auto"/>
                      <w:kern w:val="0"/>
                      <w:sz w:val="18"/>
                      <w:szCs w:val="18"/>
                      <w:lang w:val="en-US" w:bidi="ar"/>
                    </w:rPr>
                  </w:pPr>
                  <w:r>
                    <w:rPr>
                      <w:rFonts w:hint="eastAsia" w:eastAsia="宋体"/>
                      <w:color w:val="auto"/>
                      <w:sz w:val="18"/>
                      <w:szCs w:val="18"/>
                      <w:lang w:val="en-US" w:eastAsia="zh-CN"/>
                    </w:rPr>
                    <w:t>0.008</w:t>
                  </w:r>
                </w:p>
              </w:tc>
            </w:tr>
            <w:tr w14:paraId="1BB7D3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54" w:type="pct"/>
                  <w:vMerge w:val="continue"/>
                  <w:tcBorders>
                    <w:tl2br w:val="nil"/>
                    <w:tr2bl w:val="nil"/>
                  </w:tcBorders>
                  <w:shd w:val="clear" w:color="auto" w:fill="auto"/>
                  <w:vAlign w:val="center"/>
                </w:tcPr>
                <w:p w14:paraId="7A4143F2">
                  <w:pPr>
                    <w:adjustRightInd w:val="0"/>
                    <w:snapToGrid w:val="0"/>
                    <w:jc w:val="center"/>
                    <w:rPr>
                      <w:rFonts w:hint="eastAsia"/>
                      <w:bCs/>
                      <w:color w:val="auto"/>
                      <w:kern w:val="0"/>
                      <w:sz w:val="18"/>
                      <w:szCs w:val="18"/>
                      <w:lang w:bidi="ar"/>
                    </w:rPr>
                  </w:pPr>
                </w:p>
              </w:tc>
              <w:tc>
                <w:tcPr>
                  <w:tcW w:w="342" w:type="pct"/>
                  <w:vMerge w:val="continue"/>
                  <w:tcBorders>
                    <w:tl2br w:val="nil"/>
                    <w:tr2bl w:val="nil"/>
                  </w:tcBorders>
                  <w:shd w:val="clear" w:color="auto" w:fill="auto"/>
                  <w:vAlign w:val="center"/>
                </w:tcPr>
                <w:p w14:paraId="5983E470">
                  <w:pPr>
                    <w:adjustRightInd w:val="0"/>
                    <w:snapToGrid w:val="0"/>
                    <w:jc w:val="center"/>
                    <w:rPr>
                      <w:rFonts w:hint="eastAsia"/>
                      <w:bCs/>
                      <w:color w:val="auto"/>
                      <w:kern w:val="0"/>
                      <w:sz w:val="18"/>
                      <w:szCs w:val="18"/>
                      <w:lang w:bidi="ar"/>
                    </w:rPr>
                  </w:pPr>
                </w:p>
              </w:tc>
              <w:tc>
                <w:tcPr>
                  <w:tcW w:w="343" w:type="pct"/>
                  <w:vMerge w:val="continue"/>
                  <w:tcBorders>
                    <w:tl2br w:val="nil"/>
                    <w:tr2bl w:val="nil"/>
                  </w:tcBorders>
                  <w:shd w:val="clear" w:color="auto" w:fill="auto"/>
                  <w:vAlign w:val="center"/>
                </w:tcPr>
                <w:p w14:paraId="2608DFCB">
                  <w:pPr>
                    <w:adjustRightInd w:val="0"/>
                    <w:snapToGrid w:val="0"/>
                    <w:jc w:val="center"/>
                    <w:rPr>
                      <w:rFonts w:hint="eastAsia"/>
                      <w:bCs/>
                      <w:color w:val="auto"/>
                      <w:kern w:val="0"/>
                      <w:sz w:val="18"/>
                      <w:szCs w:val="18"/>
                      <w:lang w:bidi="ar"/>
                    </w:rPr>
                  </w:pPr>
                </w:p>
              </w:tc>
              <w:tc>
                <w:tcPr>
                  <w:tcW w:w="440" w:type="pct"/>
                  <w:vMerge w:val="continue"/>
                  <w:tcBorders>
                    <w:tl2br w:val="nil"/>
                    <w:tr2bl w:val="nil"/>
                  </w:tcBorders>
                  <w:shd w:val="clear" w:color="auto" w:fill="auto"/>
                  <w:vAlign w:val="center"/>
                </w:tcPr>
                <w:p w14:paraId="73DFF2AB">
                  <w:pPr>
                    <w:adjustRightInd w:val="0"/>
                    <w:snapToGrid w:val="0"/>
                    <w:jc w:val="center"/>
                    <w:rPr>
                      <w:rFonts w:hint="eastAsia"/>
                      <w:bCs/>
                      <w:color w:val="auto"/>
                      <w:kern w:val="0"/>
                      <w:sz w:val="18"/>
                      <w:szCs w:val="18"/>
                      <w:lang w:bidi="ar"/>
                    </w:rPr>
                  </w:pPr>
                </w:p>
              </w:tc>
              <w:tc>
                <w:tcPr>
                  <w:tcW w:w="533" w:type="pct"/>
                  <w:vMerge w:val="continue"/>
                  <w:tcBorders>
                    <w:tl2br w:val="nil"/>
                    <w:tr2bl w:val="nil"/>
                  </w:tcBorders>
                  <w:shd w:val="clear" w:color="auto" w:fill="auto"/>
                  <w:vAlign w:val="center"/>
                </w:tcPr>
                <w:p w14:paraId="348D693C">
                  <w:pPr>
                    <w:adjustRightInd w:val="0"/>
                    <w:snapToGrid w:val="0"/>
                    <w:jc w:val="center"/>
                    <w:rPr>
                      <w:rFonts w:hint="eastAsia"/>
                      <w:bCs/>
                      <w:color w:val="auto"/>
                      <w:kern w:val="0"/>
                      <w:sz w:val="18"/>
                      <w:szCs w:val="18"/>
                      <w:lang w:bidi="ar"/>
                    </w:rPr>
                  </w:pPr>
                </w:p>
              </w:tc>
              <w:tc>
                <w:tcPr>
                  <w:tcW w:w="347" w:type="pct"/>
                  <w:vMerge w:val="continue"/>
                  <w:tcBorders>
                    <w:tl2br w:val="nil"/>
                    <w:tr2bl w:val="nil"/>
                  </w:tcBorders>
                  <w:shd w:val="clear" w:color="auto" w:fill="auto"/>
                  <w:vAlign w:val="center"/>
                </w:tcPr>
                <w:p w14:paraId="770A44F3">
                  <w:pPr>
                    <w:adjustRightInd w:val="0"/>
                    <w:snapToGrid w:val="0"/>
                    <w:jc w:val="center"/>
                    <w:rPr>
                      <w:rFonts w:hint="eastAsia"/>
                      <w:bCs/>
                      <w:color w:val="auto"/>
                      <w:kern w:val="0"/>
                      <w:sz w:val="18"/>
                      <w:szCs w:val="18"/>
                      <w:lang w:bidi="ar"/>
                    </w:rPr>
                  </w:pPr>
                </w:p>
              </w:tc>
              <w:tc>
                <w:tcPr>
                  <w:tcW w:w="465" w:type="pct"/>
                  <w:vMerge w:val="continue"/>
                  <w:tcBorders>
                    <w:tl2br w:val="nil"/>
                    <w:tr2bl w:val="nil"/>
                  </w:tcBorders>
                  <w:shd w:val="clear" w:color="auto" w:fill="auto"/>
                  <w:vAlign w:val="center"/>
                </w:tcPr>
                <w:p w14:paraId="254798AC">
                  <w:pPr>
                    <w:adjustRightInd w:val="0"/>
                    <w:snapToGrid w:val="0"/>
                    <w:jc w:val="center"/>
                    <w:rPr>
                      <w:rFonts w:hint="eastAsia"/>
                      <w:bCs/>
                      <w:color w:val="auto"/>
                      <w:kern w:val="0"/>
                      <w:sz w:val="18"/>
                      <w:szCs w:val="18"/>
                      <w:lang w:bidi="ar"/>
                    </w:rPr>
                  </w:pPr>
                </w:p>
              </w:tc>
              <w:tc>
                <w:tcPr>
                  <w:tcW w:w="533" w:type="pct"/>
                  <w:vMerge w:val="continue"/>
                  <w:tcBorders>
                    <w:tl2br w:val="nil"/>
                    <w:tr2bl w:val="nil"/>
                  </w:tcBorders>
                  <w:shd w:val="clear" w:color="auto" w:fill="auto"/>
                  <w:vAlign w:val="center"/>
                </w:tcPr>
                <w:p w14:paraId="35CE84CA">
                  <w:pPr>
                    <w:adjustRightInd w:val="0"/>
                    <w:snapToGrid w:val="0"/>
                    <w:jc w:val="center"/>
                    <w:rPr>
                      <w:rFonts w:hint="eastAsia"/>
                      <w:bCs/>
                      <w:color w:val="auto"/>
                      <w:kern w:val="0"/>
                      <w:sz w:val="18"/>
                      <w:szCs w:val="18"/>
                      <w:lang w:bidi="ar"/>
                    </w:rPr>
                  </w:pPr>
                </w:p>
              </w:tc>
              <w:tc>
                <w:tcPr>
                  <w:tcW w:w="406" w:type="pct"/>
                  <w:vMerge w:val="continue"/>
                  <w:tcBorders>
                    <w:tl2br w:val="nil"/>
                    <w:tr2bl w:val="nil"/>
                  </w:tcBorders>
                  <w:shd w:val="clear" w:color="auto" w:fill="auto"/>
                  <w:vAlign w:val="center"/>
                </w:tcPr>
                <w:p w14:paraId="205F0AE9">
                  <w:pPr>
                    <w:adjustRightInd w:val="0"/>
                    <w:snapToGrid w:val="0"/>
                    <w:jc w:val="center"/>
                    <w:rPr>
                      <w:rFonts w:hint="eastAsia"/>
                      <w:bCs/>
                      <w:color w:val="auto"/>
                      <w:kern w:val="0"/>
                      <w:sz w:val="18"/>
                      <w:szCs w:val="18"/>
                      <w:lang w:bidi="ar"/>
                    </w:rPr>
                  </w:pPr>
                </w:p>
              </w:tc>
              <w:tc>
                <w:tcPr>
                  <w:tcW w:w="677" w:type="pct"/>
                  <w:tcBorders>
                    <w:tl2br w:val="nil"/>
                    <w:tr2bl w:val="nil"/>
                  </w:tcBorders>
                  <w:shd w:val="clear" w:color="auto" w:fill="auto"/>
                  <w:vAlign w:val="center"/>
                </w:tcPr>
                <w:p w14:paraId="3867A1FC">
                  <w:pPr>
                    <w:pStyle w:val="656"/>
                    <w:snapToGrid w:val="0"/>
                    <w:rPr>
                      <w:rFonts w:hint="eastAsia"/>
                      <w:bCs/>
                      <w:color w:val="auto"/>
                      <w:kern w:val="0"/>
                      <w:sz w:val="18"/>
                      <w:szCs w:val="18"/>
                      <w:lang w:bidi="ar"/>
                    </w:rPr>
                  </w:pPr>
                  <w:r>
                    <w:rPr>
                      <w:rFonts w:hint="eastAsia" w:eastAsia="宋体"/>
                      <w:color w:val="auto"/>
                      <w:sz w:val="18"/>
                      <w:szCs w:val="18"/>
                      <w:lang w:val="en-US" w:eastAsia="zh-CN"/>
                    </w:rPr>
                    <w:t>HCl</w:t>
                  </w:r>
                </w:p>
              </w:tc>
              <w:tc>
                <w:tcPr>
                  <w:tcW w:w="992" w:type="dxa"/>
                  <w:tcBorders>
                    <w:tl2br w:val="nil"/>
                    <w:tr2bl w:val="nil"/>
                  </w:tcBorders>
                  <w:shd w:val="clear" w:color="auto" w:fill="auto"/>
                  <w:vAlign w:val="center"/>
                </w:tcPr>
                <w:p w14:paraId="180B2CCD">
                  <w:pPr>
                    <w:pStyle w:val="656"/>
                    <w:snapToGrid w:val="0"/>
                    <w:rPr>
                      <w:rFonts w:hint="eastAsia"/>
                      <w:bCs/>
                      <w:color w:val="auto"/>
                      <w:kern w:val="0"/>
                      <w:sz w:val="18"/>
                      <w:szCs w:val="18"/>
                      <w:lang w:bidi="ar"/>
                    </w:rPr>
                  </w:pPr>
                  <w:r>
                    <w:rPr>
                      <w:rFonts w:hint="eastAsia" w:eastAsia="宋体"/>
                      <w:color w:val="auto"/>
                      <w:sz w:val="18"/>
                      <w:szCs w:val="18"/>
                      <w:lang w:val="en-US" w:eastAsia="zh-CN"/>
                    </w:rPr>
                    <w:t>0.0053</w:t>
                  </w:r>
                </w:p>
              </w:tc>
            </w:tr>
            <w:tr w14:paraId="0C3A43D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54" w:type="pct"/>
                  <w:vMerge w:val="continue"/>
                  <w:tcBorders>
                    <w:tl2br w:val="nil"/>
                    <w:tr2bl w:val="nil"/>
                  </w:tcBorders>
                  <w:shd w:val="clear" w:color="auto" w:fill="auto"/>
                  <w:vAlign w:val="center"/>
                </w:tcPr>
                <w:p w14:paraId="39B80D29">
                  <w:pPr>
                    <w:adjustRightInd w:val="0"/>
                    <w:snapToGrid w:val="0"/>
                    <w:jc w:val="center"/>
                    <w:rPr>
                      <w:rFonts w:hint="eastAsia"/>
                      <w:bCs/>
                      <w:color w:val="auto"/>
                      <w:kern w:val="0"/>
                      <w:sz w:val="18"/>
                      <w:szCs w:val="18"/>
                      <w:lang w:bidi="ar"/>
                    </w:rPr>
                  </w:pPr>
                </w:p>
              </w:tc>
              <w:tc>
                <w:tcPr>
                  <w:tcW w:w="342" w:type="pct"/>
                  <w:vMerge w:val="continue"/>
                  <w:tcBorders>
                    <w:tl2br w:val="nil"/>
                    <w:tr2bl w:val="nil"/>
                  </w:tcBorders>
                  <w:shd w:val="clear" w:color="auto" w:fill="auto"/>
                  <w:vAlign w:val="center"/>
                </w:tcPr>
                <w:p w14:paraId="137E9303">
                  <w:pPr>
                    <w:adjustRightInd w:val="0"/>
                    <w:snapToGrid w:val="0"/>
                    <w:jc w:val="center"/>
                    <w:rPr>
                      <w:rFonts w:hint="eastAsia"/>
                      <w:bCs/>
                      <w:color w:val="auto"/>
                      <w:kern w:val="0"/>
                      <w:sz w:val="18"/>
                      <w:szCs w:val="18"/>
                      <w:lang w:bidi="ar"/>
                    </w:rPr>
                  </w:pPr>
                </w:p>
              </w:tc>
              <w:tc>
                <w:tcPr>
                  <w:tcW w:w="343" w:type="pct"/>
                  <w:vMerge w:val="continue"/>
                  <w:tcBorders>
                    <w:tl2br w:val="nil"/>
                    <w:tr2bl w:val="nil"/>
                  </w:tcBorders>
                  <w:shd w:val="clear" w:color="auto" w:fill="auto"/>
                  <w:vAlign w:val="center"/>
                </w:tcPr>
                <w:p w14:paraId="423AFC83">
                  <w:pPr>
                    <w:adjustRightInd w:val="0"/>
                    <w:snapToGrid w:val="0"/>
                    <w:jc w:val="center"/>
                    <w:rPr>
                      <w:rFonts w:hint="eastAsia"/>
                      <w:bCs/>
                      <w:color w:val="auto"/>
                      <w:kern w:val="0"/>
                      <w:sz w:val="18"/>
                      <w:szCs w:val="18"/>
                      <w:lang w:bidi="ar"/>
                    </w:rPr>
                  </w:pPr>
                </w:p>
              </w:tc>
              <w:tc>
                <w:tcPr>
                  <w:tcW w:w="440" w:type="pct"/>
                  <w:vMerge w:val="continue"/>
                  <w:tcBorders>
                    <w:tl2br w:val="nil"/>
                    <w:tr2bl w:val="nil"/>
                  </w:tcBorders>
                  <w:shd w:val="clear" w:color="auto" w:fill="auto"/>
                  <w:vAlign w:val="center"/>
                </w:tcPr>
                <w:p w14:paraId="4DB9FE0E">
                  <w:pPr>
                    <w:adjustRightInd w:val="0"/>
                    <w:snapToGrid w:val="0"/>
                    <w:jc w:val="center"/>
                    <w:rPr>
                      <w:rFonts w:hint="eastAsia"/>
                      <w:bCs/>
                      <w:color w:val="auto"/>
                      <w:kern w:val="0"/>
                      <w:sz w:val="18"/>
                      <w:szCs w:val="18"/>
                      <w:lang w:bidi="ar"/>
                    </w:rPr>
                  </w:pPr>
                </w:p>
              </w:tc>
              <w:tc>
                <w:tcPr>
                  <w:tcW w:w="533" w:type="pct"/>
                  <w:vMerge w:val="continue"/>
                  <w:tcBorders>
                    <w:tl2br w:val="nil"/>
                    <w:tr2bl w:val="nil"/>
                  </w:tcBorders>
                  <w:shd w:val="clear" w:color="auto" w:fill="auto"/>
                  <w:vAlign w:val="center"/>
                </w:tcPr>
                <w:p w14:paraId="527E4FD7">
                  <w:pPr>
                    <w:adjustRightInd w:val="0"/>
                    <w:snapToGrid w:val="0"/>
                    <w:jc w:val="center"/>
                    <w:rPr>
                      <w:rFonts w:hint="eastAsia"/>
                      <w:bCs/>
                      <w:color w:val="auto"/>
                      <w:kern w:val="0"/>
                      <w:sz w:val="18"/>
                      <w:szCs w:val="18"/>
                      <w:lang w:bidi="ar"/>
                    </w:rPr>
                  </w:pPr>
                </w:p>
              </w:tc>
              <w:tc>
                <w:tcPr>
                  <w:tcW w:w="347" w:type="pct"/>
                  <w:vMerge w:val="continue"/>
                  <w:tcBorders>
                    <w:tl2br w:val="nil"/>
                    <w:tr2bl w:val="nil"/>
                  </w:tcBorders>
                  <w:shd w:val="clear" w:color="auto" w:fill="auto"/>
                  <w:vAlign w:val="center"/>
                </w:tcPr>
                <w:p w14:paraId="24051EC3">
                  <w:pPr>
                    <w:adjustRightInd w:val="0"/>
                    <w:snapToGrid w:val="0"/>
                    <w:jc w:val="center"/>
                    <w:rPr>
                      <w:rFonts w:hint="eastAsia"/>
                      <w:bCs/>
                      <w:color w:val="auto"/>
                      <w:kern w:val="0"/>
                      <w:sz w:val="18"/>
                      <w:szCs w:val="18"/>
                      <w:lang w:bidi="ar"/>
                    </w:rPr>
                  </w:pPr>
                </w:p>
              </w:tc>
              <w:tc>
                <w:tcPr>
                  <w:tcW w:w="465" w:type="pct"/>
                  <w:vMerge w:val="continue"/>
                  <w:tcBorders>
                    <w:tl2br w:val="nil"/>
                    <w:tr2bl w:val="nil"/>
                  </w:tcBorders>
                  <w:shd w:val="clear" w:color="auto" w:fill="auto"/>
                  <w:vAlign w:val="center"/>
                </w:tcPr>
                <w:p w14:paraId="51990E55">
                  <w:pPr>
                    <w:adjustRightInd w:val="0"/>
                    <w:snapToGrid w:val="0"/>
                    <w:jc w:val="center"/>
                    <w:rPr>
                      <w:rFonts w:hint="eastAsia"/>
                      <w:bCs/>
                      <w:color w:val="auto"/>
                      <w:kern w:val="0"/>
                      <w:sz w:val="18"/>
                      <w:szCs w:val="18"/>
                      <w:lang w:bidi="ar"/>
                    </w:rPr>
                  </w:pPr>
                </w:p>
              </w:tc>
              <w:tc>
                <w:tcPr>
                  <w:tcW w:w="533" w:type="pct"/>
                  <w:vMerge w:val="continue"/>
                  <w:tcBorders>
                    <w:tl2br w:val="nil"/>
                    <w:tr2bl w:val="nil"/>
                  </w:tcBorders>
                  <w:shd w:val="clear" w:color="auto" w:fill="auto"/>
                  <w:vAlign w:val="center"/>
                </w:tcPr>
                <w:p w14:paraId="07869D7C">
                  <w:pPr>
                    <w:adjustRightInd w:val="0"/>
                    <w:snapToGrid w:val="0"/>
                    <w:jc w:val="center"/>
                    <w:rPr>
                      <w:rFonts w:hint="eastAsia"/>
                      <w:bCs/>
                      <w:color w:val="auto"/>
                      <w:kern w:val="0"/>
                      <w:sz w:val="18"/>
                      <w:szCs w:val="18"/>
                      <w:lang w:bidi="ar"/>
                    </w:rPr>
                  </w:pPr>
                </w:p>
              </w:tc>
              <w:tc>
                <w:tcPr>
                  <w:tcW w:w="406" w:type="pct"/>
                  <w:vMerge w:val="continue"/>
                  <w:tcBorders>
                    <w:tl2br w:val="nil"/>
                    <w:tr2bl w:val="nil"/>
                  </w:tcBorders>
                  <w:shd w:val="clear" w:color="auto" w:fill="auto"/>
                  <w:vAlign w:val="center"/>
                </w:tcPr>
                <w:p w14:paraId="3995A6BD">
                  <w:pPr>
                    <w:adjustRightInd w:val="0"/>
                    <w:snapToGrid w:val="0"/>
                    <w:jc w:val="center"/>
                    <w:rPr>
                      <w:rFonts w:hint="eastAsia"/>
                      <w:bCs/>
                      <w:color w:val="auto"/>
                      <w:kern w:val="0"/>
                      <w:sz w:val="18"/>
                      <w:szCs w:val="18"/>
                      <w:lang w:bidi="ar"/>
                    </w:rPr>
                  </w:pPr>
                </w:p>
              </w:tc>
              <w:tc>
                <w:tcPr>
                  <w:tcW w:w="677" w:type="pct"/>
                  <w:tcBorders>
                    <w:tl2br w:val="nil"/>
                    <w:tr2bl w:val="nil"/>
                  </w:tcBorders>
                  <w:shd w:val="clear" w:color="auto" w:fill="auto"/>
                  <w:vAlign w:val="center"/>
                </w:tcPr>
                <w:p w14:paraId="7AABB85F">
                  <w:pPr>
                    <w:pStyle w:val="656"/>
                    <w:snapToGrid w:val="0"/>
                    <w:rPr>
                      <w:rFonts w:hint="eastAsia"/>
                      <w:bCs/>
                      <w:color w:val="auto"/>
                      <w:kern w:val="0"/>
                      <w:sz w:val="18"/>
                      <w:szCs w:val="18"/>
                      <w:lang w:bidi="ar"/>
                    </w:rPr>
                  </w:pPr>
                  <w:r>
                    <w:rPr>
                      <w:rFonts w:hint="eastAsia" w:eastAsia="宋体"/>
                      <w:color w:val="auto"/>
                      <w:sz w:val="18"/>
                      <w:szCs w:val="18"/>
                      <w:lang w:val="en-US" w:eastAsia="zh-CN"/>
                    </w:rPr>
                    <w:t>非甲烷总烃</w:t>
                  </w:r>
                </w:p>
              </w:tc>
              <w:tc>
                <w:tcPr>
                  <w:tcW w:w="992" w:type="dxa"/>
                  <w:tcBorders>
                    <w:tl2br w:val="nil"/>
                    <w:tr2bl w:val="nil"/>
                  </w:tcBorders>
                  <w:shd w:val="clear" w:color="auto" w:fill="auto"/>
                  <w:vAlign w:val="center"/>
                </w:tcPr>
                <w:p w14:paraId="63ACBBD9">
                  <w:pPr>
                    <w:pStyle w:val="656"/>
                    <w:snapToGrid w:val="0"/>
                    <w:rPr>
                      <w:rFonts w:hint="eastAsia"/>
                      <w:bCs/>
                      <w:color w:val="auto"/>
                      <w:kern w:val="0"/>
                      <w:sz w:val="18"/>
                      <w:szCs w:val="18"/>
                      <w:lang w:bidi="ar"/>
                    </w:rPr>
                  </w:pPr>
                  <w:r>
                    <w:rPr>
                      <w:rFonts w:hint="eastAsia" w:eastAsia="宋体"/>
                      <w:color w:val="auto"/>
                      <w:sz w:val="18"/>
                      <w:szCs w:val="18"/>
                      <w:lang w:val="en-US" w:eastAsia="zh-CN"/>
                    </w:rPr>
                    <w:t>0.000425</w:t>
                  </w:r>
                </w:p>
              </w:tc>
            </w:tr>
            <w:tr w14:paraId="122FAA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54" w:type="pct"/>
                  <w:vMerge w:val="continue"/>
                  <w:tcBorders>
                    <w:tl2br w:val="nil"/>
                    <w:tr2bl w:val="nil"/>
                  </w:tcBorders>
                  <w:shd w:val="clear" w:color="auto" w:fill="auto"/>
                  <w:vAlign w:val="center"/>
                </w:tcPr>
                <w:p w14:paraId="4A436686">
                  <w:pPr>
                    <w:adjustRightInd w:val="0"/>
                    <w:snapToGrid w:val="0"/>
                    <w:jc w:val="center"/>
                    <w:rPr>
                      <w:rFonts w:hint="eastAsia"/>
                      <w:bCs/>
                      <w:color w:val="auto"/>
                      <w:kern w:val="0"/>
                      <w:sz w:val="18"/>
                      <w:szCs w:val="18"/>
                      <w:lang w:bidi="ar"/>
                    </w:rPr>
                  </w:pPr>
                </w:p>
              </w:tc>
              <w:tc>
                <w:tcPr>
                  <w:tcW w:w="342" w:type="pct"/>
                  <w:vMerge w:val="continue"/>
                  <w:tcBorders>
                    <w:tl2br w:val="nil"/>
                    <w:tr2bl w:val="nil"/>
                  </w:tcBorders>
                  <w:shd w:val="clear" w:color="auto" w:fill="auto"/>
                  <w:vAlign w:val="center"/>
                </w:tcPr>
                <w:p w14:paraId="7683765C">
                  <w:pPr>
                    <w:adjustRightInd w:val="0"/>
                    <w:snapToGrid w:val="0"/>
                    <w:jc w:val="center"/>
                    <w:rPr>
                      <w:rFonts w:hint="eastAsia"/>
                      <w:bCs/>
                      <w:color w:val="auto"/>
                      <w:kern w:val="0"/>
                      <w:sz w:val="18"/>
                      <w:szCs w:val="18"/>
                      <w:lang w:bidi="ar"/>
                    </w:rPr>
                  </w:pPr>
                </w:p>
              </w:tc>
              <w:tc>
                <w:tcPr>
                  <w:tcW w:w="343" w:type="pct"/>
                  <w:vMerge w:val="continue"/>
                  <w:tcBorders>
                    <w:tl2br w:val="nil"/>
                    <w:tr2bl w:val="nil"/>
                  </w:tcBorders>
                  <w:shd w:val="clear" w:color="auto" w:fill="auto"/>
                  <w:vAlign w:val="center"/>
                </w:tcPr>
                <w:p w14:paraId="789E6E6A">
                  <w:pPr>
                    <w:adjustRightInd w:val="0"/>
                    <w:snapToGrid w:val="0"/>
                    <w:jc w:val="center"/>
                    <w:rPr>
                      <w:rFonts w:hint="eastAsia"/>
                      <w:bCs/>
                      <w:color w:val="auto"/>
                      <w:kern w:val="0"/>
                      <w:sz w:val="18"/>
                      <w:szCs w:val="18"/>
                      <w:lang w:bidi="ar"/>
                    </w:rPr>
                  </w:pPr>
                </w:p>
              </w:tc>
              <w:tc>
                <w:tcPr>
                  <w:tcW w:w="440" w:type="pct"/>
                  <w:vMerge w:val="continue"/>
                  <w:tcBorders>
                    <w:tl2br w:val="nil"/>
                    <w:tr2bl w:val="nil"/>
                  </w:tcBorders>
                  <w:shd w:val="clear" w:color="auto" w:fill="auto"/>
                  <w:vAlign w:val="center"/>
                </w:tcPr>
                <w:p w14:paraId="31BC9974">
                  <w:pPr>
                    <w:adjustRightInd w:val="0"/>
                    <w:snapToGrid w:val="0"/>
                    <w:jc w:val="center"/>
                    <w:rPr>
                      <w:rFonts w:hint="eastAsia"/>
                      <w:bCs/>
                      <w:color w:val="auto"/>
                      <w:kern w:val="0"/>
                      <w:sz w:val="18"/>
                      <w:szCs w:val="18"/>
                      <w:lang w:bidi="ar"/>
                    </w:rPr>
                  </w:pPr>
                </w:p>
              </w:tc>
              <w:tc>
                <w:tcPr>
                  <w:tcW w:w="533" w:type="pct"/>
                  <w:vMerge w:val="continue"/>
                  <w:tcBorders>
                    <w:tl2br w:val="nil"/>
                    <w:tr2bl w:val="nil"/>
                  </w:tcBorders>
                  <w:shd w:val="clear" w:color="auto" w:fill="auto"/>
                  <w:vAlign w:val="center"/>
                </w:tcPr>
                <w:p w14:paraId="7C3774DD">
                  <w:pPr>
                    <w:adjustRightInd w:val="0"/>
                    <w:snapToGrid w:val="0"/>
                    <w:jc w:val="center"/>
                    <w:rPr>
                      <w:rFonts w:hint="eastAsia"/>
                      <w:bCs/>
                      <w:color w:val="auto"/>
                      <w:kern w:val="0"/>
                      <w:sz w:val="18"/>
                      <w:szCs w:val="18"/>
                      <w:lang w:bidi="ar"/>
                    </w:rPr>
                  </w:pPr>
                </w:p>
              </w:tc>
              <w:tc>
                <w:tcPr>
                  <w:tcW w:w="347" w:type="pct"/>
                  <w:vMerge w:val="continue"/>
                  <w:tcBorders>
                    <w:tl2br w:val="nil"/>
                    <w:tr2bl w:val="nil"/>
                  </w:tcBorders>
                  <w:shd w:val="clear" w:color="auto" w:fill="auto"/>
                  <w:vAlign w:val="center"/>
                </w:tcPr>
                <w:p w14:paraId="2E5E9531">
                  <w:pPr>
                    <w:adjustRightInd w:val="0"/>
                    <w:snapToGrid w:val="0"/>
                    <w:jc w:val="center"/>
                    <w:rPr>
                      <w:rFonts w:hint="eastAsia"/>
                      <w:bCs/>
                      <w:color w:val="auto"/>
                      <w:kern w:val="0"/>
                      <w:sz w:val="18"/>
                      <w:szCs w:val="18"/>
                      <w:lang w:bidi="ar"/>
                    </w:rPr>
                  </w:pPr>
                </w:p>
              </w:tc>
              <w:tc>
                <w:tcPr>
                  <w:tcW w:w="465" w:type="pct"/>
                  <w:vMerge w:val="continue"/>
                  <w:tcBorders>
                    <w:tl2br w:val="nil"/>
                    <w:tr2bl w:val="nil"/>
                  </w:tcBorders>
                  <w:shd w:val="clear" w:color="auto" w:fill="auto"/>
                  <w:vAlign w:val="center"/>
                </w:tcPr>
                <w:p w14:paraId="32DB4BF8">
                  <w:pPr>
                    <w:adjustRightInd w:val="0"/>
                    <w:snapToGrid w:val="0"/>
                    <w:jc w:val="center"/>
                    <w:rPr>
                      <w:rFonts w:hint="eastAsia"/>
                      <w:bCs/>
                      <w:color w:val="auto"/>
                      <w:kern w:val="0"/>
                      <w:sz w:val="18"/>
                      <w:szCs w:val="18"/>
                      <w:lang w:bidi="ar"/>
                    </w:rPr>
                  </w:pPr>
                </w:p>
              </w:tc>
              <w:tc>
                <w:tcPr>
                  <w:tcW w:w="533" w:type="pct"/>
                  <w:vMerge w:val="continue"/>
                  <w:tcBorders>
                    <w:tl2br w:val="nil"/>
                    <w:tr2bl w:val="nil"/>
                  </w:tcBorders>
                  <w:shd w:val="clear" w:color="auto" w:fill="auto"/>
                  <w:vAlign w:val="center"/>
                </w:tcPr>
                <w:p w14:paraId="6436E5C5">
                  <w:pPr>
                    <w:adjustRightInd w:val="0"/>
                    <w:snapToGrid w:val="0"/>
                    <w:jc w:val="center"/>
                    <w:rPr>
                      <w:rFonts w:hint="eastAsia"/>
                      <w:bCs/>
                      <w:color w:val="auto"/>
                      <w:kern w:val="0"/>
                      <w:sz w:val="18"/>
                      <w:szCs w:val="18"/>
                      <w:lang w:bidi="ar"/>
                    </w:rPr>
                  </w:pPr>
                </w:p>
              </w:tc>
              <w:tc>
                <w:tcPr>
                  <w:tcW w:w="406" w:type="pct"/>
                  <w:vMerge w:val="continue"/>
                  <w:tcBorders>
                    <w:tl2br w:val="nil"/>
                    <w:tr2bl w:val="nil"/>
                  </w:tcBorders>
                  <w:shd w:val="clear" w:color="auto" w:fill="auto"/>
                  <w:vAlign w:val="center"/>
                </w:tcPr>
                <w:p w14:paraId="6D8B1EA9">
                  <w:pPr>
                    <w:adjustRightInd w:val="0"/>
                    <w:snapToGrid w:val="0"/>
                    <w:jc w:val="center"/>
                    <w:rPr>
                      <w:rFonts w:hint="eastAsia"/>
                      <w:bCs/>
                      <w:color w:val="auto"/>
                      <w:kern w:val="0"/>
                      <w:sz w:val="18"/>
                      <w:szCs w:val="18"/>
                      <w:lang w:bidi="ar"/>
                    </w:rPr>
                  </w:pPr>
                </w:p>
              </w:tc>
              <w:tc>
                <w:tcPr>
                  <w:tcW w:w="677" w:type="pct"/>
                  <w:tcBorders>
                    <w:tl2br w:val="nil"/>
                    <w:tr2bl w:val="nil"/>
                  </w:tcBorders>
                  <w:shd w:val="clear" w:color="auto" w:fill="auto"/>
                  <w:vAlign w:val="center"/>
                </w:tcPr>
                <w:p w14:paraId="206B8F9D">
                  <w:pPr>
                    <w:pStyle w:val="656"/>
                    <w:snapToGrid w:val="0"/>
                    <w:rPr>
                      <w:rFonts w:hint="eastAsia"/>
                      <w:bCs/>
                      <w:color w:val="auto"/>
                      <w:kern w:val="0"/>
                      <w:sz w:val="18"/>
                      <w:szCs w:val="18"/>
                      <w:lang w:bidi="ar"/>
                    </w:rPr>
                  </w:pPr>
                  <w:r>
                    <w:rPr>
                      <w:rFonts w:hint="eastAsia" w:eastAsia="宋体"/>
                      <w:color w:val="auto"/>
                      <w:sz w:val="18"/>
                      <w:szCs w:val="18"/>
                      <w:lang w:val="en-US" w:eastAsia="zh-CN"/>
                    </w:rPr>
                    <w:t>铜及其化合物（以Cu计）</w:t>
                  </w:r>
                </w:p>
              </w:tc>
              <w:tc>
                <w:tcPr>
                  <w:tcW w:w="992" w:type="dxa"/>
                  <w:tcBorders>
                    <w:tl2br w:val="nil"/>
                    <w:tr2bl w:val="nil"/>
                  </w:tcBorders>
                  <w:shd w:val="clear" w:color="auto" w:fill="auto"/>
                  <w:vAlign w:val="center"/>
                </w:tcPr>
                <w:p w14:paraId="5EA4A608">
                  <w:pPr>
                    <w:pStyle w:val="656"/>
                    <w:snapToGrid w:val="0"/>
                    <w:rPr>
                      <w:rFonts w:hint="eastAsia"/>
                      <w:bCs/>
                      <w:color w:val="auto"/>
                      <w:kern w:val="0"/>
                      <w:sz w:val="18"/>
                      <w:szCs w:val="18"/>
                      <w:lang w:bidi="ar"/>
                    </w:rPr>
                  </w:pPr>
                  <w:r>
                    <w:rPr>
                      <w:rFonts w:hint="eastAsia" w:eastAsia="宋体"/>
                      <w:color w:val="auto"/>
                      <w:sz w:val="18"/>
                      <w:szCs w:val="18"/>
                      <w:lang w:val="en-US" w:eastAsia="zh-CN"/>
                    </w:rPr>
                    <w:t>0.00113</w:t>
                  </w:r>
                </w:p>
              </w:tc>
            </w:tr>
            <w:tr w14:paraId="63B6C7C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54" w:type="pct"/>
                  <w:vMerge w:val="continue"/>
                  <w:tcBorders>
                    <w:tl2br w:val="nil"/>
                    <w:tr2bl w:val="nil"/>
                  </w:tcBorders>
                  <w:shd w:val="clear" w:color="auto" w:fill="auto"/>
                  <w:vAlign w:val="center"/>
                </w:tcPr>
                <w:p w14:paraId="7A21AA15">
                  <w:pPr>
                    <w:adjustRightInd w:val="0"/>
                    <w:snapToGrid w:val="0"/>
                    <w:jc w:val="center"/>
                    <w:rPr>
                      <w:rFonts w:hint="eastAsia"/>
                      <w:bCs/>
                      <w:color w:val="auto"/>
                      <w:kern w:val="0"/>
                      <w:sz w:val="18"/>
                      <w:szCs w:val="18"/>
                      <w:lang w:bidi="ar"/>
                    </w:rPr>
                  </w:pPr>
                </w:p>
              </w:tc>
              <w:tc>
                <w:tcPr>
                  <w:tcW w:w="342" w:type="pct"/>
                  <w:vMerge w:val="continue"/>
                  <w:tcBorders>
                    <w:tl2br w:val="nil"/>
                    <w:tr2bl w:val="nil"/>
                  </w:tcBorders>
                  <w:shd w:val="clear" w:color="auto" w:fill="auto"/>
                  <w:vAlign w:val="center"/>
                </w:tcPr>
                <w:p w14:paraId="02ADFC26">
                  <w:pPr>
                    <w:adjustRightInd w:val="0"/>
                    <w:snapToGrid w:val="0"/>
                    <w:jc w:val="center"/>
                    <w:rPr>
                      <w:rFonts w:hint="eastAsia"/>
                      <w:bCs/>
                      <w:color w:val="auto"/>
                      <w:kern w:val="0"/>
                      <w:sz w:val="18"/>
                      <w:szCs w:val="18"/>
                      <w:lang w:bidi="ar"/>
                    </w:rPr>
                  </w:pPr>
                </w:p>
              </w:tc>
              <w:tc>
                <w:tcPr>
                  <w:tcW w:w="343" w:type="pct"/>
                  <w:vMerge w:val="continue"/>
                  <w:tcBorders>
                    <w:tl2br w:val="nil"/>
                    <w:tr2bl w:val="nil"/>
                  </w:tcBorders>
                  <w:shd w:val="clear" w:color="auto" w:fill="auto"/>
                  <w:vAlign w:val="center"/>
                </w:tcPr>
                <w:p w14:paraId="07EE3F07">
                  <w:pPr>
                    <w:adjustRightInd w:val="0"/>
                    <w:snapToGrid w:val="0"/>
                    <w:jc w:val="center"/>
                    <w:rPr>
                      <w:rFonts w:hint="eastAsia"/>
                      <w:bCs/>
                      <w:color w:val="auto"/>
                      <w:kern w:val="0"/>
                      <w:sz w:val="18"/>
                      <w:szCs w:val="18"/>
                      <w:lang w:bidi="ar"/>
                    </w:rPr>
                  </w:pPr>
                </w:p>
              </w:tc>
              <w:tc>
                <w:tcPr>
                  <w:tcW w:w="440" w:type="pct"/>
                  <w:vMerge w:val="continue"/>
                  <w:tcBorders>
                    <w:tl2br w:val="nil"/>
                    <w:tr2bl w:val="nil"/>
                  </w:tcBorders>
                  <w:shd w:val="clear" w:color="auto" w:fill="auto"/>
                  <w:vAlign w:val="center"/>
                </w:tcPr>
                <w:p w14:paraId="4E6254DF">
                  <w:pPr>
                    <w:adjustRightInd w:val="0"/>
                    <w:snapToGrid w:val="0"/>
                    <w:jc w:val="center"/>
                    <w:rPr>
                      <w:rFonts w:hint="eastAsia"/>
                      <w:bCs/>
                      <w:color w:val="auto"/>
                      <w:kern w:val="0"/>
                      <w:sz w:val="18"/>
                      <w:szCs w:val="18"/>
                      <w:lang w:bidi="ar"/>
                    </w:rPr>
                  </w:pPr>
                </w:p>
              </w:tc>
              <w:tc>
                <w:tcPr>
                  <w:tcW w:w="533" w:type="pct"/>
                  <w:vMerge w:val="continue"/>
                  <w:tcBorders>
                    <w:tl2br w:val="nil"/>
                    <w:tr2bl w:val="nil"/>
                  </w:tcBorders>
                  <w:shd w:val="clear" w:color="auto" w:fill="auto"/>
                  <w:vAlign w:val="center"/>
                </w:tcPr>
                <w:p w14:paraId="20B7972B">
                  <w:pPr>
                    <w:adjustRightInd w:val="0"/>
                    <w:snapToGrid w:val="0"/>
                    <w:jc w:val="center"/>
                    <w:rPr>
                      <w:rFonts w:hint="eastAsia"/>
                      <w:bCs/>
                      <w:color w:val="auto"/>
                      <w:kern w:val="0"/>
                      <w:sz w:val="18"/>
                      <w:szCs w:val="18"/>
                      <w:lang w:bidi="ar"/>
                    </w:rPr>
                  </w:pPr>
                </w:p>
              </w:tc>
              <w:tc>
                <w:tcPr>
                  <w:tcW w:w="347" w:type="pct"/>
                  <w:vMerge w:val="continue"/>
                  <w:tcBorders>
                    <w:tl2br w:val="nil"/>
                    <w:tr2bl w:val="nil"/>
                  </w:tcBorders>
                  <w:shd w:val="clear" w:color="auto" w:fill="auto"/>
                  <w:vAlign w:val="center"/>
                </w:tcPr>
                <w:p w14:paraId="0E0139A7">
                  <w:pPr>
                    <w:adjustRightInd w:val="0"/>
                    <w:snapToGrid w:val="0"/>
                    <w:jc w:val="center"/>
                    <w:rPr>
                      <w:rFonts w:hint="eastAsia"/>
                      <w:bCs/>
                      <w:color w:val="auto"/>
                      <w:kern w:val="0"/>
                      <w:sz w:val="18"/>
                      <w:szCs w:val="18"/>
                      <w:lang w:bidi="ar"/>
                    </w:rPr>
                  </w:pPr>
                </w:p>
              </w:tc>
              <w:tc>
                <w:tcPr>
                  <w:tcW w:w="465" w:type="pct"/>
                  <w:vMerge w:val="continue"/>
                  <w:tcBorders>
                    <w:tl2br w:val="nil"/>
                    <w:tr2bl w:val="nil"/>
                  </w:tcBorders>
                  <w:shd w:val="clear" w:color="auto" w:fill="auto"/>
                  <w:vAlign w:val="center"/>
                </w:tcPr>
                <w:p w14:paraId="29692AD5">
                  <w:pPr>
                    <w:adjustRightInd w:val="0"/>
                    <w:snapToGrid w:val="0"/>
                    <w:jc w:val="center"/>
                    <w:rPr>
                      <w:rFonts w:hint="eastAsia"/>
                      <w:bCs/>
                      <w:color w:val="auto"/>
                      <w:kern w:val="0"/>
                      <w:sz w:val="18"/>
                      <w:szCs w:val="18"/>
                      <w:lang w:bidi="ar"/>
                    </w:rPr>
                  </w:pPr>
                </w:p>
              </w:tc>
              <w:tc>
                <w:tcPr>
                  <w:tcW w:w="533" w:type="pct"/>
                  <w:vMerge w:val="continue"/>
                  <w:tcBorders>
                    <w:tl2br w:val="nil"/>
                    <w:tr2bl w:val="nil"/>
                  </w:tcBorders>
                  <w:shd w:val="clear" w:color="auto" w:fill="auto"/>
                  <w:vAlign w:val="center"/>
                </w:tcPr>
                <w:p w14:paraId="7B519DD6">
                  <w:pPr>
                    <w:adjustRightInd w:val="0"/>
                    <w:snapToGrid w:val="0"/>
                    <w:jc w:val="center"/>
                    <w:rPr>
                      <w:rFonts w:hint="eastAsia"/>
                      <w:bCs/>
                      <w:color w:val="auto"/>
                      <w:kern w:val="0"/>
                      <w:sz w:val="18"/>
                      <w:szCs w:val="18"/>
                      <w:lang w:bidi="ar"/>
                    </w:rPr>
                  </w:pPr>
                </w:p>
              </w:tc>
              <w:tc>
                <w:tcPr>
                  <w:tcW w:w="406" w:type="pct"/>
                  <w:vMerge w:val="continue"/>
                  <w:tcBorders>
                    <w:tl2br w:val="nil"/>
                    <w:tr2bl w:val="nil"/>
                  </w:tcBorders>
                  <w:shd w:val="clear" w:color="auto" w:fill="auto"/>
                  <w:vAlign w:val="center"/>
                </w:tcPr>
                <w:p w14:paraId="134E20BE">
                  <w:pPr>
                    <w:adjustRightInd w:val="0"/>
                    <w:snapToGrid w:val="0"/>
                    <w:jc w:val="center"/>
                    <w:rPr>
                      <w:rFonts w:hint="eastAsia"/>
                      <w:bCs/>
                      <w:color w:val="auto"/>
                      <w:kern w:val="0"/>
                      <w:sz w:val="18"/>
                      <w:szCs w:val="18"/>
                      <w:lang w:bidi="ar"/>
                    </w:rPr>
                  </w:pPr>
                </w:p>
              </w:tc>
              <w:tc>
                <w:tcPr>
                  <w:tcW w:w="677" w:type="pct"/>
                  <w:tcBorders>
                    <w:tl2br w:val="nil"/>
                    <w:tr2bl w:val="nil"/>
                  </w:tcBorders>
                  <w:shd w:val="clear" w:color="auto" w:fill="auto"/>
                  <w:vAlign w:val="center"/>
                </w:tcPr>
                <w:p w14:paraId="49BDEC18">
                  <w:pPr>
                    <w:pStyle w:val="656"/>
                    <w:snapToGrid w:val="0"/>
                    <w:rPr>
                      <w:rFonts w:hint="eastAsia"/>
                      <w:bCs/>
                      <w:color w:val="auto"/>
                      <w:kern w:val="0"/>
                      <w:sz w:val="18"/>
                      <w:szCs w:val="18"/>
                      <w:lang w:bidi="ar"/>
                    </w:rPr>
                  </w:pPr>
                  <w:r>
                    <w:rPr>
                      <w:rFonts w:hint="eastAsia" w:eastAsia="宋体"/>
                      <w:color w:val="auto"/>
                      <w:sz w:val="18"/>
                      <w:szCs w:val="18"/>
                      <w:lang w:val="en-US" w:eastAsia="zh-CN"/>
                    </w:rPr>
                    <w:t>二噁英类</w:t>
                  </w:r>
                </w:p>
              </w:tc>
              <w:tc>
                <w:tcPr>
                  <w:tcW w:w="992" w:type="dxa"/>
                  <w:tcBorders>
                    <w:tl2br w:val="nil"/>
                    <w:tr2bl w:val="nil"/>
                  </w:tcBorders>
                  <w:shd w:val="clear" w:color="auto" w:fill="auto"/>
                  <w:vAlign w:val="center"/>
                </w:tcPr>
                <w:p w14:paraId="58E1939D">
                  <w:pPr>
                    <w:pStyle w:val="656"/>
                    <w:snapToGrid w:val="0"/>
                    <w:rPr>
                      <w:rFonts w:hint="eastAsia"/>
                      <w:bCs/>
                      <w:color w:val="auto"/>
                      <w:kern w:val="0"/>
                      <w:sz w:val="18"/>
                      <w:szCs w:val="18"/>
                      <w:lang w:bidi="ar"/>
                    </w:rPr>
                  </w:pPr>
                  <w:r>
                    <w:rPr>
                      <w:rFonts w:hint="eastAsia"/>
                      <w:color w:val="auto"/>
                      <w:sz w:val="18"/>
                      <w:szCs w:val="18"/>
                      <w:lang w:val="en-US" w:eastAsia="zh-CN"/>
                    </w:rPr>
                    <w:t>0.0001625</w:t>
                  </w:r>
                  <w:r>
                    <w:rPr>
                      <w:rFonts w:hint="eastAsia"/>
                      <w:color w:val="auto"/>
                      <w:kern w:val="0"/>
                      <w:sz w:val="18"/>
                      <w:szCs w:val="18"/>
                    </w:rPr>
                    <w:t>ngTEQ/</w:t>
                  </w:r>
                  <w:r>
                    <w:rPr>
                      <w:rFonts w:hint="eastAsia"/>
                      <w:color w:val="auto"/>
                      <w:kern w:val="0"/>
                      <w:sz w:val="18"/>
                      <w:szCs w:val="18"/>
                      <w:lang w:val="en-US" w:eastAsia="zh-CN"/>
                    </w:rPr>
                    <w:t>h</w:t>
                  </w:r>
                </w:p>
              </w:tc>
            </w:tr>
            <w:tr w14:paraId="3A84FD8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000" w:type="pct"/>
                  <w:gridSpan w:val="11"/>
                  <w:tcBorders>
                    <w:tl2br w:val="nil"/>
                    <w:tr2bl w:val="nil"/>
                  </w:tcBorders>
                  <w:shd w:val="clear" w:color="auto" w:fill="auto"/>
                  <w:vAlign w:val="center"/>
                </w:tcPr>
                <w:p w14:paraId="3A84FD82">
                  <w:pPr>
                    <w:adjustRightInd w:val="0"/>
                    <w:snapToGrid w:val="0"/>
                    <w:jc w:val="left"/>
                    <w:rPr>
                      <w:b/>
                      <w:color w:val="auto"/>
                      <w:kern w:val="0"/>
                      <w:sz w:val="18"/>
                      <w:szCs w:val="18"/>
                      <w:lang w:bidi="ar"/>
                    </w:rPr>
                  </w:pPr>
                  <w:r>
                    <w:rPr>
                      <w:rFonts w:hint="eastAsia"/>
                      <w:b/>
                      <w:color w:val="auto"/>
                      <w:kern w:val="0"/>
                      <w:sz w:val="18"/>
                      <w:szCs w:val="18"/>
                      <w:lang w:bidi="ar"/>
                    </w:rPr>
                    <w:t>注：坐标以厂区左下角为原点（0,0）。</w:t>
                  </w:r>
                </w:p>
              </w:tc>
            </w:tr>
          </w:tbl>
          <w:p w14:paraId="3A84FDAA">
            <w:pPr>
              <w:pStyle w:val="5"/>
              <w:adjustRightInd w:val="0"/>
              <w:snapToGrid w:val="0"/>
              <w:spacing w:line="360" w:lineRule="auto"/>
              <w:ind w:firstLine="422" w:firstLineChars="200"/>
              <w:rPr>
                <w:b/>
                <w:color w:val="auto"/>
                <w:kern w:val="0"/>
                <w:szCs w:val="21"/>
              </w:rPr>
            </w:pPr>
            <w:r>
              <w:rPr>
                <w:rFonts w:hint="eastAsia"/>
                <w:b/>
                <w:color w:val="auto"/>
                <w:kern w:val="0"/>
                <w:szCs w:val="21"/>
              </w:rPr>
              <w:t>（4）污染治理措施可行性分析</w:t>
            </w:r>
          </w:p>
          <w:p w14:paraId="3A84FDAB">
            <w:pPr>
              <w:pStyle w:val="5"/>
              <w:adjustRightInd w:val="0"/>
              <w:snapToGrid w:val="0"/>
              <w:spacing w:line="360" w:lineRule="auto"/>
              <w:ind w:firstLine="422" w:firstLineChars="200"/>
              <w:rPr>
                <w:b/>
                <w:color w:val="auto"/>
                <w:kern w:val="0"/>
                <w:szCs w:val="21"/>
              </w:rPr>
            </w:pPr>
            <w:r>
              <w:rPr>
                <w:rFonts w:hint="eastAsia"/>
                <w:b/>
                <w:color w:val="auto"/>
                <w:kern w:val="0"/>
                <w:szCs w:val="21"/>
              </w:rPr>
              <w:t>①废气治理措施简述</w:t>
            </w:r>
          </w:p>
          <w:p w14:paraId="3A84FDAC">
            <w:pPr>
              <w:adjustRightInd w:val="0"/>
              <w:snapToGrid w:val="0"/>
              <w:spacing w:line="360" w:lineRule="auto"/>
              <w:ind w:firstLine="420" w:firstLineChars="200"/>
              <w:rPr>
                <w:color w:val="auto"/>
                <w:kern w:val="0"/>
                <w:shd w:val="clear" w:color="auto" w:fill="FFFFFF"/>
              </w:rPr>
            </w:pPr>
            <w:r>
              <w:rPr>
                <w:rFonts w:hint="eastAsia"/>
                <w:color w:val="auto"/>
                <w:kern w:val="0"/>
              </w:rPr>
              <w:t>本</w:t>
            </w:r>
            <w:r>
              <w:rPr>
                <w:rFonts w:hint="eastAsia"/>
                <w:bCs/>
                <w:color w:val="auto"/>
                <w:kern w:val="0"/>
              </w:rPr>
              <w:t>项目</w:t>
            </w:r>
            <w:r>
              <w:rPr>
                <w:rFonts w:hint="eastAsia"/>
                <w:bCs/>
                <w:color w:val="auto"/>
                <w:kern w:val="0"/>
                <w:lang w:val="en-US" w:eastAsia="zh-CN"/>
              </w:rPr>
              <w:t>不合格品焚烧产生的有机废气、颗粒物、二噁英等</w:t>
            </w:r>
            <w:r>
              <w:rPr>
                <w:rFonts w:hint="eastAsia"/>
                <w:bCs/>
                <w:color w:val="auto"/>
                <w:kern w:val="0"/>
              </w:rPr>
              <w:t>废气经</w:t>
            </w:r>
            <w:r>
              <w:rPr>
                <w:rFonts w:hint="eastAsia"/>
                <w:bCs/>
                <w:color w:val="auto"/>
                <w:kern w:val="0"/>
                <w:lang w:val="en-US" w:eastAsia="zh-CN"/>
              </w:rPr>
              <w:t>管道密闭</w:t>
            </w:r>
            <w:r>
              <w:rPr>
                <w:rFonts w:hint="eastAsia"/>
                <w:bCs/>
                <w:color w:val="auto"/>
                <w:kern w:val="0"/>
              </w:rPr>
              <w:t>收集，收集后的废气进入1套“SNCR脱硝+急冷除盐+干粉吸收+布袋除尘+臭氧氧化+碱喷淋吸收装置”处理后</w:t>
            </w:r>
            <w:r>
              <w:rPr>
                <w:rFonts w:hint="eastAsia"/>
                <w:bCs/>
                <w:color w:val="auto"/>
                <w:kern w:val="0"/>
                <w:lang w:val="en-US" w:eastAsia="zh-CN"/>
              </w:rPr>
              <w:t>依托</w:t>
            </w:r>
            <w:r>
              <w:rPr>
                <w:rFonts w:hint="eastAsia"/>
                <w:bCs/>
                <w:color w:val="auto"/>
                <w:kern w:val="0"/>
              </w:rPr>
              <w:t>1根</w:t>
            </w:r>
            <w:r>
              <w:rPr>
                <w:rFonts w:hint="eastAsia"/>
                <w:bCs/>
                <w:color w:val="auto"/>
                <w:kern w:val="0"/>
                <w:lang w:val="en-US" w:eastAsia="zh-CN"/>
              </w:rPr>
              <w:t>25</w:t>
            </w:r>
            <w:r>
              <w:rPr>
                <w:rFonts w:hint="eastAsia"/>
                <w:bCs/>
                <w:color w:val="auto"/>
                <w:kern w:val="0"/>
              </w:rPr>
              <w:t>m高的排气筒</w:t>
            </w:r>
            <w:r>
              <w:rPr>
                <w:rFonts w:hint="eastAsia"/>
                <w:bCs/>
                <w:color w:val="auto"/>
                <w:kern w:val="0"/>
                <w:lang w:val="en-US" w:eastAsia="zh-CN"/>
              </w:rPr>
              <w:t>3#</w:t>
            </w:r>
            <w:r>
              <w:rPr>
                <w:rFonts w:hint="eastAsia"/>
                <w:bCs/>
                <w:color w:val="auto"/>
                <w:kern w:val="0"/>
              </w:rPr>
              <w:t>排放</w:t>
            </w:r>
            <w:r>
              <w:rPr>
                <w:rFonts w:hint="eastAsia"/>
                <w:color w:val="auto"/>
                <w:kern w:val="0"/>
                <w:shd w:val="clear" w:color="auto" w:fill="FFFFFF"/>
              </w:rPr>
              <w:t>。</w:t>
            </w:r>
          </w:p>
          <w:p w14:paraId="3A84FDAD">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rPr>
            </w:pPr>
            <w:r>
              <w:rPr>
                <w:b/>
                <w:bCs/>
                <w:color w:val="auto"/>
                <w:kern w:val="0"/>
              </w:rPr>
              <w:object>
                <v:shape id="_x0000_i1055" o:spt="75" type="#_x0000_t75" style="height:608.15pt;width:472pt;" o:ole="t" filled="f" o:preferrelative="t" stroked="f" coordsize="21600,21600">
                  <v:path/>
                  <v:fill on="f" focussize="0,0"/>
                  <v:stroke on="f"/>
                  <v:imagedata r:id="rId73" o:title=""/>
                  <o:lock v:ext="edit" aspectratio="f"/>
                  <w10:wrap type="none"/>
                  <w10:anchorlock/>
                </v:shape>
                <o:OLEObject Type="Embed" ProgID="Visio.Drawing.11" ShapeID="_x0000_i1055" DrawAspect="Content" ObjectID="_1468075755" r:id="rId72">
                  <o:LockedField>false</o:LockedField>
                </o:OLEObject>
              </w:object>
            </w:r>
          </w:p>
          <w:p w14:paraId="3A84FDAE">
            <w:pPr>
              <w:pStyle w:val="2"/>
              <w:adjustRightInd w:val="0"/>
              <w:snapToGrid w:val="0"/>
              <w:spacing w:before="0" w:after="0" w:line="360" w:lineRule="auto"/>
              <w:jc w:val="center"/>
              <w:rPr>
                <w:rFonts w:hint="default"/>
                <w:color w:val="auto"/>
                <w:kern w:val="0"/>
                <w:sz w:val="21"/>
                <w:szCs w:val="21"/>
                <w:lang w:val="en-US"/>
              </w:rPr>
            </w:pPr>
            <w:r>
              <w:rPr>
                <w:rFonts w:hint="eastAsia"/>
                <w:color w:val="auto"/>
                <w:kern w:val="0"/>
                <w:sz w:val="21"/>
                <w:szCs w:val="21"/>
              </w:rPr>
              <w:t xml:space="preserve">图4-1   </w:t>
            </w:r>
            <w:r>
              <w:rPr>
                <w:rFonts w:hint="eastAsia"/>
                <w:color w:val="auto"/>
                <w:kern w:val="0"/>
                <w:sz w:val="21"/>
                <w:szCs w:val="21"/>
                <w:lang w:val="en-US" w:eastAsia="zh-CN"/>
              </w:rPr>
              <w:t>焚烧系统工作流程示意图</w:t>
            </w:r>
          </w:p>
          <w:p w14:paraId="3A84FDAF">
            <w:pPr>
              <w:adjustRightInd w:val="0"/>
              <w:snapToGrid w:val="0"/>
              <w:spacing w:line="360" w:lineRule="auto"/>
              <w:ind w:firstLine="422" w:firstLineChars="200"/>
              <w:rPr>
                <w:b/>
                <w:bCs/>
                <w:color w:val="auto"/>
                <w:kern w:val="0"/>
              </w:rPr>
            </w:pPr>
            <w:r>
              <w:rPr>
                <w:rFonts w:hint="eastAsia"/>
                <w:b/>
                <w:bCs/>
                <w:color w:val="auto"/>
                <w:kern w:val="0"/>
              </w:rPr>
              <w:t>②技术可行性分析</w:t>
            </w:r>
          </w:p>
          <w:p w14:paraId="0611693D">
            <w:pPr>
              <w:autoSpaceDE w:val="0"/>
              <w:autoSpaceDN w:val="0"/>
              <w:adjustRightInd w:val="0"/>
              <w:snapToGrid w:val="0"/>
              <w:spacing w:line="360" w:lineRule="auto"/>
              <w:ind w:firstLine="420" w:firstLineChars="200"/>
              <w:rPr>
                <w:rFonts w:hint="default" w:ascii="Times New Roman" w:hAnsi="Times New Roman" w:eastAsia="宋体" w:cs="Times New Roman"/>
                <w:b w:val="0"/>
                <w:bCs/>
                <w:color w:val="FF0000"/>
                <w:kern w:val="0"/>
                <w:lang w:eastAsia="zh-CN"/>
              </w:rPr>
            </w:pPr>
            <w:r>
              <w:rPr>
                <w:rFonts w:hint="default" w:ascii="Times New Roman" w:hAnsi="Times New Roman" w:cs="Times New Roman"/>
                <w:b w:val="0"/>
                <w:bCs/>
                <w:color w:val="FF0000"/>
                <w:kern w:val="0"/>
              </w:rPr>
              <w:t>奥托立夫公司402#焚烧销毁系统，是2015年建成的，主要处理报废气体发生器、点火具、废药等，炉膛温度大约350～650℃，温度偏低，焚烧产生烟气含有大量有机成分和未燃尽成分，尾气通过</w:t>
            </w:r>
            <w:r>
              <w:rPr>
                <w:rFonts w:hint="eastAsia" w:ascii="Times New Roman" w:hAnsi="Times New Roman" w:cs="Times New Roman"/>
                <w:b w:val="0"/>
                <w:bCs/>
                <w:color w:val="FF0000"/>
                <w:kern w:val="0"/>
                <w:lang w:eastAsia="zh-CN"/>
              </w:rPr>
              <w:t>“</w:t>
            </w:r>
            <w:r>
              <w:rPr>
                <w:rFonts w:hint="default" w:ascii="Times New Roman" w:hAnsi="Times New Roman" w:cs="Times New Roman"/>
                <w:b w:val="0"/>
                <w:bCs/>
                <w:color w:val="FF0000"/>
                <w:kern w:val="0"/>
              </w:rPr>
              <w:t>二级冷却+干式吸附塔+布袋除尘+等离子氧化+活性炭吸附</w:t>
            </w:r>
            <w:r>
              <w:rPr>
                <w:rFonts w:hint="eastAsia" w:ascii="Times New Roman" w:hAnsi="Times New Roman" w:cs="Times New Roman"/>
                <w:b w:val="0"/>
                <w:bCs/>
                <w:color w:val="FF0000"/>
                <w:kern w:val="0"/>
                <w:lang w:eastAsia="zh-CN"/>
              </w:rPr>
              <w:t>”</w:t>
            </w:r>
            <w:r>
              <w:rPr>
                <w:rFonts w:hint="default" w:ascii="Times New Roman" w:hAnsi="Times New Roman" w:cs="Times New Roman"/>
                <w:b w:val="0"/>
                <w:bCs/>
                <w:color w:val="FF0000"/>
                <w:kern w:val="0"/>
              </w:rPr>
              <w:t>装置处理后通过25m高排气筒排放，尾气能达到一定净化效果，但燃烧温度低会产生大量二噁英，同时活性炭寿命太短，特别是CO、NO不能处理，满足不了《危险废物焚烧污染控制标准》（GB 18484-2020）的要求，必须进行二次高温燃烧，炉膛温度控制约1100～1150℃，使得一次销毁产生的C、CO、HCN、二噁英等其它有害废气基本被烧尽，滞留时间大约2s，有害可燃成分燃烧去除率可达99.99%以上。至于NOx，则利用余热高温，通过SNCR还原净化、剩余的通过臭氧氧化、碱液喷淋吸收等手段处理，达到脱硝目的，同时可以净化SO</w:t>
            </w:r>
            <w:r>
              <w:rPr>
                <w:rFonts w:hint="default" w:ascii="Times New Roman" w:hAnsi="Times New Roman" w:cs="Times New Roman"/>
                <w:b w:val="0"/>
                <w:bCs/>
                <w:color w:val="FF0000"/>
                <w:kern w:val="0"/>
                <w:vertAlign w:val="subscript"/>
              </w:rPr>
              <w:t>2</w:t>
            </w:r>
            <w:r>
              <w:rPr>
                <w:rFonts w:hint="default" w:ascii="Times New Roman" w:hAnsi="Times New Roman" w:cs="Times New Roman"/>
                <w:b w:val="0"/>
                <w:bCs/>
                <w:color w:val="FF0000"/>
                <w:kern w:val="0"/>
              </w:rPr>
              <w:t>、HCl等。</w:t>
            </w:r>
            <w:r>
              <w:rPr>
                <w:rFonts w:hint="eastAsia" w:ascii="Times New Roman" w:hAnsi="Times New Roman" w:cs="Times New Roman"/>
                <w:b w:val="0"/>
                <w:bCs/>
                <w:color w:val="FF0000"/>
                <w:kern w:val="0"/>
                <w:lang w:val="en-US" w:eastAsia="zh-CN"/>
              </w:rPr>
              <w:t>后于《年产4700万件气体发生器生产配套项目》中</w:t>
            </w:r>
            <w:r>
              <w:rPr>
                <w:rFonts w:hint="default" w:ascii="Times New Roman" w:hAnsi="Times New Roman" w:cs="Times New Roman"/>
                <w:b w:val="0"/>
                <w:bCs/>
                <w:color w:val="FF0000"/>
                <w:kern w:val="0"/>
              </w:rPr>
              <w:t>增加一套72kg/h焚烧销毁装置处理厂内危废，二燃室燃烧温度约1100～1150℃，尾气通过</w:t>
            </w:r>
            <w:r>
              <w:rPr>
                <w:rFonts w:hint="eastAsia" w:ascii="Times New Roman" w:hAnsi="Times New Roman" w:cs="Times New Roman"/>
                <w:b w:val="0"/>
                <w:bCs/>
                <w:color w:val="FF0000"/>
                <w:kern w:val="0"/>
                <w:lang w:eastAsia="zh-CN"/>
              </w:rPr>
              <w:t>“</w:t>
            </w:r>
            <w:r>
              <w:rPr>
                <w:rFonts w:hint="default" w:ascii="Times New Roman" w:hAnsi="Times New Roman" w:cs="Times New Roman"/>
                <w:b w:val="0"/>
                <w:bCs/>
                <w:color w:val="FF0000"/>
                <w:kern w:val="0"/>
              </w:rPr>
              <w:t>SNCR脱硝+急冷除盐+干粉吸收+布袋除尘+臭氧氧化+碱喷淋吸收</w:t>
            </w:r>
            <w:r>
              <w:rPr>
                <w:rFonts w:hint="eastAsia" w:ascii="Times New Roman" w:hAnsi="Times New Roman" w:cs="Times New Roman"/>
                <w:b w:val="0"/>
                <w:bCs/>
                <w:color w:val="FF0000"/>
                <w:kern w:val="0"/>
                <w:lang w:eastAsia="zh-CN"/>
              </w:rPr>
              <w:t>”</w:t>
            </w:r>
            <w:r>
              <w:rPr>
                <w:rFonts w:hint="default" w:ascii="Times New Roman" w:hAnsi="Times New Roman" w:cs="Times New Roman"/>
                <w:b w:val="0"/>
                <w:bCs/>
                <w:color w:val="FF0000"/>
                <w:kern w:val="0"/>
              </w:rPr>
              <w:t>处理后通过25m高排气筒排放，能够满足《危险废物焚烧污染控制标准》（GB 18484-2020）的要求</w:t>
            </w:r>
            <w:r>
              <w:rPr>
                <w:rFonts w:hint="default" w:ascii="Times New Roman" w:hAnsi="Times New Roman" w:cs="Times New Roman"/>
                <w:b w:val="0"/>
                <w:bCs/>
                <w:color w:val="FF0000"/>
                <w:kern w:val="0"/>
                <w:lang w:eastAsia="zh-CN"/>
              </w:rPr>
              <w:t>。</w:t>
            </w:r>
          </w:p>
          <w:p w14:paraId="3A84FDB0">
            <w:pPr>
              <w:autoSpaceDE w:val="0"/>
              <w:autoSpaceDN w:val="0"/>
              <w:adjustRightInd w:val="0"/>
              <w:snapToGrid w:val="0"/>
              <w:spacing w:line="360" w:lineRule="auto"/>
              <w:ind w:firstLine="422" w:firstLineChars="200"/>
              <w:rPr>
                <w:b/>
                <w:color w:val="auto"/>
                <w:kern w:val="0"/>
              </w:rPr>
            </w:pPr>
            <w:r>
              <w:rPr>
                <w:rFonts w:hint="eastAsia"/>
                <w:b/>
                <w:color w:val="auto"/>
                <w:kern w:val="0"/>
              </w:rPr>
              <w:t>1）废气处理装置运行原理</w:t>
            </w:r>
          </w:p>
          <w:p w14:paraId="25A18FE8">
            <w:pPr>
              <w:adjustRightInd w:val="0"/>
              <w:snapToGrid w:val="0"/>
              <w:spacing w:line="360" w:lineRule="auto"/>
              <w:ind w:firstLine="422" w:firstLineChars="200"/>
              <w:rPr>
                <w:rFonts w:hint="eastAsia"/>
                <w:b/>
                <w:bCs w:val="0"/>
                <w:color w:val="auto"/>
                <w:kern w:val="0"/>
              </w:rPr>
            </w:pPr>
            <w:r>
              <w:rPr>
                <w:rFonts w:hint="eastAsia"/>
                <w:b/>
                <w:bCs w:val="0"/>
                <w:color w:val="auto"/>
                <w:kern w:val="0"/>
              </w:rPr>
              <w:t>①SNCR脱硝</w:t>
            </w:r>
          </w:p>
          <w:p w14:paraId="28A23383">
            <w:pPr>
              <w:adjustRightInd w:val="0"/>
              <w:snapToGrid w:val="0"/>
              <w:spacing w:line="360" w:lineRule="auto"/>
              <w:ind w:firstLine="420" w:firstLineChars="200"/>
              <w:rPr>
                <w:rFonts w:hint="eastAsia"/>
                <w:bCs/>
                <w:color w:val="auto"/>
                <w:kern w:val="0"/>
              </w:rPr>
            </w:pPr>
            <w:r>
              <w:rPr>
                <w:rFonts w:hint="eastAsia"/>
                <w:bCs/>
                <w:color w:val="auto"/>
                <w:kern w:val="0"/>
              </w:rPr>
              <w:t>本项目焚烧烟气首先经炉内脱硝装置脱硝，设置尿素颗粒喷头，尿素颗粒由泵通过管道、喷枪打入炉内使其与氮氧化物反应转化成氮气。SNCR反应原理如下：</w:t>
            </w:r>
          </w:p>
          <w:p w14:paraId="0A78379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kern w:val="0"/>
                <w:lang w:val="en-US" w:eastAsia="zh-CN"/>
              </w:rPr>
            </w:pP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lang w:val="en-US" w:eastAsia="zh-CN"/>
              </w:rPr>
              <w:t>NH</w:t>
            </w:r>
            <w:r>
              <w:rPr>
                <w:rFonts w:hint="default" w:ascii="Times New Roman" w:hAnsi="Times New Roman" w:cs="Times New Roman"/>
                <w:bCs/>
                <w:color w:val="auto"/>
                <w:kern w:val="0"/>
                <w:vertAlign w:val="subscript"/>
                <w:lang w:val="en-US" w:eastAsia="zh-CN"/>
              </w:rPr>
              <w:t>4</w:t>
            </w: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vertAlign w:val="subscript"/>
                <w:lang w:val="en-US" w:eastAsia="zh-CN"/>
              </w:rPr>
              <w:t>2</w:t>
            </w:r>
            <w:r>
              <w:rPr>
                <w:rFonts w:hint="default" w:ascii="Times New Roman" w:hAnsi="Times New Roman" w:cs="Times New Roman"/>
                <w:bCs/>
                <w:color w:val="auto"/>
                <w:kern w:val="0"/>
                <w:lang w:val="en-US" w:eastAsia="zh-CN"/>
              </w:rPr>
              <w:t>CO→2NH</w:t>
            </w:r>
            <w:r>
              <w:rPr>
                <w:rFonts w:hint="default" w:ascii="Times New Roman" w:hAnsi="Times New Roman" w:cs="Times New Roman"/>
                <w:bCs/>
                <w:color w:val="auto"/>
                <w:kern w:val="0"/>
                <w:vertAlign w:val="subscript"/>
                <w:lang w:val="en-US" w:eastAsia="zh-CN"/>
              </w:rPr>
              <w:t>2</w:t>
            </w:r>
            <w:r>
              <w:rPr>
                <w:rFonts w:hint="default" w:ascii="Times New Roman" w:hAnsi="Times New Roman" w:cs="Times New Roman"/>
                <w:bCs/>
                <w:color w:val="auto"/>
                <w:kern w:val="0"/>
                <w:lang w:val="en-US" w:eastAsia="zh-CN"/>
              </w:rPr>
              <w:t>+CO</w:t>
            </w:r>
          </w:p>
          <w:p w14:paraId="13374C1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Cs/>
                <w:color w:val="auto"/>
                <w:kern w:val="0"/>
                <w:lang w:val="en-US"/>
              </w:rPr>
            </w:pPr>
            <w:r>
              <w:rPr>
                <w:rFonts w:hint="default" w:ascii="Times New Roman" w:hAnsi="Times New Roman" w:cs="Times New Roman"/>
                <w:bCs/>
                <w:color w:val="auto"/>
                <w:kern w:val="0"/>
                <w:lang w:val="en-US" w:eastAsia="zh-CN"/>
              </w:rPr>
              <w:t>NH</w:t>
            </w:r>
            <w:r>
              <w:rPr>
                <w:rFonts w:hint="default" w:ascii="Times New Roman" w:hAnsi="Times New Roman" w:cs="Times New Roman"/>
                <w:bCs/>
                <w:color w:val="auto"/>
                <w:kern w:val="0"/>
                <w:vertAlign w:val="subscript"/>
                <w:lang w:val="en-US" w:eastAsia="zh-CN"/>
              </w:rPr>
              <w:t>2</w:t>
            </w:r>
            <w:r>
              <w:rPr>
                <w:rFonts w:hint="default" w:ascii="Times New Roman" w:hAnsi="Times New Roman" w:cs="Times New Roman"/>
                <w:bCs/>
                <w:color w:val="auto"/>
                <w:kern w:val="0"/>
                <w:lang w:val="en-US" w:eastAsia="zh-CN"/>
              </w:rPr>
              <w:t>+NO→N</w:t>
            </w:r>
            <w:r>
              <w:rPr>
                <w:rFonts w:hint="default" w:ascii="Times New Roman" w:hAnsi="Times New Roman" w:cs="Times New Roman"/>
                <w:bCs/>
                <w:color w:val="auto"/>
                <w:kern w:val="0"/>
                <w:vertAlign w:val="subscript"/>
                <w:lang w:val="en-US" w:eastAsia="zh-CN"/>
              </w:rPr>
              <w:t>2</w:t>
            </w:r>
            <w:r>
              <w:rPr>
                <w:rFonts w:hint="default" w:ascii="Times New Roman" w:hAnsi="Times New Roman" w:cs="Times New Roman"/>
                <w:bCs/>
                <w:color w:val="auto"/>
                <w:kern w:val="0"/>
                <w:vertAlign w:val="baseline"/>
                <w:lang w:val="en-US" w:eastAsia="zh-CN"/>
              </w:rPr>
              <w:t>+</w:t>
            </w:r>
            <w:r>
              <w:rPr>
                <w:rFonts w:hint="default" w:ascii="Times New Roman" w:hAnsi="Times New Roman" w:cs="Times New Roman"/>
                <w:bCs/>
                <w:color w:val="auto"/>
                <w:kern w:val="0"/>
                <w:lang w:val="en-US" w:eastAsia="zh-CN"/>
              </w:rPr>
              <w:t>H</w:t>
            </w:r>
            <w:r>
              <w:rPr>
                <w:rFonts w:hint="default" w:ascii="Times New Roman" w:hAnsi="Times New Roman" w:cs="Times New Roman"/>
                <w:bCs/>
                <w:color w:val="auto"/>
                <w:kern w:val="0"/>
                <w:vertAlign w:val="subscript"/>
                <w:lang w:val="en-US" w:eastAsia="zh-CN"/>
              </w:rPr>
              <w:t>2</w:t>
            </w:r>
            <w:r>
              <w:rPr>
                <w:rFonts w:hint="default" w:ascii="Times New Roman" w:hAnsi="Times New Roman" w:cs="Times New Roman"/>
                <w:bCs/>
                <w:color w:val="auto"/>
                <w:kern w:val="0"/>
                <w:vertAlign w:val="baseline"/>
                <w:lang w:val="en-US" w:eastAsia="zh-CN"/>
              </w:rPr>
              <w:t>O</w:t>
            </w:r>
          </w:p>
          <w:p w14:paraId="6535D98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CO＋NO</w:t>
            </w:r>
            <w:r>
              <w:rPr>
                <w:rFonts w:hint="default" w:ascii="Times New Roman" w:hAnsi="Times New Roman" w:cs="Times New Roman"/>
                <w:bCs/>
                <w:color w:val="auto"/>
                <w:kern w:val="0"/>
                <w:lang w:val="en-US" w:eastAsia="zh-CN"/>
              </w:rPr>
              <w:t>→</w:t>
            </w:r>
            <w:r>
              <w:rPr>
                <w:rFonts w:hint="default" w:ascii="Times New Roman" w:hAnsi="Times New Roman" w:cs="Times New Roman"/>
                <w:bCs/>
                <w:color w:val="auto"/>
                <w:kern w:val="0"/>
              </w:rPr>
              <w:t>N</w:t>
            </w:r>
            <w:r>
              <w:rPr>
                <w:rFonts w:hint="default" w:ascii="Times New Roman" w:hAnsi="Times New Roman" w:cs="Times New Roman"/>
                <w:bCs/>
                <w:color w:val="auto"/>
                <w:kern w:val="0"/>
                <w:vertAlign w:val="subscript"/>
              </w:rPr>
              <w:t>2</w:t>
            </w:r>
            <w:r>
              <w:rPr>
                <w:rFonts w:hint="default" w:ascii="Times New Roman" w:hAnsi="Times New Roman" w:cs="Times New Roman"/>
                <w:bCs/>
                <w:color w:val="auto"/>
                <w:kern w:val="0"/>
              </w:rPr>
              <w:t>＋CO</w:t>
            </w:r>
            <w:r>
              <w:rPr>
                <w:rFonts w:hint="default" w:ascii="Times New Roman" w:hAnsi="Times New Roman" w:cs="Times New Roman"/>
                <w:bCs/>
                <w:color w:val="auto"/>
                <w:kern w:val="0"/>
                <w:vertAlign w:val="subscript"/>
              </w:rPr>
              <w:t>2</w:t>
            </w:r>
          </w:p>
          <w:p w14:paraId="4702FD7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目前SNCR脱硝是较为成熟、安全的处理工艺。</w:t>
            </w:r>
          </w:p>
          <w:p w14:paraId="34B2068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本项目脱销装置工程参数：</w:t>
            </w:r>
          </w:p>
          <w:p w14:paraId="5F473FE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kern w:val="0"/>
                <w:lang w:val="en-US" w:eastAsia="zh-CN"/>
              </w:rPr>
            </w:pP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lang w:val="en-US" w:eastAsia="zh-CN"/>
              </w:rPr>
              <w:t>1</w:t>
            </w: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lang w:val="en-US" w:eastAsia="zh-CN"/>
              </w:rPr>
              <w:t>供氨系统</w:t>
            </w:r>
          </w:p>
          <w:p w14:paraId="3A61309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容积式计量喂料机：0～25kg</w:t>
            </w:r>
          </w:p>
          <w:p w14:paraId="67992AD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尿素溶液水箱：304不锈钢，φ1000×2000×6</w:t>
            </w:r>
          </w:p>
          <w:p w14:paraId="0B0F21F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减速搅拌机(包胶)：0.75kw</w:t>
            </w:r>
          </w:p>
          <w:p w14:paraId="545A446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加压泵：氟塑料防腐泵0.75kw，Q=1t/h</w:t>
            </w: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rPr>
              <w:t>H=10m，2套，一用一备</w:t>
            </w:r>
          </w:p>
          <w:p w14:paraId="265C914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加热管路</w:t>
            </w: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rPr>
              <w:t>在反应装置里面</w:t>
            </w: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rPr>
              <w:t>：310s，φ30×2</w:t>
            </w:r>
          </w:p>
          <w:p w14:paraId="2C06486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喷射结构：310s</w:t>
            </w:r>
          </w:p>
          <w:p w14:paraId="557A4A8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kern w:val="0"/>
                <w:lang w:val="en-US" w:eastAsia="zh-CN"/>
              </w:rPr>
            </w:pP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lang w:val="en-US" w:eastAsia="zh-CN"/>
              </w:rPr>
              <w:t>2</w:t>
            </w: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lang w:val="en-US" w:eastAsia="zh-CN"/>
              </w:rPr>
              <w:t>反应装置</w:t>
            </w:r>
          </w:p>
          <w:p w14:paraId="147BDC8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钢壳外面是保温层，加热管路在入口，设置回流结构，使含氨烟气充分反应。</w:t>
            </w:r>
          </w:p>
          <w:p w14:paraId="462C2E1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本体：Q235钢，φ1800×4000×8</w:t>
            </w:r>
          </w:p>
          <w:p w14:paraId="60480D4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换热面积10m</w:t>
            </w:r>
            <w:r>
              <w:rPr>
                <w:rFonts w:hint="default" w:ascii="Times New Roman" w:hAnsi="Times New Roman" w:cs="Times New Roman"/>
                <w:bCs/>
                <w:color w:val="auto"/>
                <w:kern w:val="0"/>
                <w:vertAlign w:val="superscript"/>
              </w:rPr>
              <w:t>2</w:t>
            </w:r>
            <w:r>
              <w:rPr>
                <w:rFonts w:hint="default" w:ascii="Times New Roman" w:hAnsi="Times New Roman" w:cs="Times New Roman"/>
                <w:bCs/>
                <w:color w:val="auto"/>
                <w:kern w:val="0"/>
              </w:rPr>
              <w:t>，换热管310s，无缝钢管φ38×2000×3mm</w:t>
            </w:r>
          </w:p>
          <w:p w14:paraId="236237A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耐火保温：300mm</w:t>
            </w:r>
          </w:p>
          <w:p w14:paraId="525BD4BB">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cs="Times New Roman"/>
                <w:b/>
                <w:bCs w:val="0"/>
                <w:color w:val="auto"/>
                <w:kern w:val="0"/>
                <w:lang w:val="en-US" w:eastAsia="zh-CN"/>
              </w:rPr>
              <w:t>②急冷除盐</w:t>
            </w:r>
          </w:p>
          <w:p w14:paraId="3626477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在危险废物焚烧处理工程中，烟气排放指标中二噁英的排放控制是至关重要的250℃~450℃温度段是二噁英重新生成的温度区间，要控制排放烟气中二噁英的含量，根本的解决方法是在焚烧处理过程中减少二噁英的生成量，而将烟气从500℃在1s内降至200℃是其中一个有效的手段。</w:t>
            </w:r>
          </w:p>
          <w:p w14:paraId="2B87497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脱硝后的高温烟气从急冷塔顶部进入，经过布气装置使烟气均匀地分布在塔内，急冷塔顶部喷入经压缩空气雾化后的急冷水雾，与烟气直接接触，使烟气温度急速下降，从550℃骤冷至200±10℃以下，可以避开二噁英类再合成的温度段，从而达到抑制二噁英类再生成的目的。烟气在急冷的过程中，除了降温，还有洗涤、除尘的作用。急冷自动控制系统根据烟气的变化自动调节喷枪的喷雾量，保证冷却塔出口温度维持在适当的温度范围内。</w:t>
            </w:r>
          </w:p>
          <w:p w14:paraId="65BD41A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本项目急冷除盐装置工程参数：</w:t>
            </w:r>
          </w:p>
          <w:p w14:paraId="21073BA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kern w:val="0"/>
                <w:lang w:val="en-US" w:eastAsia="zh-CN"/>
              </w:rPr>
            </w:pP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lang w:val="en-US" w:eastAsia="zh-CN"/>
              </w:rPr>
              <w:t>1</w:t>
            </w: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lang w:val="en-US" w:eastAsia="zh-CN"/>
              </w:rPr>
              <w:t>急冷塔塔体</w:t>
            </w:r>
          </w:p>
          <w:p w14:paraId="3FE67DA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立式钢制塔体，钢壳外面是保温层，里面是耐酸陶瓷耐腐层，喷淋管路在中部，下部为旋流补风设置，上部锥形集气结构。</w:t>
            </w:r>
          </w:p>
          <w:p w14:paraId="457C880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本体：Q235碳钢，φ2000×6000×8</w:t>
            </w:r>
          </w:p>
          <w:p w14:paraId="3BD8851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耐腐蚀层：内保温100mm+耐酸浇铸料200mm</w:t>
            </w:r>
          </w:p>
          <w:p w14:paraId="322EFB8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kern w:val="0"/>
                <w:lang w:val="en-US" w:eastAsia="zh-CN"/>
              </w:rPr>
            </w:pP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lang w:val="en-US" w:eastAsia="zh-CN"/>
              </w:rPr>
              <w:t>2</w:t>
            </w: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lang w:val="en-US" w:eastAsia="zh-CN"/>
              </w:rPr>
              <w:t>喷淋及控制系统</w:t>
            </w:r>
          </w:p>
          <w:p w14:paraId="0F7C1ED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包括喷淋水箱、减速搅拌机、加压泵、喷淋管路</w:t>
            </w: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rPr>
              <w:t>在反应装置里面</w:t>
            </w: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rPr>
              <w:t>、喷射结构、控制系统等。烟气布风段和喷淋层上位设测温装置，控制急冷效果。</w:t>
            </w:r>
          </w:p>
          <w:p w14:paraId="454B726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浓盐水箱：316L不锈钢，φ1200×2000×8</w:t>
            </w:r>
          </w:p>
          <w:p w14:paraId="16C24CE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螺杆衬氟加压泵：Q=5m</w:t>
            </w:r>
            <w:r>
              <w:rPr>
                <w:rFonts w:hint="default" w:ascii="Times New Roman" w:hAnsi="Times New Roman" w:cs="Times New Roman"/>
                <w:bCs/>
                <w:color w:val="auto"/>
                <w:kern w:val="0"/>
                <w:vertAlign w:val="superscript"/>
              </w:rPr>
              <w:t>3</w:t>
            </w:r>
            <w:r>
              <w:rPr>
                <w:rFonts w:hint="default" w:ascii="Times New Roman" w:hAnsi="Times New Roman" w:cs="Times New Roman"/>
                <w:bCs/>
                <w:color w:val="auto"/>
                <w:kern w:val="0"/>
              </w:rPr>
              <w:t>/h</w:t>
            </w: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rPr>
              <w:t>H=30m</w:t>
            </w: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rPr>
              <w:t>2.2kw，2台</w:t>
            </w:r>
          </w:p>
          <w:p w14:paraId="4FA16C9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喷射结构：316L</w:t>
            </w:r>
          </w:p>
          <w:p w14:paraId="6560F171">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eastAsia="宋体"/>
                <w:b/>
                <w:bCs w:val="0"/>
                <w:color w:val="auto"/>
                <w:kern w:val="0"/>
                <w:lang w:val="en-US" w:eastAsia="zh-CN"/>
              </w:rPr>
            </w:pPr>
            <w:r>
              <w:rPr>
                <w:rFonts w:hint="eastAsia"/>
                <w:b/>
                <w:bCs w:val="0"/>
                <w:color w:val="auto"/>
                <w:kern w:val="0"/>
                <w:lang w:val="en-US" w:eastAsia="zh-CN"/>
              </w:rPr>
              <w:t>③干粉吸收</w:t>
            </w:r>
          </w:p>
          <w:p w14:paraId="381E99E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Cs/>
                <w:color w:val="auto"/>
                <w:kern w:val="0"/>
              </w:rPr>
            </w:pPr>
            <w:r>
              <w:rPr>
                <w:rFonts w:hint="eastAsia"/>
                <w:bCs/>
                <w:color w:val="auto"/>
                <w:kern w:val="0"/>
              </w:rPr>
              <w:t>经冷却后的烟气进入干式脱酸塔。此时，消石灰加入装置通过消石灰喷入装置喷入干式脱酸塔内与烟气进行化学反应，达到进一步脱酸的目的基本化学反应式如下：</w:t>
            </w:r>
          </w:p>
          <w:p w14:paraId="344D2AD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bCs/>
                <w:color w:val="auto"/>
                <w:kern w:val="0"/>
              </w:rPr>
            </w:pPr>
            <w:r>
              <w:rPr>
                <w:rFonts w:hint="eastAsia"/>
                <w:bCs/>
                <w:color w:val="auto"/>
                <w:kern w:val="0"/>
              </w:rPr>
              <w:t>SO</w:t>
            </w:r>
            <w:r>
              <w:rPr>
                <w:rFonts w:hint="eastAsia"/>
                <w:bCs/>
                <w:color w:val="auto"/>
                <w:kern w:val="0"/>
                <w:vertAlign w:val="subscript"/>
              </w:rPr>
              <w:t>3</w:t>
            </w:r>
            <w:r>
              <w:rPr>
                <w:rFonts w:hint="eastAsia"/>
                <w:bCs/>
                <w:color w:val="auto"/>
                <w:kern w:val="0"/>
              </w:rPr>
              <w:t>+Ca（OH）</w:t>
            </w:r>
            <w:r>
              <w:rPr>
                <w:rFonts w:hint="eastAsia"/>
                <w:bCs/>
                <w:color w:val="auto"/>
                <w:kern w:val="0"/>
                <w:vertAlign w:val="subscript"/>
              </w:rPr>
              <w:t>2</w:t>
            </w:r>
            <w:r>
              <w:rPr>
                <w:rFonts w:hint="eastAsia"/>
                <w:bCs/>
                <w:color w:val="auto"/>
                <w:kern w:val="0"/>
              </w:rPr>
              <w:t>=CaSO</w:t>
            </w:r>
            <w:r>
              <w:rPr>
                <w:rFonts w:hint="eastAsia"/>
                <w:bCs/>
                <w:color w:val="auto"/>
                <w:kern w:val="0"/>
                <w:vertAlign w:val="subscript"/>
              </w:rPr>
              <w:t>4</w:t>
            </w:r>
            <w:r>
              <w:rPr>
                <w:rFonts w:hint="eastAsia"/>
                <w:bCs/>
                <w:color w:val="auto"/>
                <w:kern w:val="0"/>
              </w:rPr>
              <w:t>+H</w:t>
            </w:r>
            <w:r>
              <w:rPr>
                <w:rFonts w:hint="eastAsia"/>
                <w:bCs/>
                <w:color w:val="auto"/>
                <w:kern w:val="0"/>
                <w:vertAlign w:val="subscript"/>
              </w:rPr>
              <w:t>2</w:t>
            </w:r>
            <w:r>
              <w:rPr>
                <w:rFonts w:hint="eastAsia"/>
                <w:bCs/>
                <w:color w:val="auto"/>
                <w:kern w:val="0"/>
              </w:rPr>
              <w:t>O</w:t>
            </w:r>
          </w:p>
          <w:p w14:paraId="1E8E78B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bCs/>
                <w:color w:val="auto"/>
                <w:kern w:val="0"/>
              </w:rPr>
            </w:pPr>
            <w:r>
              <w:rPr>
                <w:rFonts w:hint="eastAsia"/>
                <w:bCs/>
                <w:color w:val="auto"/>
                <w:kern w:val="0"/>
              </w:rPr>
              <w:t>SO</w:t>
            </w:r>
            <w:r>
              <w:rPr>
                <w:rFonts w:hint="eastAsia"/>
                <w:bCs/>
                <w:color w:val="auto"/>
                <w:kern w:val="0"/>
                <w:vertAlign w:val="subscript"/>
              </w:rPr>
              <w:t>2</w:t>
            </w:r>
            <w:r>
              <w:rPr>
                <w:rFonts w:hint="eastAsia"/>
                <w:bCs/>
                <w:color w:val="auto"/>
                <w:kern w:val="0"/>
              </w:rPr>
              <w:t>+Ca（OH）</w:t>
            </w:r>
            <w:r>
              <w:rPr>
                <w:rFonts w:hint="eastAsia"/>
                <w:bCs/>
                <w:color w:val="auto"/>
                <w:kern w:val="0"/>
                <w:vertAlign w:val="subscript"/>
              </w:rPr>
              <w:t>2</w:t>
            </w:r>
            <w:r>
              <w:rPr>
                <w:rFonts w:hint="eastAsia"/>
                <w:bCs/>
                <w:color w:val="auto"/>
                <w:kern w:val="0"/>
              </w:rPr>
              <w:t>=CaSO</w:t>
            </w:r>
            <w:r>
              <w:rPr>
                <w:rFonts w:hint="eastAsia"/>
                <w:bCs/>
                <w:color w:val="auto"/>
                <w:kern w:val="0"/>
                <w:vertAlign w:val="subscript"/>
              </w:rPr>
              <w:t>3</w:t>
            </w:r>
            <w:r>
              <w:rPr>
                <w:rFonts w:hint="eastAsia"/>
                <w:bCs/>
                <w:color w:val="auto"/>
                <w:kern w:val="0"/>
              </w:rPr>
              <w:t>+H</w:t>
            </w:r>
            <w:r>
              <w:rPr>
                <w:rFonts w:hint="eastAsia"/>
                <w:bCs/>
                <w:color w:val="auto"/>
                <w:kern w:val="0"/>
                <w:vertAlign w:val="subscript"/>
              </w:rPr>
              <w:t>2</w:t>
            </w:r>
            <w:r>
              <w:rPr>
                <w:rFonts w:hint="eastAsia"/>
                <w:bCs/>
                <w:color w:val="auto"/>
                <w:kern w:val="0"/>
              </w:rPr>
              <w:t>O</w:t>
            </w:r>
          </w:p>
          <w:p w14:paraId="3AD5975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bCs/>
                <w:color w:val="auto"/>
                <w:kern w:val="0"/>
              </w:rPr>
            </w:pPr>
            <w:r>
              <w:rPr>
                <w:rFonts w:hint="eastAsia"/>
                <w:bCs/>
                <w:color w:val="auto"/>
                <w:kern w:val="0"/>
              </w:rPr>
              <w:t>2HCl+Ca（OH）</w:t>
            </w:r>
            <w:r>
              <w:rPr>
                <w:rFonts w:hint="eastAsia"/>
                <w:bCs/>
                <w:color w:val="auto"/>
                <w:kern w:val="0"/>
                <w:vertAlign w:val="subscript"/>
              </w:rPr>
              <w:t>2</w:t>
            </w:r>
            <w:r>
              <w:rPr>
                <w:rFonts w:hint="eastAsia"/>
                <w:bCs/>
                <w:color w:val="auto"/>
                <w:kern w:val="0"/>
              </w:rPr>
              <w:t>=CaCl</w:t>
            </w:r>
            <w:r>
              <w:rPr>
                <w:rFonts w:hint="eastAsia"/>
                <w:bCs/>
                <w:color w:val="auto"/>
                <w:kern w:val="0"/>
                <w:vertAlign w:val="subscript"/>
              </w:rPr>
              <w:t>2</w:t>
            </w:r>
            <w:r>
              <w:rPr>
                <w:rFonts w:hint="eastAsia"/>
                <w:bCs/>
                <w:color w:val="auto"/>
                <w:kern w:val="0"/>
              </w:rPr>
              <w:t>+2H</w:t>
            </w:r>
            <w:r>
              <w:rPr>
                <w:rFonts w:hint="eastAsia"/>
                <w:bCs/>
                <w:color w:val="auto"/>
                <w:kern w:val="0"/>
                <w:vertAlign w:val="subscript"/>
              </w:rPr>
              <w:t>2</w:t>
            </w:r>
            <w:r>
              <w:rPr>
                <w:rFonts w:hint="eastAsia"/>
                <w:bCs/>
                <w:color w:val="auto"/>
                <w:kern w:val="0"/>
              </w:rPr>
              <w:t>O</w:t>
            </w:r>
          </w:p>
          <w:p w14:paraId="1DDDA22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bCs/>
                <w:color w:val="auto"/>
                <w:kern w:val="0"/>
              </w:rPr>
            </w:pPr>
            <w:r>
              <w:rPr>
                <w:rFonts w:hint="eastAsia"/>
                <w:bCs/>
                <w:color w:val="auto"/>
                <w:kern w:val="0"/>
              </w:rPr>
              <w:t>2HF+Ca（OH）</w:t>
            </w:r>
            <w:r>
              <w:rPr>
                <w:rFonts w:hint="eastAsia"/>
                <w:bCs/>
                <w:color w:val="auto"/>
                <w:kern w:val="0"/>
                <w:vertAlign w:val="subscript"/>
              </w:rPr>
              <w:t>2</w:t>
            </w:r>
            <w:r>
              <w:rPr>
                <w:rFonts w:hint="eastAsia"/>
                <w:bCs/>
                <w:color w:val="auto"/>
                <w:kern w:val="0"/>
              </w:rPr>
              <w:t>=CaF</w:t>
            </w:r>
            <w:r>
              <w:rPr>
                <w:rFonts w:hint="eastAsia"/>
                <w:bCs/>
                <w:color w:val="auto"/>
                <w:kern w:val="0"/>
                <w:vertAlign w:val="subscript"/>
              </w:rPr>
              <w:t>2</w:t>
            </w:r>
            <w:r>
              <w:rPr>
                <w:rFonts w:hint="eastAsia"/>
                <w:bCs/>
                <w:color w:val="auto"/>
                <w:kern w:val="0"/>
              </w:rPr>
              <w:t>+2H</w:t>
            </w:r>
            <w:r>
              <w:rPr>
                <w:rFonts w:hint="eastAsia"/>
                <w:bCs/>
                <w:color w:val="auto"/>
                <w:kern w:val="0"/>
                <w:vertAlign w:val="subscript"/>
              </w:rPr>
              <w:t>2</w:t>
            </w:r>
            <w:r>
              <w:rPr>
                <w:rFonts w:hint="eastAsia"/>
                <w:bCs/>
                <w:color w:val="auto"/>
                <w:kern w:val="0"/>
              </w:rPr>
              <w:t>O</w:t>
            </w:r>
          </w:p>
          <w:p w14:paraId="5537E4B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Cs/>
                <w:color w:val="auto"/>
                <w:kern w:val="0"/>
              </w:rPr>
            </w:pPr>
            <w:r>
              <w:rPr>
                <w:rFonts w:hint="eastAsia"/>
                <w:bCs/>
                <w:color w:val="auto"/>
                <w:kern w:val="0"/>
              </w:rPr>
              <w:t>烟气净化处理系统中采用消石灰喷入的供料装置，吸收剂装置设置在急冷塔与布袋除尘器之间，通过烟道上的吸收剂混合器，使吸收剂均匀地混合于烟气中，并在布袋除尘器袋壁上沉积，形成滤饼，使沉积的吸收剂继续吸收烟气中气态污染物。利用消石灰中和反应能力，在急冷塔和布袋除尘器之间串联了干式反应装置，消石灰粉末通过定量给料装置气送进入干式脱酸塔，烟气从底部进入，石灰粉由高压空气喷入塔内，气固两相相遇，产生高度紊流及气、固的混合，使得烟气中的酸性气体与石灰粉充分接触反应，从而再次去除酸性气体。烟气夹带Ca（OH）</w:t>
            </w:r>
            <w:r>
              <w:rPr>
                <w:rFonts w:hint="eastAsia"/>
                <w:bCs/>
                <w:color w:val="auto"/>
                <w:kern w:val="0"/>
                <w:vertAlign w:val="subscript"/>
              </w:rPr>
              <w:t>2</w:t>
            </w:r>
            <w:r>
              <w:rPr>
                <w:rFonts w:hint="eastAsia"/>
                <w:bCs/>
                <w:color w:val="auto"/>
                <w:kern w:val="0"/>
              </w:rPr>
              <w:t>粉在向上流动的过程中，由于Ca（OH）</w:t>
            </w:r>
            <w:r>
              <w:rPr>
                <w:rFonts w:hint="eastAsia"/>
                <w:bCs/>
                <w:color w:val="auto"/>
                <w:kern w:val="0"/>
                <w:vertAlign w:val="subscript"/>
              </w:rPr>
              <w:t>2</w:t>
            </w:r>
            <w:r>
              <w:rPr>
                <w:rFonts w:hint="eastAsia"/>
                <w:bCs/>
                <w:color w:val="auto"/>
                <w:kern w:val="0"/>
              </w:rPr>
              <w:t>粉较重，不断地有Ca（OH）</w:t>
            </w:r>
            <w:r>
              <w:rPr>
                <w:rFonts w:hint="eastAsia"/>
                <w:bCs/>
                <w:color w:val="auto"/>
                <w:kern w:val="0"/>
                <w:vertAlign w:val="subscript"/>
              </w:rPr>
              <w:t>2</w:t>
            </w:r>
            <w:r>
              <w:rPr>
                <w:rFonts w:hint="eastAsia"/>
                <w:bCs/>
                <w:color w:val="auto"/>
                <w:kern w:val="0"/>
              </w:rPr>
              <w:t>粉下落，下落至接近塔底时又被吹起，这样在塔底就形成了密相区，塔上部形成了稀相区。Ca（OH）</w:t>
            </w:r>
            <w:r>
              <w:rPr>
                <w:rFonts w:hint="eastAsia"/>
                <w:bCs/>
                <w:color w:val="auto"/>
                <w:kern w:val="0"/>
                <w:vertAlign w:val="subscript"/>
              </w:rPr>
              <w:t>2</w:t>
            </w:r>
            <w:r>
              <w:rPr>
                <w:rFonts w:hint="eastAsia"/>
                <w:bCs/>
                <w:color w:val="auto"/>
                <w:kern w:val="0"/>
              </w:rPr>
              <w:t>和烟气中的SO</w:t>
            </w:r>
            <w:r>
              <w:rPr>
                <w:rFonts w:hint="eastAsia"/>
                <w:bCs/>
                <w:color w:val="auto"/>
                <w:kern w:val="0"/>
                <w:vertAlign w:val="subscript"/>
              </w:rPr>
              <w:t>2</w:t>
            </w:r>
            <w:r>
              <w:rPr>
                <w:rFonts w:hint="eastAsia"/>
                <w:bCs/>
                <w:color w:val="auto"/>
                <w:kern w:val="0"/>
              </w:rPr>
              <w:t>、SO</w:t>
            </w:r>
            <w:r>
              <w:rPr>
                <w:rFonts w:hint="eastAsia"/>
                <w:bCs/>
                <w:color w:val="auto"/>
                <w:kern w:val="0"/>
                <w:vertAlign w:val="subscript"/>
              </w:rPr>
              <w:t>3</w:t>
            </w:r>
            <w:r>
              <w:rPr>
                <w:rFonts w:hint="eastAsia"/>
                <w:bCs/>
                <w:color w:val="auto"/>
                <w:kern w:val="0"/>
              </w:rPr>
              <w:t>、HCl和HF等发生化学反应，生成CaSO</w:t>
            </w:r>
            <w:r>
              <w:rPr>
                <w:rFonts w:hint="eastAsia"/>
                <w:bCs/>
                <w:color w:val="auto"/>
                <w:kern w:val="0"/>
                <w:vertAlign w:val="subscript"/>
              </w:rPr>
              <w:t>3</w:t>
            </w:r>
            <w:r>
              <w:rPr>
                <w:rFonts w:hint="eastAsia"/>
                <w:bCs/>
                <w:color w:val="auto"/>
                <w:kern w:val="0"/>
              </w:rPr>
              <w:t>、CaSO</w:t>
            </w:r>
            <w:r>
              <w:rPr>
                <w:rFonts w:hint="eastAsia"/>
                <w:bCs/>
                <w:color w:val="auto"/>
                <w:kern w:val="0"/>
                <w:vertAlign w:val="subscript"/>
              </w:rPr>
              <w:t>4</w:t>
            </w:r>
            <w:r>
              <w:rPr>
                <w:rFonts w:hint="eastAsia"/>
                <w:bCs/>
                <w:color w:val="auto"/>
                <w:kern w:val="0"/>
              </w:rPr>
              <w:t>、CaCl</w:t>
            </w:r>
            <w:r>
              <w:rPr>
                <w:rFonts w:hint="eastAsia"/>
                <w:bCs/>
                <w:color w:val="auto"/>
                <w:kern w:val="0"/>
                <w:vertAlign w:val="subscript"/>
              </w:rPr>
              <w:t>2</w:t>
            </w:r>
            <w:r>
              <w:rPr>
                <w:rFonts w:hint="eastAsia"/>
                <w:bCs/>
                <w:color w:val="auto"/>
                <w:kern w:val="0"/>
              </w:rPr>
              <w:t>、CaF</w:t>
            </w:r>
            <w:r>
              <w:rPr>
                <w:rFonts w:hint="eastAsia"/>
                <w:bCs/>
                <w:color w:val="auto"/>
                <w:kern w:val="0"/>
                <w:vertAlign w:val="subscript"/>
              </w:rPr>
              <w:t>2</w:t>
            </w:r>
            <w:r>
              <w:rPr>
                <w:rFonts w:hint="eastAsia"/>
                <w:bCs/>
                <w:color w:val="auto"/>
                <w:kern w:val="0"/>
              </w:rPr>
              <w:t>等。同时烟气中有CO</w:t>
            </w:r>
            <w:r>
              <w:rPr>
                <w:rFonts w:hint="eastAsia"/>
                <w:bCs/>
                <w:color w:val="auto"/>
                <w:kern w:val="0"/>
                <w:vertAlign w:val="subscript"/>
              </w:rPr>
              <w:t>2</w:t>
            </w:r>
            <w:r>
              <w:rPr>
                <w:rFonts w:hint="eastAsia"/>
                <w:bCs/>
                <w:color w:val="auto"/>
                <w:kern w:val="0"/>
              </w:rPr>
              <w:t>存在，还会消耗一部分Ca（OH）</w:t>
            </w:r>
            <w:r>
              <w:rPr>
                <w:rFonts w:hint="eastAsia"/>
                <w:bCs/>
                <w:color w:val="auto"/>
                <w:kern w:val="0"/>
                <w:vertAlign w:val="subscript"/>
              </w:rPr>
              <w:t>2</w:t>
            </w:r>
            <w:r>
              <w:rPr>
                <w:rFonts w:hint="eastAsia"/>
                <w:bCs/>
                <w:color w:val="auto"/>
                <w:kern w:val="0"/>
              </w:rPr>
              <w:t>生成CaCO</w:t>
            </w:r>
            <w:r>
              <w:rPr>
                <w:rFonts w:hint="eastAsia"/>
                <w:bCs/>
                <w:color w:val="auto"/>
                <w:kern w:val="0"/>
                <w:vertAlign w:val="subscript"/>
              </w:rPr>
              <w:t>3</w:t>
            </w:r>
            <w:r>
              <w:rPr>
                <w:rFonts w:hint="eastAsia"/>
                <w:bCs/>
                <w:color w:val="auto"/>
                <w:kern w:val="0"/>
              </w:rPr>
              <w:t>。当烟气进入布袋除尘器后，未反应完全的消石灰粉末被吸附在布袋表面，继续吸附有害物质和与烟气中残留的酸性气体进行反应。</w:t>
            </w:r>
          </w:p>
          <w:p w14:paraId="2B890FB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Cs/>
                <w:color w:val="auto"/>
                <w:kern w:val="0"/>
              </w:rPr>
            </w:pPr>
            <w:r>
              <w:rPr>
                <w:rFonts w:hint="eastAsia"/>
                <w:bCs/>
                <w:color w:val="auto"/>
                <w:kern w:val="0"/>
              </w:rPr>
              <w:t>由于焚烧烟气中通常含有一定浓度的二噁英、重金属等危害物，而重金属污染物源于焚烧过程，随着烟气温度的降低重金属凝结成粒状物被捕集而去除。熔点温度较低的重金属元素无法充分凝结，但在飞灰表面催化作用下会形成熔点温度较高且较易凝结的氧化物或氯化物，特别是汞和镉大部分吸附在飞灰颗粒上而被捕集下来。</w:t>
            </w:r>
          </w:p>
          <w:p w14:paraId="0492387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bCs/>
                <w:color w:val="auto"/>
                <w:kern w:val="0"/>
              </w:rPr>
            </w:pPr>
            <w:r>
              <w:rPr>
                <w:rFonts w:hint="eastAsia"/>
                <w:bCs/>
                <w:color w:val="auto"/>
                <w:kern w:val="0"/>
              </w:rPr>
              <w:t>本项目干粉吸收装置工程参数：</w:t>
            </w:r>
          </w:p>
          <w:p w14:paraId="436C138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kern w:val="0"/>
                <w:lang w:val="en-US" w:eastAsia="zh-CN"/>
              </w:rPr>
            </w:pP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lang w:val="en-US" w:eastAsia="zh-CN"/>
              </w:rPr>
              <w:t>1</w:t>
            </w: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lang w:val="en-US" w:eastAsia="zh-CN"/>
              </w:rPr>
              <w:t>喂料装置</w:t>
            </w:r>
          </w:p>
          <w:p w14:paraId="2AA2EFB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包括干粉料斗、调节阀、电动进料阀、振荡器等，投料量10～20kg/h，由调节阀控制投料量。</w:t>
            </w:r>
          </w:p>
          <w:p w14:paraId="75D51FE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干粉斗容积：0.5m</w:t>
            </w:r>
            <w:r>
              <w:rPr>
                <w:rFonts w:hint="default" w:ascii="Times New Roman" w:hAnsi="Times New Roman" w:cs="Times New Roman"/>
                <w:bCs/>
                <w:color w:val="auto"/>
                <w:kern w:val="0"/>
                <w:vertAlign w:val="superscript"/>
              </w:rPr>
              <w:t>3</w:t>
            </w:r>
            <w:r>
              <w:rPr>
                <w:rFonts w:hint="default" w:ascii="Times New Roman" w:hAnsi="Times New Roman" w:cs="Times New Roman"/>
                <w:bCs/>
                <w:color w:val="auto"/>
                <w:kern w:val="0"/>
              </w:rPr>
              <w:t>；316L不锈钢；</w:t>
            </w:r>
          </w:p>
          <w:p w14:paraId="5108BE8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干粉投加量：10～30kg/h；</w:t>
            </w:r>
          </w:p>
          <w:p w14:paraId="3515647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电动螺旋进料阀：ø100，0.75kw</w:t>
            </w:r>
          </w:p>
          <w:p w14:paraId="5163192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真空提升装置：60kg/h，0.75kw</w:t>
            </w:r>
          </w:p>
          <w:p w14:paraId="11A9E34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bCs/>
                <w:color w:val="auto"/>
                <w:kern w:val="0"/>
                <w:lang w:val="en-US" w:eastAsia="zh-CN"/>
              </w:rPr>
            </w:pPr>
            <w:r>
              <w:rPr>
                <w:rFonts w:hint="eastAsia"/>
                <w:bCs/>
                <w:color w:val="auto"/>
                <w:kern w:val="0"/>
                <w:lang w:eastAsia="zh-CN"/>
              </w:rPr>
              <w:t>（</w:t>
            </w:r>
            <w:r>
              <w:rPr>
                <w:rFonts w:hint="eastAsia"/>
                <w:bCs/>
                <w:color w:val="auto"/>
                <w:kern w:val="0"/>
                <w:lang w:val="en-US" w:eastAsia="zh-CN"/>
              </w:rPr>
              <w:t>2</w:t>
            </w:r>
            <w:r>
              <w:rPr>
                <w:rFonts w:hint="eastAsia"/>
                <w:bCs/>
                <w:color w:val="auto"/>
                <w:kern w:val="0"/>
                <w:lang w:eastAsia="zh-CN"/>
              </w:rPr>
              <w:t>）</w:t>
            </w:r>
            <w:r>
              <w:rPr>
                <w:rFonts w:hint="eastAsia"/>
                <w:bCs/>
                <w:color w:val="auto"/>
                <w:kern w:val="0"/>
                <w:lang w:val="en-US" w:eastAsia="zh-CN"/>
              </w:rPr>
              <w:t>高速分散装置</w:t>
            </w:r>
          </w:p>
          <w:p w14:paraId="2569A55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bCs/>
                <w:color w:val="auto"/>
                <w:kern w:val="0"/>
              </w:rPr>
            </w:pPr>
            <w:r>
              <w:rPr>
                <w:rFonts w:hint="eastAsia"/>
                <w:bCs/>
                <w:color w:val="auto"/>
                <w:kern w:val="0"/>
              </w:rPr>
              <w:t>包括高速分散管和脉冲喷吹装置，投料阀下来干粉落入分散管喉部，被高速烟气冲散混合，为防结块，设置压缩空气脉冲喷吹，使烟气、干粉分散均匀，分散管外壳是保温层。</w:t>
            </w:r>
          </w:p>
          <w:p w14:paraId="31C3E05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kern w:val="0"/>
                <w:lang w:val="en-US" w:eastAsia="zh-CN"/>
              </w:rPr>
            </w:pP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lang w:val="en-US" w:eastAsia="zh-CN"/>
              </w:rPr>
              <w:t>3</w:t>
            </w: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lang w:val="en-US" w:eastAsia="zh-CN"/>
              </w:rPr>
              <w:t>干粉吸收反应塔</w:t>
            </w:r>
          </w:p>
          <w:p w14:paraId="05661CA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为一立式旋风分离结构316L钢制塔体，钢壳内侧面是保温层，内壁均匀设置折流板，中间是一回转出气筒体，下部为收尘排尘装置，上部为排气结构。快速吸收反应，50%粉料回收循环重复利用。</w:t>
            </w:r>
          </w:p>
          <w:p w14:paraId="691E8B0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本体规格：筒体φ2000×2500，316L不锈钢</w:t>
            </w:r>
          </w:p>
          <w:p w14:paraId="0B0FBA9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下锥体</w:t>
            </w: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rPr>
              <w:t>φ2000→400</w:t>
            </w: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rPr>
              <w:t>×2000</w:t>
            </w:r>
          </w:p>
          <w:p w14:paraId="1BE3CC9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锥底离地：850</w:t>
            </w:r>
          </w:p>
          <w:p w14:paraId="60202C4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干粉消耗量：10～30kg/h。</w:t>
            </w:r>
          </w:p>
          <w:p w14:paraId="6ADC8A01">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cs="Times New Roman"/>
                <w:b/>
                <w:bCs w:val="0"/>
                <w:color w:val="auto"/>
                <w:kern w:val="0"/>
                <w:lang w:val="en-US" w:eastAsia="zh-CN"/>
              </w:rPr>
              <w:t>④布袋除尘器</w:t>
            </w:r>
          </w:p>
          <w:p w14:paraId="1DB5BDD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设布袋除尘器除尘，烟气由外经过滤袋时，烟气中的粉尘被截留在滤袋外表面，从而得到净化，再经除尘器内文氏管进入上箱体，从出口排出。附集在滤袋外表面的粉尘不断增加，使除尘器阻力增大，为使设备阻力维持在限定的范围内，必须定期消除附在滤袋表面的粉尘。袋式除尘器的外壳带有保温材料，外表面温度小于50℃，灰斗设电加热装置，防止结露堵塞和避免除尘器外壳的腐蚀。</w:t>
            </w:r>
          </w:p>
          <w:p w14:paraId="1B909F5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本项目布袋除尘装置工程参数：</w:t>
            </w:r>
          </w:p>
          <w:p w14:paraId="061E41A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kern w:val="0"/>
                <w:lang w:val="en-US" w:eastAsia="zh-CN"/>
              </w:rPr>
            </w:pP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lang w:val="en-US" w:eastAsia="zh-CN"/>
              </w:rPr>
              <w:t>1</w:t>
            </w: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lang w:val="en-US" w:eastAsia="zh-CN"/>
              </w:rPr>
              <w:t>型式：（分室）电磁脉冲反吹风清灰；</w:t>
            </w:r>
          </w:p>
          <w:p w14:paraId="04F3AB5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处理能力：1000～2000Nm</w:t>
            </w:r>
            <w:r>
              <w:rPr>
                <w:rFonts w:hint="default" w:ascii="Times New Roman" w:hAnsi="Times New Roman" w:cs="Times New Roman"/>
                <w:bCs/>
                <w:color w:val="auto"/>
                <w:kern w:val="0"/>
                <w:vertAlign w:val="superscript"/>
              </w:rPr>
              <w:t>3</w:t>
            </w:r>
            <w:r>
              <w:rPr>
                <w:rFonts w:hint="default" w:ascii="Times New Roman" w:hAnsi="Times New Roman" w:cs="Times New Roman"/>
                <w:bCs/>
                <w:color w:val="auto"/>
                <w:kern w:val="0"/>
              </w:rPr>
              <w:t>/h</w:t>
            </w:r>
          </w:p>
          <w:p w14:paraId="0E00947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筒体：316L，3200×1600×6000</w:t>
            </w:r>
          </w:p>
          <w:p w14:paraId="50BE83E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过滤面积：160m</w:t>
            </w:r>
            <w:r>
              <w:rPr>
                <w:rFonts w:hint="default" w:ascii="Times New Roman" w:hAnsi="Times New Roman" w:cs="Times New Roman"/>
                <w:bCs/>
                <w:color w:val="auto"/>
                <w:kern w:val="0"/>
                <w:vertAlign w:val="superscript"/>
              </w:rPr>
              <w:t>2</w:t>
            </w:r>
            <w:r>
              <w:rPr>
                <w:rFonts w:hint="default" w:ascii="Times New Roman" w:hAnsi="Times New Roman" w:cs="Times New Roman"/>
                <w:bCs/>
                <w:color w:val="auto"/>
                <w:kern w:val="0"/>
              </w:rPr>
              <w:t>；</w:t>
            </w:r>
          </w:p>
          <w:p w14:paraId="63EECF1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袋笼：316L不锈钢，ø120×3000</w:t>
            </w:r>
          </w:p>
          <w:p w14:paraId="2F4D622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滤布材质：PTFE；</w:t>
            </w:r>
          </w:p>
          <w:p w14:paraId="5962DAF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除尘效率：99.5%；</w:t>
            </w:r>
          </w:p>
          <w:p w14:paraId="0A51DD8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lang w:val="en-US" w:eastAsia="zh-CN"/>
              </w:rPr>
              <w:t>2</w:t>
            </w: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rPr>
              <w:t>喷吹系统：压缩空气压力：0.6～0.8Mpa，</w:t>
            </w:r>
          </w:p>
          <w:p w14:paraId="1F1D489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螺杆空压机：2m</w:t>
            </w:r>
            <w:r>
              <w:rPr>
                <w:rFonts w:hint="default" w:ascii="Times New Roman" w:hAnsi="Times New Roman" w:cs="Times New Roman"/>
                <w:bCs/>
                <w:color w:val="auto"/>
                <w:kern w:val="0"/>
                <w:vertAlign w:val="superscript"/>
              </w:rPr>
              <w:t>3</w:t>
            </w:r>
            <w:r>
              <w:rPr>
                <w:rFonts w:hint="default" w:ascii="Times New Roman" w:hAnsi="Times New Roman" w:cs="Times New Roman"/>
                <w:bCs/>
                <w:color w:val="auto"/>
                <w:kern w:val="0"/>
              </w:rPr>
              <w:t>，15kw</w:t>
            </w:r>
          </w:p>
          <w:p w14:paraId="3B44B7B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压缩空气包：0.6m</w:t>
            </w:r>
            <w:r>
              <w:rPr>
                <w:rFonts w:hint="default" w:ascii="Times New Roman" w:hAnsi="Times New Roman" w:cs="Times New Roman"/>
                <w:bCs/>
                <w:color w:val="auto"/>
                <w:kern w:val="0"/>
                <w:vertAlign w:val="superscript"/>
              </w:rPr>
              <w:t>3</w:t>
            </w:r>
          </w:p>
          <w:p w14:paraId="3E058EA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kern w:val="0"/>
                <w:lang w:val="en-US" w:eastAsia="zh-CN"/>
              </w:rPr>
            </w:pP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lang w:val="en-US" w:eastAsia="zh-CN"/>
              </w:rPr>
              <w:t>3</w:t>
            </w: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lang w:val="en-US" w:eastAsia="zh-CN"/>
              </w:rPr>
              <w:t>螺旋回收装置</w:t>
            </w:r>
          </w:p>
          <w:p w14:paraId="05A1B70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布袋除尘器排尘装置粉尘流入螺旋回收装置接料斗，通过螺旋输送机收集斗，可部分循环回用。</w:t>
            </w:r>
          </w:p>
          <w:p w14:paraId="27147F3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体型Φ200×4000，304不锈钢</w:t>
            </w:r>
          </w:p>
          <w:p w14:paraId="3831D21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输送能力10～30kg/h，1.5kw</w:t>
            </w:r>
          </w:p>
          <w:p w14:paraId="349ADF8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地面料斗容积：0.5m</w:t>
            </w:r>
            <w:r>
              <w:rPr>
                <w:rFonts w:hint="default" w:ascii="Times New Roman" w:hAnsi="Times New Roman" w:cs="Times New Roman"/>
                <w:bCs/>
                <w:color w:val="auto"/>
                <w:kern w:val="0"/>
                <w:vertAlign w:val="superscript"/>
              </w:rPr>
              <w:t>3</w:t>
            </w:r>
            <w:r>
              <w:rPr>
                <w:rFonts w:hint="default" w:ascii="Times New Roman" w:hAnsi="Times New Roman" w:cs="Times New Roman"/>
                <w:bCs/>
                <w:color w:val="auto"/>
                <w:kern w:val="0"/>
              </w:rPr>
              <w:t>。</w:t>
            </w:r>
          </w:p>
          <w:p w14:paraId="668BF3D5">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eastAsia="宋体"/>
                <w:b/>
                <w:bCs w:val="0"/>
                <w:color w:val="auto"/>
                <w:kern w:val="0"/>
                <w:lang w:val="en-US" w:eastAsia="zh-CN"/>
              </w:rPr>
            </w:pPr>
            <w:r>
              <w:rPr>
                <w:rFonts w:hint="eastAsia"/>
                <w:b/>
                <w:bCs w:val="0"/>
                <w:color w:val="auto"/>
                <w:kern w:val="0"/>
                <w:lang w:val="en-US" w:eastAsia="zh-CN"/>
              </w:rPr>
              <w:t>⑤臭氧氧化</w:t>
            </w:r>
          </w:p>
          <w:p w14:paraId="5F75856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臭氧在90-160℃范围内将烟气中难溶于水的NO氧化成易溶于水的NO</w:t>
            </w:r>
            <w:r>
              <w:rPr>
                <w:rFonts w:hint="default" w:ascii="Times New Roman" w:hAnsi="Times New Roman" w:cs="Times New Roman"/>
                <w:bCs/>
                <w:color w:val="auto"/>
                <w:kern w:val="0"/>
                <w:vertAlign w:val="subscript"/>
              </w:rPr>
              <w:t>2</w:t>
            </w:r>
            <w:r>
              <w:rPr>
                <w:rFonts w:hint="default" w:ascii="Times New Roman" w:hAnsi="Times New Roman" w:cs="Times New Roman"/>
                <w:bCs/>
                <w:color w:val="auto"/>
                <w:kern w:val="0"/>
              </w:rPr>
              <w:t>、N</w:t>
            </w:r>
            <w:r>
              <w:rPr>
                <w:rFonts w:hint="default" w:ascii="Times New Roman" w:hAnsi="Times New Roman" w:cs="Times New Roman"/>
                <w:bCs/>
                <w:color w:val="auto"/>
                <w:kern w:val="0"/>
                <w:vertAlign w:val="subscript"/>
              </w:rPr>
              <w:t>2</w:t>
            </w:r>
            <w:r>
              <w:rPr>
                <w:rFonts w:hint="default" w:ascii="Times New Roman" w:hAnsi="Times New Roman" w:cs="Times New Roman"/>
                <w:bCs/>
                <w:color w:val="auto"/>
                <w:kern w:val="0"/>
              </w:rPr>
              <w:t>O</w:t>
            </w:r>
            <w:r>
              <w:rPr>
                <w:rFonts w:hint="default" w:ascii="Times New Roman" w:hAnsi="Times New Roman" w:cs="Times New Roman"/>
                <w:bCs/>
                <w:color w:val="auto"/>
                <w:kern w:val="0"/>
                <w:vertAlign w:val="subscript"/>
              </w:rPr>
              <w:t>3</w:t>
            </w:r>
            <w:r>
              <w:rPr>
                <w:rFonts w:hint="default" w:ascii="Times New Roman" w:hAnsi="Times New Roman" w:cs="Times New Roman"/>
                <w:bCs/>
                <w:color w:val="auto"/>
                <w:kern w:val="0"/>
              </w:rPr>
              <w:t>、N</w:t>
            </w:r>
            <w:r>
              <w:rPr>
                <w:rFonts w:hint="default" w:ascii="Times New Roman" w:hAnsi="Times New Roman" w:cs="Times New Roman"/>
                <w:bCs/>
                <w:color w:val="auto"/>
                <w:kern w:val="0"/>
                <w:vertAlign w:val="subscript"/>
              </w:rPr>
              <w:t>2</w:t>
            </w:r>
            <w:r>
              <w:rPr>
                <w:rFonts w:hint="default" w:ascii="Times New Roman" w:hAnsi="Times New Roman" w:cs="Times New Roman"/>
                <w:bCs/>
                <w:color w:val="auto"/>
                <w:kern w:val="0"/>
              </w:rPr>
              <w:t>O</w:t>
            </w:r>
            <w:r>
              <w:rPr>
                <w:rFonts w:hint="default" w:ascii="Times New Roman" w:hAnsi="Times New Roman" w:cs="Times New Roman"/>
                <w:bCs/>
                <w:color w:val="auto"/>
                <w:kern w:val="0"/>
                <w:vertAlign w:val="subscript"/>
              </w:rPr>
              <w:t>5</w:t>
            </w:r>
            <w:r>
              <w:rPr>
                <w:rFonts w:hint="default" w:ascii="Times New Roman" w:hAnsi="Times New Roman" w:cs="Times New Roman"/>
                <w:bCs/>
                <w:color w:val="auto"/>
                <w:kern w:val="0"/>
              </w:rPr>
              <w:t>等高价态氮氧化物、SO</w:t>
            </w:r>
            <w:r>
              <w:rPr>
                <w:rFonts w:hint="default" w:ascii="Times New Roman" w:hAnsi="Times New Roman" w:cs="Times New Roman"/>
                <w:bCs/>
                <w:color w:val="auto"/>
                <w:kern w:val="0"/>
                <w:vertAlign w:val="subscript"/>
              </w:rPr>
              <w:t>2</w:t>
            </w:r>
            <w:r>
              <w:rPr>
                <w:rFonts w:hint="default" w:ascii="Times New Roman" w:hAnsi="Times New Roman" w:cs="Times New Roman"/>
                <w:bCs/>
                <w:color w:val="auto"/>
                <w:kern w:val="0"/>
              </w:rPr>
              <w:t>部分转化为SO</w:t>
            </w:r>
            <w:r>
              <w:rPr>
                <w:rFonts w:hint="default" w:ascii="Times New Roman" w:hAnsi="Times New Roman" w:cs="Times New Roman"/>
                <w:bCs/>
                <w:color w:val="auto"/>
                <w:kern w:val="0"/>
                <w:vertAlign w:val="subscript"/>
              </w:rPr>
              <w:t>3</w:t>
            </w:r>
            <w:r>
              <w:rPr>
                <w:rFonts w:hint="default" w:ascii="Times New Roman" w:hAnsi="Times New Roman" w:cs="Times New Roman"/>
                <w:bCs/>
                <w:color w:val="auto"/>
                <w:kern w:val="0"/>
              </w:rPr>
              <w:t>，含高价态氮氧化物和硫氧化物的烟气再经过后续的碱液喷淋塔，在喷淋塔内被碱液吸收，达到脱硫脱硝效果。</w:t>
            </w:r>
          </w:p>
          <w:p w14:paraId="244F528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本项目臭氧氧化装置工程参数：</w:t>
            </w:r>
          </w:p>
          <w:p w14:paraId="75DF4C4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lang w:val="en-US" w:eastAsia="zh-CN"/>
              </w:rPr>
              <w:t>1</w:t>
            </w: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rPr>
              <w:t>臭氧发生器：采用空气源臭氧发生器，配套螺杆空压机+压缩空气包；</w:t>
            </w:r>
          </w:p>
          <w:p w14:paraId="1F5146C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臭氧发生量：2kg/h</w:t>
            </w:r>
          </w:p>
          <w:p w14:paraId="593689E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浓度：30%</w:t>
            </w:r>
          </w:p>
          <w:p w14:paraId="652B0A1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功率：21kw</w:t>
            </w:r>
          </w:p>
          <w:p w14:paraId="66868C1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lang w:val="en-US" w:eastAsia="zh-CN"/>
              </w:rPr>
              <w:t>2</w:t>
            </w: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rPr>
              <w:t>氧化装置：立式316L不锈钢钢制结构塔体，钢壳外面是保温层，内壁均匀设置折流板，上部为入口结构，设置布风结构，下部为排气装置。</w:t>
            </w:r>
          </w:p>
          <w:p w14:paraId="12EF96C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筒体规格：Φ1600×3000</w:t>
            </w:r>
          </w:p>
          <w:p w14:paraId="763A4C0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lang w:val="en-US" w:eastAsia="zh-CN"/>
              </w:rPr>
              <w:t>3</w:t>
            </w:r>
            <w:r>
              <w:rPr>
                <w:rFonts w:hint="default" w:ascii="Times New Roman" w:hAnsi="Times New Roman" w:cs="Times New Roman"/>
                <w:bCs/>
                <w:color w:val="auto"/>
                <w:kern w:val="0"/>
                <w:lang w:eastAsia="zh-CN"/>
              </w:rPr>
              <w:t>）</w:t>
            </w:r>
            <w:r>
              <w:rPr>
                <w:rFonts w:hint="default" w:ascii="Times New Roman" w:hAnsi="Times New Roman" w:cs="Times New Roman"/>
                <w:bCs/>
                <w:color w:val="auto"/>
                <w:kern w:val="0"/>
              </w:rPr>
              <w:t>回流系统：喷淋吸收塔出口一部分烟气通过回流风机回流至氧化装置入口，跟上游烟气混合，可以提高NO转化效率，回流比可通过风门自动控制20～50%。</w:t>
            </w:r>
          </w:p>
          <w:p w14:paraId="517AD4B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回流风机：△P=1500Pa，Q=3000m</w:t>
            </w:r>
            <w:r>
              <w:rPr>
                <w:rFonts w:hint="default" w:ascii="Times New Roman" w:hAnsi="Times New Roman" w:cs="Times New Roman"/>
                <w:bCs/>
                <w:color w:val="auto"/>
                <w:kern w:val="0"/>
                <w:vertAlign w:val="superscript"/>
              </w:rPr>
              <w:t>3</w:t>
            </w:r>
            <w:r>
              <w:rPr>
                <w:rFonts w:hint="default" w:ascii="Times New Roman" w:hAnsi="Times New Roman" w:cs="Times New Roman"/>
                <w:bCs/>
                <w:color w:val="auto"/>
                <w:kern w:val="0"/>
              </w:rPr>
              <w:t>，P=3kw</w:t>
            </w:r>
          </w:p>
          <w:p w14:paraId="196A53BF">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b/>
                <w:bCs w:val="0"/>
                <w:color w:val="auto"/>
                <w:kern w:val="0"/>
                <w:lang w:val="en-US" w:eastAsia="zh-CN"/>
              </w:rPr>
            </w:pPr>
            <w:r>
              <w:rPr>
                <w:rFonts w:hint="default" w:ascii="Times New Roman" w:hAnsi="Times New Roman" w:cs="Times New Roman"/>
                <w:b/>
                <w:bCs w:val="0"/>
                <w:color w:val="auto"/>
                <w:kern w:val="0"/>
                <w:lang w:val="en-US" w:eastAsia="zh-CN"/>
              </w:rPr>
              <w:t>⑥两级碱喷淋吸收</w:t>
            </w:r>
          </w:p>
          <w:p w14:paraId="6E932A4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烟气首先通过一级湿法脱酸塔，由底部进入，弱碱性循环碱水从设置在塔顶部的喷嘴喷入，通过烟气与碱水的直接接触，去除烟气中部分酸性气体（HCl、SO</w:t>
            </w:r>
            <w:r>
              <w:rPr>
                <w:rFonts w:hint="default" w:ascii="Times New Roman" w:hAnsi="Times New Roman" w:cs="Times New Roman"/>
                <w:bCs/>
                <w:color w:val="auto"/>
                <w:kern w:val="0"/>
                <w:vertAlign w:val="subscript"/>
              </w:rPr>
              <w:t>2</w:t>
            </w:r>
            <w:r>
              <w:rPr>
                <w:rFonts w:hint="default" w:ascii="Times New Roman" w:hAnsi="Times New Roman" w:cs="Times New Roman"/>
                <w:bCs/>
                <w:color w:val="auto"/>
                <w:kern w:val="0"/>
              </w:rPr>
              <w:t>）及可能残留的氨，同时使烟气温度降低至80℃左右。由于循环碱水吸收了烟气中的酸性气体，pH值有所下降，因此，需要在运行过程中需补充新鲜的碱液以提高循环碱水的pH值。碱液罐存储的为30%的氢氧化钠溶液，通过计量输送泵向循环碱液槽内补充。补充量根据碱液循环池的pH值进行控制。</w:t>
            </w:r>
          </w:p>
          <w:p w14:paraId="0D4B089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两级湿法脱酸塔采用喷淋和填料组合工艺，高密度的喷雾使烟气中的酸性气体（SO</w:t>
            </w:r>
            <w:r>
              <w:rPr>
                <w:rFonts w:hint="default" w:ascii="Times New Roman" w:hAnsi="Times New Roman" w:cs="Times New Roman"/>
                <w:bCs/>
                <w:color w:val="auto"/>
                <w:kern w:val="0"/>
                <w:vertAlign w:val="subscript"/>
              </w:rPr>
              <w:t>2</w:t>
            </w:r>
            <w:r>
              <w:rPr>
                <w:rFonts w:hint="default" w:ascii="Times New Roman" w:hAnsi="Times New Roman" w:cs="Times New Roman"/>
                <w:bCs/>
                <w:color w:val="auto"/>
                <w:kern w:val="0"/>
              </w:rPr>
              <w:t>、HCl等）与雾状碱液中的碱性物（NaOH）充分接触，发生中和化学反应，生成化学性质稳定的盐，从而去除了烟气中的酸性污染物；而烟气中的固体颗粒污染物（烟尘）在水膜和液滴的浸润、凝聚作用下，集团结成较大颗粒从烟气中离析出来，完成湿法除尘。</w:t>
            </w:r>
          </w:p>
          <w:p w14:paraId="4A95363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烟气经碱液喷淋洗涤，层层去除烟气中的酸性物质后，由下部进入洗涤填料层。在填料上产生气液沸腾，填料增加了气液接触表面积面，保证了烟气与碱水的充分接触，同时沸腾作用也降低了填料表面的结垢，顶部设置除雾层，用以去除烟气中夹带的水雾。</w:t>
            </w:r>
          </w:p>
          <w:p w14:paraId="1E2838F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两级湿法脱酸塔串联使用，确保了SO</w:t>
            </w:r>
            <w:r>
              <w:rPr>
                <w:rFonts w:hint="default" w:ascii="Times New Roman" w:hAnsi="Times New Roman" w:cs="Times New Roman"/>
                <w:bCs/>
                <w:color w:val="auto"/>
                <w:kern w:val="0"/>
                <w:vertAlign w:val="subscript"/>
              </w:rPr>
              <w:t>2</w:t>
            </w:r>
            <w:r>
              <w:rPr>
                <w:rFonts w:hint="default" w:ascii="Times New Roman" w:hAnsi="Times New Roman" w:cs="Times New Roman"/>
                <w:bCs/>
                <w:color w:val="auto"/>
                <w:kern w:val="0"/>
              </w:rPr>
              <w:t>、HCl等污染物的达标排放。</w:t>
            </w:r>
          </w:p>
          <w:p w14:paraId="0716EAE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本项目碱喷淋吸收装置工程参数：</w:t>
            </w:r>
          </w:p>
          <w:p w14:paraId="258BB3D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由喷淋中和吸收塔体、集水斗、旋流布风装置、喷淋装置、填料结构、除雾收水填料等组成，外壁防腐，内壁耐酸砖防腐。烟气从下部进塔，通过旋流布风装置，在塔内形成均匀上升气流，与喷淋碱液混合反应，带水气流继续上升，通过填料结构、除雾收水填料等，水分得到有效去除，然后排出吸收塔。</w:t>
            </w:r>
          </w:p>
          <w:p w14:paraId="69F3709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kern w:val="0"/>
              </w:rPr>
            </w:pPr>
            <w:r>
              <w:rPr>
                <w:rFonts w:hint="default" w:ascii="Times New Roman" w:hAnsi="Times New Roman" w:cs="Times New Roman"/>
                <w:bCs/>
                <w:color w:val="auto"/>
                <w:kern w:val="0"/>
              </w:rPr>
              <w:t>吸收塔体：Q235，Φ2400×7500×8，内衬玻璃钢耐酸防腐</w:t>
            </w:r>
          </w:p>
          <w:p w14:paraId="45AD3B8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Cs/>
                <w:color w:val="auto"/>
                <w:kern w:val="0"/>
              </w:rPr>
            </w:pPr>
            <w:r>
              <w:rPr>
                <w:rFonts w:hint="eastAsia"/>
                <w:bCs/>
                <w:color w:val="auto"/>
                <w:kern w:val="0"/>
              </w:rPr>
              <w:t>塔内钢构：316L不锈钢</w:t>
            </w:r>
          </w:p>
          <w:p w14:paraId="7366C00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bCs/>
                <w:color w:val="auto"/>
                <w:kern w:val="0"/>
              </w:rPr>
            </w:pPr>
            <w:r>
              <w:rPr>
                <w:rFonts w:hint="eastAsia"/>
                <w:bCs/>
                <w:color w:val="auto"/>
                <w:kern w:val="0"/>
              </w:rPr>
              <w:t>除雾收水填料：PVC塑料</w:t>
            </w:r>
          </w:p>
          <w:p w14:paraId="52ADCE9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Cs/>
                <w:color w:val="auto"/>
                <w:kern w:val="0"/>
              </w:rPr>
            </w:pPr>
            <w:r>
              <w:rPr>
                <w:rFonts w:hint="eastAsia"/>
                <w:bCs/>
                <w:color w:val="auto"/>
                <w:kern w:val="0"/>
              </w:rPr>
              <w:t>参照《江苏省危险废物集中焚烧处置行业环境管理要求》：</w:t>
            </w:r>
          </w:p>
          <w:p w14:paraId="7EBEA52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Cs/>
                <w:color w:val="auto"/>
                <w:kern w:val="0"/>
              </w:rPr>
            </w:pPr>
            <w:r>
              <w:rPr>
                <w:rFonts w:hint="eastAsia"/>
                <w:bCs/>
                <w:color w:val="auto"/>
                <w:kern w:val="0"/>
              </w:rPr>
              <w:t>（1）废气净化技术必须包括脱硝、急冷、除尘、脱酸、吸附二噁英类等工序。应注意组合技术间的关联性。</w:t>
            </w:r>
          </w:p>
          <w:p w14:paraId="068A923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Cs/>
                <w:color w:val="auto"/>
                <w:kern w:val="0"/>
              </w:rPr>
            </w:pPr>
            <w:r>
              <w:rPr>
                <w:rFonts w:hint="eastAsia"/>
                <w:bCs/>
                <w:color w:val="auto"/>
                <w:kern w:val="0"/>
              </w:rPr>
              <w:t>（2）废气排放中二噁英类排放浓度须达到《危险废物焚烧污染控制标准》（GB</w:t>
            </w:r>
            <w:r>
              <w:rPr>
                <w:rFonts w:hint="eastAsia"/>
                <w:bCs/>
                <w:color w:val="auto"/>
                <w:kern w:val="0"/>
                <w:lang w:val="en-US" w:eastAsia="zh-CN"/>
              </w:rPr>
              <w:t xml:space="preserve"> 18484-2020</w:t>
            </w:r>
            <w:r>
              <w:rPr>
                <w:rFonts w:hint="eastAsia"/>
                <w:bCs/>
                <w:color w:val="auto"/>
                <w:kern w:val="0"/>
              </w:rPr>
              <w:t>）。</w:t>
            </w:r>
          </w:p>
          <w:p w14:paraId="67672AC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bCs/>
                <w:color w:val="auto"/>
                <w:kern w:val="0"/>
              </w:rPr>
            </w:pPr>
            <w:r>
              <w:rPr>
                <w:rFonts w:hint="eastAsia"/>
                <w:bCs/>
                <w:color w:val="auto"/>
                <w:kern w:val="0"/>
              </w:rPr>
              <w:t>根据上述内容，本项目采用的废气方案能够满足该文件的要求。</w:t>
            </w:r>
          </w:p>
          <w:p w14:paraId="71F96504">
            <w:pPr>
              <w:adjustRightInd w:val="0"/>
              <w:snapToGrid w:val="0"/>
              <w:spacing w:line="360" w:lineRule="auto"/>
              <w:ind w:firstLine="422" w:firstLineChars="200"/>
              <w:rPr>
                <w:rFonts w:hint="eastAsia" w:eastAsia="宋体"/>
                <w:b/>
                <w:color w:val="FF0000"/>
                <w:kern w:val="0"/>
                <w:lang w:val="en-US" w:eastAsia="zh-CN"/>
              </w:rPr>
            </w:pPr>
            <w:r>
              <w:rPr>
                <w:rFonts w:hint="eastAsia"/>
                <w:b/>
                <w:color w:val="FF0000"/>
                <w:kern w:val="0"/>
                <w:lang w:val="en-US" w:eastAsia="zh-CN"/>
              </w:rPr>
              <w:t>工程实例</w:t>
            </w:r>
          </w:p>
          <w:p w14:paraId="2E650C31">
            <w:pPr>
              <w:adjustRightInd w:val="0"/>
              <w:snapToGrid w:val="0"/>
              <w:spacing w:line="360" w:lineRule="auto"/>
              <w:ind w:firstLine="420" w:firstLineChars="200"/>
              <w:rPr>
                <w:rFonts w:hint="eastAsia"/>
                <w:b w:val="0"/>
                <w:bCs/>
                <w:color w:val="FF0000"/>
                <w:kern w:val="0"/>
              </w:rPr>
            </w:pPr>
            <w:r>
              <w:rPr>
                <w:rFonts w:hint="eastAsia"/>
                <w:b w:val="0"/>
                <w:bCs/>
                <w:color w:val="FF0000"/>
                <w:kern w:val="0"/>
              </w:rPr>
              <w:t>危废焚烧炉尾气处理工艺已在张家港市华瑞危险废物处理中心有限公司、江苏康博工业固体废弃物处置有限公司等国内多个危废焚烧处置项目中应用，效果良好，相关工程环保竣工验收监测数据见表。分析可知，净化后烟气中各污染物的排放浓度小于《危险废物焚烧污染控制标准》限值，该处置工艺技术可行，可长期稳定达标排放。</w:t>
            </w:r>
          </w:p>
          <w:p w14:paraId="62B17045">
            <w:pPr>
              <w:adjustRightInd w:val="0"/>
              <w:snapToGrid w:val="0"/>
              <w:spacing w:line="240" w:lineRule="auto"/>
              <w:jc w:val="center"/>
              <w:rPr>
                <w:rFonts w:hint="default" w:eastAsia="宋体"/>
                <w:b/>
                <w:bCs w:val="0"/>
                <w:color w:val="FF0000"/>
                <w:kern w:val="0"/>
                <w:lang w:val="en-US" w:eastAsia="zh-CN"/>
              </w:rPr>
            </w:pPr>
            <w:r>
              <w:rPr>
                <w:rFonts w:hint="eastAsia"/>
                <w:b/>
                <w:bCs w:val="0"/>
                <w:color w:val="FF0000"/>
                <w:kern w:val="0"/>
                <w:lang w:val="en-US" w:eastAsia="zh-CN"/>
              </w:rPr>
              <w:t>国内危废焚烧炉尾气验收监测数据（mg/m</w:t>
            </w:r>
            <w:r>
              <w:rPr>
                <w:rFonts w:hint="eastAsia"/>
                <w:b/>
                <w:bCs w:val="0"/>
                <w:color w:val="FF0000"/>
                <w:kern w:val="0"/>
                <w:vertAlign w:val="superscript"/>
                <w:lang w:val="en-US" w:eastAsia="zh-CN"/>
              </w:rPr>
              <w:t>3</w:t>
            </w:r>
            <w:r>
              <w:rPr>
                <w:rFonts w:hint="eastAsia"/>
                <w:b/>
                <w:bCs w:val="0"/>
                <w:color w:val="FF0000"/>
                <w:kern w:val="0"/>
                <w:lang w:val="en-US" w:eastAsia="zh-CN"/>
              </w:rPr>
              <w:t>）</w:t>
            </w:r>
          </w:p>
          <w:tbl>
            <w:tblPr>
              <w:tblStyle w:val="60"/>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036"/>
              <w:gridCol w:w="1802"/>
              <w:gridCol w:w="1804"/>
              <w:gridCol w:w="1804"/>
              <w:gridCol w:w="1370"/>
              <w:gridCol w:w="775"/>
            </w:tblGrid>
            <w:tr w14:paraId="697CC2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1" w:type="pct"/>
                  <w:tcBorders>
                    <w:tl2br w:val="nil"/>
                    <w:tr2bl w:val="nil"/>
                  </w:tcBorders>
                  <w:vAlign w:val="center"/>
                </w:tcPr>
                <w:p w14:paraId="34C76D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bCs w:val="0"/>
                      <w:color w:val="FF0000"/>
                      <w:kern w:val="0"/>
                      <w:vertAlign w:val="baseline"/>
                      <w:lang w:val="en-US" w:eastAsia="zh-CN"/>
                    </w:rPr>
                  </w:pPr>
                  <w:r>
                    <w:rPr>
                      <w:rFonts w:hint="eastAsia"/>
                      <w:b/>
                      <w:bCs w:val="0"/>
                      <w:color w:val="FF0000"/>
                      <w:kern w:val="0"/>
                      <w:vertAlign w:val="baseline"/>
                      <w:lang w:val="en-US" w:eastAsia="zh-CN"/>
                    </w:rPr>
                    <w:t>污染因子</w:t>
                  </w:r>
                </w:p>
              </w:tc>
              <w:tc>
                <w:tcPr>
                  <w:tcW w:w="939" w:type="pct"/>
                  <w:tcBorders>
                    <w:tl2br w:val="nil"/>
                    <w:tr2bl w:val="nil"/>
                  </w:tcBorders>
                  <w:vAlign w:val="center"/>
                </w:tcPr>
                <w:p w14:paraId="11E7B6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bCs w:val="0"/>
                      <w:color w:val="FF0000"/>
                      <w:kern w:val="0"/>
                      <w:vertAlign w:val="baseline"/>
                      <w:lang w:eastAsia="zh-CN"/>
                    </w:rPr>
                  </w:pPr>
                  <w:r>
                    <w:rPr>
                      <w:rFonts w:hint="eastAsia"/>
                      <w:b/>
                      <w:bCs w:val="0"/>
                      <w:color w:val="FF0000"/>
                      <w:kern w:val="0"/>
                      <w:vertAlign w:val="baseline"/>
                    </w:rPr>
                    <w:t>张家港华瑞焙烧窑验收监测结果</w:t>
                  </w:r>
                  <w:r>
                    <w:rPr>
                      <w:rFonts w:hint="eastAsia"/>
                      <w:b/>
                      <w:bCs w:val="0"/>
                      <w:color w:val="FF0000"/>
                      <w:kern w:val="0"/>
                      <w:vertAlign w:val="baseline"/>
                      <w:lang w:eastAsia="zh-CN"/>
                    </w:rPr>
                    <w:t>（</w:t>
                  </w:r>
                  <w:r>
                    <w:rPr>
                      <w:rFonts w:hint="eastAsia"/>
                      <w:b/>
                      <w:bCs w:val="0"/>
                      <w:color w:val="FF0000"/>
                      <w:kern w:val="0"/>
                      <w:vertAlign w:val="baseline"/>
                      <w:lang w:val="en-US" w:eastAsia="zh-CN"/>
                    </w:rPr>
                    <w:t>最大值</w:t>
                  </w:r>
                  <w:r>
                    <w:rPr>
                      <w:rFonts w:hint="eastAsia"/>
                      <w:b/>
                      <w:bCs w:val="0"/>
                      <w:color w:val="FF0000"/>
                      <w:kern w:val="0"/>
                      <w:vertAlign w:val="baseline"/>
                      <w:lang w:eastAsia="zh-CN"/>
                    </w:rPr>
                    <w:t>）</w:t>
                  </w:r>
                </w:p>
              </w:tc>
              <w:tc>
                <w:tcPr>
                  <w:tcW w:w="940" w:type="pct"/>
                  <w:tcBorders>
                    <w:tl2br w:val="nil"/>
                    <w:tr2bl w:val="nil"/>
                  </w:tcBorders>
                  <w:vAlign w:val="center"/>
                </w:tcPr>
                <w:p w14:paraId="4C6C4B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bCs w:val="0"/>
                      <w:color w:val="FF0000"/>
                      <w:kern w:val="0"/>
                      <w:vertAlign w:val="baseline"/>
                      <w:lang w:eastAsia="zh-CN"/>
                    </w:rPr>
                  </w:pPr>
                  <w:r>
                    <w:rPr>
                      <w:rFonts w:hint="eastAsia"/>
                      <w:b/>
                      <w:bCs w:val="0"/>
                      <w:color w:val="FF0000"/>
                      <w:kern w:val="0"/>
                      <w:vertAlign w:val="baseline"/>
                    </w:rPr>
                    <w:t>洪泽蓝天焙烧窑验收监测结果</w:t>
                  </w:r>
                  <w:r>
                    <w:rPr>
                      <w:rFonts w:hint="eastAsia"/>
                      <w:b/>
                      <w:bCs w:val="0"/>
                      <w:color w:val="FF0000"/>
                      <w:kern w:val="0"/>
                      <w:vertAlign w:val="baseline"/>
                      <w:lang w:eastAsia="zh-CN"/>
                    </w:rPr>
                    <w:t>（</w:t>
                  </w:r>
                  <w:r>
                    <w:rPr>
                      <w:rFonts w:hint="eastAsia"/>
                      <w:b/>
                      <w:bCs w:val="0"/>
                      <w:color w:val="FF0000"/>
                      <w:kern w:val="0"/>
                      <w:vertAlign w:val="baseline"/>
                      <w:lang w:val="en-US" w:eastAsia="zh-CN"/>
                    </w:rPr>
                    <w:t>最大值</w:t>
                  </w:r>
                  <w:r>
                    <w:rPr>
                      <w:rFonts w:hint="eastAsia"/>
                      <w:b/>
                      <w:bCs w:val="0"/>
                      <w:color w:val="FF0000"/>
                      <w:kern w:val="0"/>
                      <w:vertAlign w:val="baseline"/>
                      <w:lang w:eastAsia="zh-CN"/>
                    </w:rPr>
                    <w:t>）</w:t>
                  </w:r>
                </w:p>
              </w:tc>
              <w:tc>
                <w:tcPr>
                  <w:tcW w:w="940" w:type="pct"/>
                  <w:tcBorders>
                    <w:tl2br w:val="nil"/>
                    <w:tr2bl w:val="nil"/>
                  </w:tcBorders>
                  <w:vAlign w:val="center"/>
                </w:tcPr>
                <w:p w14:paraId="281D5D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val="0"/>
                      <w:color w:val="FF0000"/>
                      <w:kern w:val="0"/>
                      <w:vertAlign w:val="baseline"/>
                      <w:lang w:val="en-US" w:eastAsia="zh-CN"/>
                    </w:rPr>
                  </w:pPr>
                  <w:r>
                    <w:rPr>
                      <w:rFonts w:hint="eastAsia"/>
                      <w:b/>
                      <w:bCs w:val="0"/>
                      <w:color w:val="FF0000"/>
                      <w:kern w:val="0"/>
                      <w:vertAlign w:val="baseline"/>
                      <w:lang w:val="en-US" w:eastAsia="zh-CN"/>
                    </w:rPr>
                    <w:t>康博公司一期工程（最大值）</w:t>
                  </w:r>
                </w:p>
              </w:tc>
              <w:tc>
                <w:tcPr>
                  <w:tcW w:w="714" w:type="pct"/>
                  <w:tcBorders>
                    <w:tl2br w:val="nil"/>
                    <w:tr2bl w:val="nil"/>
                  </w:tcBorders>
                  <w:vAlign w:val="center"/>
                </w:tcPr>
                <w:p w14:paraId="3AE814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bCs w:val="0"/>
                      <w:color w:val="FF0000"/>
                      <w:kern w:val="0"/>
                      <w:vertAlign w:val="baseline"/>
                      <w:lang w:val="en-US" w:eastAsia="zh-CN"/>
                    </w:rPr>
                  </w:pPr>
                  <w:r>
                    <w:rPr>
                      <w:rFonts w:hint="eastAsia"/>
                      <w:b/>
                      <w:bCs w:val="0"/>
                      <w:color w:val="FF0000"/>
                      <w:kern w:val="0"/>
                      <w:vertAlign w:val="baseline"/>
                      <w:lang w:val="en-US" w:eastAsia="zh-CN"/>
                    </w:rPr>
                    <w:t>标准</w:t>
                  </w:r>
                </w:p>
              </w:tc>
              <w:tc>
                <w:tcPr>
                  <w:tcW w:w="403" w:type="pct"/>
                  <w:tcBorders>
                    <w:tl2br w:val="nil"/>
                    <w:tr2bl w:val="nil"/>
                  </w:tcBorders>
                  <w:vAlign w:val="center"/>
                </w:tcPr>
                <w:p w14:paraId="2E6F12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bCs w:val="0"/>
                      <w:color w:val="FF0000"/>
                      <w:kern w:val="0"/>
                      <w:vertAlign w:val="baseline"/>
                      <w:lang w:val="en-US" w:eastAsia="zh-CN"/>
                    </w:rPr>
                  </w:pPr>
                  <w:r>
                    <w:rPr>
                      <w:rFonts w:hint="eastAsia"/>
                      <w:b/>
                      <w:bCs w:val="0"/>
                      <w:color w:val="FF0000"/>
                      <w:kern w:val="0"/>
                      <w:vertAlign w:val="baseline"/>
                      <w:lang w:val="en-US" w:eastAsia="zh-CN"/>
                    </w:rPr>
                    <w:t>备注</w:t>
                  </w:r>
                </w:p>
              </w:tc>
            </w:tr>
            <w:tr w14:paraId="79593F0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1" w:type="pct"/>
                  <w:tcBorders>
                    <w:tl2br w:val="nil"/>
                    <w:tr2bl w:val="nil"/>
                  </w:tcBorders>
                  <w:vAlign w:val="center"/>
                </w:tcPr>
                <w:p w14:paraId="0DA547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val="0"/>
                      <w:bCs/>
                      <w:color w:val="FF0000"/>
                      <w:kern w:val="0"/>
                      <w:vertAlign w:val="baseline"/>
                      <w:lang w:val="en-US" w:eastAsia="zh-CN"/>
                    </w:rPr>
                  </w:pPr>
                  <w:r>
                    <w:rPr>
                      <w:rFonts w:hint="eastAsia"/>
                      <w:b w:val="0"/>
                      <w:bCs/>
                      <w:color w:val="FF0000"/>
                      <w:kern w:val="0"/>
                      <w:vertAlign w:val="baseline"/>
                      <w:lang w:val="en-US" w:eastAsia="zh-CN"/>
                    </w:rPr>
                    <w:t>烟尘</w:t>
                  </w:r>
                </w:p>
              </w:tc>
              <w:tc>
                <w:tcPr>
                  <w:tcW w:w="939" w:type="pct"/>
                  <w:tcBorders>
                    <w:tl2br w:val="nil"/>
                    <w:tr2bl w:val="nil"/>
                  </w:tcBorders>
                  <w:vAlign w:val="center"/>
                </w:tcPr>
                <w:p w14:paraId="6FF437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6.3</w:t>
                  </w:r>
                </w:p>
              </w:tc>
              <w:tc>
                <w:tcPr>
                  <w:tcW w:w="940" w:type="pct"/>
                  <w:tcBorders>
                    <w:tl2br w:val="nil"/>
                    <w:tr2bl w:val="nil"/>
                  </w:tcBorders>
                  <w:vAlign w:val="center"/>
                </w:tcPr>
                <w:p w14:paraId="64E90F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24</w:t>
                  </w:r>
                </w:p>
              </w:tc>
              <w:tc>
                <w:tcPr>
                  <w:tcW w:w="940" w:type="pct"/>
                  <w:tcBorders>
                    <w:tl2br w:val="nil"/>
                    <w:tr2bl w:val="nil"/>
                  </w:tcBorders>
                  <w:vAlign w:val="center"/>
                </w:tcPr>
                <w:p w14:paraId="40942D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16</w:t>
                  </w:r>
                </w:p>
              </w:tc>
              <w:tc>
                <w:tcPr>
                  <w:tcW w:w="714" w:type="pct"/>
                  <w:tcBorders>
                    <w:tl2br w:val="nil"/>
                    <w:tr2bl w:val="nil"/>
                  </w:tcBorders>
                  <w:vAlign w:val="center"/>
                </w:tcPr>
                <w:p w14:paraId="1042D7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65</w:t>
                  </w:r>
                </w:p>
              </w:tc>
              <w:tc>
                <w:tcPr>
                  <w:tcW w:w="403" w:type="pct"/>
                  <w:tcBorders>
                    <w:tl2br w:val="nil"/>
                    <w:tr2bl w:val="nil"/>
                  </w:tcBorders>
                  <w:vAlign w:val="center"/>
                </w:tcPr>
                <w:p w14:paraId="7F32E2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val="0"/>
                      <w:bCs/>
                      <w:color w:val="FF0000"/>
                      <w:kern w:val="0"/>
                      <w:vertAlign w:val="baseline"/>
                      <w:lang w:val="en-US" w:eastAsia="zh-CN"/>
                    </w:rPr>
                  </w:pPr>
                  <w:r>
                    <w:rPr>
                      <w:rFonts w:hint="eastAsia"/>
                      <w:b w:val="0"/>
                      <w:bCs/>
                      <w:color w:val="FF0000"/>
                      <w:kern w:val="0"/>
                      <w:vertAlign w:val="baseline"/>
                      <w:lang w:val="en-US" w:eastAsia="zh-CN"/>
                    </w:rPr>
                    <w:t>达标</w:t>
                  </w:r>
                </w:p>
              </w:tc>
            </w:tr>
            <w:tr w14:paraId="36F5A7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1" w:type="pct"/>
                  <w:tcBorders>
                    <w:tl2br w:val="nil"/>
                    <w:tr2bl w:val="nil"/>
                  </w:tcBorders>
                  <w:vAlign w:val="center"/>
                </w:tcPr>
                <w:p w14:paraId="30E84C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SO</w:t>
                  </w:r>
                  <w:r>
                    <w:rPr>
                      <w:rFonts w:hint="eastAsia"/>
                      <w:b w:val="0"/>
                      <w:bCs/>
                      <w:color w:val="FF0000"/>
                      <w:kern w:val="0"/>
                      <w:vertAlign w:val="subscript"/>
                      <w:lang w:val="en-US" w:eastAsia="zh-CN"/>
                    </w:rPr>
                    <w:t>2</w:t>
                  </w:r>
                </w:p>
              </w:tc>
              <w:tc>
                <w:tcPr>
                  <w:tcW w:w="939" w:type="pct"/>
                  <w:tcBorders>
                    <w:tl2br w:val="nil"/>
                    <w:tr2bl w:val="nil"/>
                  </w:tcBorders>
                  <w:vAlign w:val="center"/>
                </w:tcPr>
                <w:p w14:paraId="17DE6D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12</w:t>
                  </w:r>
                </w:p>
              </w:tc>
              <w:tc>
                <w:tcPr>
                  <w:tcW w:w="940" w:type="pct"/>
                  <w:tcBorders>
                    <w:tl2br w:val="nil"/>
                    <w:tr2bl w:val="nil"/>
                  </w:tcBorders>
                  <w:vAlign w:val="center"/>
                </w:tcPr>
                <w:p w14:paraId="30EFED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20</w:t>
                  </w:r>
                </w:p>
              </w:tc>
              <w:tc>
                <w:tcPr>
                  <w:tcW w:w="940" w:type="pct"/>
                  <w:tcBorders>
                    <w:tl2br w:val="nil"/>
                    <w:tr2bl w:val="nil"/>
                  </w:tcBorders>
                  <w:vAlign w:val="center"/>
                </w:tcPr>
                <w:p w14:paraId="5BDC68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2.86</w:t>
                  </w:r>
                </w:p>
              </w:tc>
              <w:tc>
                <w:tcPr>
                  <w:tcW w:w="714" w:type="pct"/>
                  <w:tcBorders>
                    <w:tl2br w:val="nil"/>
                    <w:tr2bl w:val="nil"/>
                  </w:tcBorders>
                  <w:vAlign w:val="center"/>
                </w:tcPr>
                <w:p w14:paraId="1C7B4A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200</w:t>
                  </w:r>
                </w:p>
              </w:tc>
              <w:tc>
                <w:tcPr>
                  <w:tcW w:w="403" w:type="pct"/>
                  <w:tcBorders>
                    <w:tl2br w:val="nil"/>
                    <w:tr2bl w:val="nil"/>
                  </w:tcBorders>
                  <w:vAlign w:val="center"/>
                </w:tcPr>
                <w:p w14:paraId="28DF66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FF0000"/>
                      <w:kern w:val="0"/>
                      <w:vertAlign w:val="baseline"/>
                    </w:rPr>
                  </w:pPr>
                  <w:r>
                    <w:rPr>
                      <w:rFonts w:hint="eastAsia"/>
                      <w:b w:val="0"/>
                      <w:bCs/>
                      <w:color w:val="FF0000"/>
                      <w:kern w:val="0"/>
                      <w:vertAlign w:val="baseline"/>
                      <w:lang w:val="en-US" w:eastAsia="zh-CN"/>
                    </w:rPr>
                    <w:t>达标</w:t>
                  </w:r>
                </w:p>
              </w:tc>
            </w:tr>
            <w:tr w14:paraId="293B1A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1" w:type="pct"/>
                  <w:tcBorders>
                    <w:tl2br w:val="nil"/>
                    <w:tr2bl w:val="nil"/>
                  </w:tcBorders>
                  <w:vAlign w:val="center"/>
                </w:tcPr>
                <w:p w14:paraId="33AD1C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NOx</w:t>
                  </w:r>
                </w:p>
              </w:tc>
              <w:tc>
                <w:tcPr>
                  <w:tcW w:w="939" w:type="pct"/>
                  <w:tcBorders>
                    <w:tl2br w:val="nil"/>
                    <w:tr2bl w:val="nil"/>
                  </w:tcBorders>
                  <w:vAlign w:val="center"/>
                </w:tcPr>
                <w:p w14:paraId="2536AF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132</w:t>
                  </w:r>
                </w:p>
              </w:tc>
              <w:tc>
                <w:tcPr>
                  <w:tcW w:w="940" w:type="pct"/>
                  <w:tcBorders>
                    <w:tl2br w:val="nil"/>
                    <w:tr2bl w:val="nil"/>
                  </w:tcBorders>
                  <w:vAlign w:val="center"/>
                </w:tcPr>
                <w:p w14:paraId="394CFC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80</w:t>
                  </w:r>
                </w:p>
              </w:tc>
              <w:tc>
                <w:tcPr>
                  <w:tcW w:w="940" w:type="pct"/>
                  <w:tcBorders>
                    <w:tl2br w:val="nil"/>
                    <w:tr2bl w:val="nil"/>
                  </w:tcBorders>
                  <w:vAlign w:val="center"/>
                </w:tcPr>
                <w:p w14:paraId="496A14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192</w:t>
                  </w:r>
                </w:p>
              </w:tc>
              <w:tc>
                <w:tcPr>
                  <w:tcW w:w="714" w:type="pct"/>
                  <w:tcBorders>
                    <w:tl2br w:val="nil"/>
                    <w:tr2bl w:val="nil"/>
                  </w:tcBorders>
                  <w:vAlign w:val="center"/>
                </w:tcPr>
                <w:p w14:paraId="580751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500</w:t>
                  </w:r>
                </w:p>
              </w:tc>
              <w:tc>
                <w:tcPr>
                  <w:tcW w:w="403" w:type="pct"/>
                  <w:tcBorders>
                    <w:tl2br w:val="nil"/>
                    <w:tr2bl w:val="nil"/>
                  </w:tcBorders>
                  <w:vAlign w:val="center"/>
                </w:tcPr>
                <w:p w14:paraId="26998D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FF0000"/>
                      <w:kern w:val="0"/>
                      <w:vertAlign w:val="baseline"/>
                    </w:rPr>
                  </w:pPr>
                  <w:r>
                    <w:rPr>
                      <w:rFonts w:hint="eastAsia"/>
                      <w:b w:val="0"/>
                      <w:bCs/>
                      <w:color w:val="FF0000"/>
                      <w:kern w:val="0"/>
                      <w:vertAlign w:val="baseline"/>
                      <w:lang w:val="en-US" w:eastAsia="zh-CN"/>
                    </w:rPr>
                    <w:t>达标</w:t>
                  </w:r>
                </w:p>
              </w:tc>
            </w:tr>
            <w:tr w14:paraId="363E42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1" w:type="pct"/>
                  <w:tcBorders>
                    <w:tl2br w:val="nil"/>
                    <w:tr2bl w:val="nil"/>
                  </w:tcBorders>
                  <w:vAlign w:val="center"/>
                </w:tcPr>
                <w:p w14:paraId="12AC2D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CO</w:t>
                  </w:r>
                </w:p>
              </w:tc>
              <w:tc>
                <w:tcPr>
                  <w:tcW w:w="939" w:type="pct"/>
                  <w:tcBorders>
                    <w:tl2br w:val="nil"/>
                    <w:tr2bl w:val="nil"/>
                  </w:tcBorders>
                  <w:vAlign w:val="center"/>
                </w:tcPr>
                <w:p w14:paraId="5BF820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＜7</w:t>
                  </w:r>
                </w:p>
              </w:tc>
              <w:tc>
                <w:tcPr>
                  <w:tcW w:w="940" w:type="pct"/>
                  <w:tcBorders>
                    <w:tl2br w:val="nil"/>
                    <w:tr2bl w:val="nil"/>
                  </w:tcBorders>
                  <w:vAlign w:val="center"/>
                </w:tcPr>
                <w:p w14:paraId="0ADA5E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1.5</w:t>
                  </w:r>
                </w:p>
              </w:tc>
              <w:tc>
                <w:tcPr>
                  <w:tcW w:w="940" w:type="pct"/>
                  <w:tcBorders>
                    <w:tl2br w:val="nil"/>
                    <w:tr2bl w:val="nil"/>
                  </w:tcBorders>
                  <w:vAlign w:val="center"/>
                </w:tcPr>
                <w:p w14:paraId="2B8D6F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1.25</w:t>
                  </w:r>
                </w:p>
              </w:tc>
              <w:tc>
                <w:tcPr>
                  <w:tcW w:w="714" w:type="pct"/>
                  <w:tcBorders>
                    <w:tl2br w:val="nil"/>
                    <w:tr2bl w:val="nil"/>
                  </w:tcBorders>
                  <w:vAlign w:val="center"/>
                </w:tcPr>
                <w:p w14:paraId="33130B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80</w:t>
                  </w:r>
                </w:p>
              </w:tc>
              <w:tc>
                <w:tcPr>
                  <w:tcW w:w="403" w:type="pct"/>
                  <w:tcBorders>
                    <w:tl2br w:val="nil"/>
                    <w:tr2bl w:val="nil"/>
                  </w:tcBorders>
                  <w:vAlign w:val="center"/>
                </w:tcPr>
                <w:p w14:paraId="63ADE0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FF0000"/>
                      <w:kern w:val="0"/>
                      <w:vertAlign w:val="baseline"/>
                    </w:rPr>
                  </w:pPr>
                  <w:r>
                    <w:rPr>
                      <w:rFonts w:hint="eastAsia"/>
                      <w:b w:val="0"/>
                      <w:bCs/>
                      <w:color w:val="FF0000"/>
                      <w:kern w:val="0"/>
                      <w:vertAlign w:val="baseline"/>
                      <w:lang w:val="en-US" w:eastAsia="zh-CN"/>
                    </w:rPr>
                    <w:t>达标</w:t>
                  </w:r>
                </w:p>
              </w:tc>
            </w:tr>
            <w:tr w14:paraId="69CACB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1" w:type="pct"/>
                  <w:tcBorders>
                    <w:tl2br w:val="nil"/>
                    <w:tr2bl w:val="nil"/>
                  </w:tcBorders>
                  <w:vAlign w:val="center"/>
                </w:tcPr>
                <w:p w14:paraId="32A6D0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HCl</w:t>
                  </w:r>
                </w:p>
              </w:tc>
              <w:tc>
                <w:tcPr>
                  <w:tcW w:w="939" w:type="pct"/>
                  <w:tcBorders>
                    <w:tl2br w:val="nil"/>
                    <w:tr2bl w:val="nil"/>
                  </w:tcBorders>
                  <w:vAlign w:val="center"/>
                </w:tcPr>
                <w:p w14:paraId="729178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6.67</w:t>
                  </w:r>
                </w:p>
              </w:tc>
              <w:tc>
                <w:tcPr>
                  <w:tcW w:w="940" w:type="pct"/>
                  <w:tcBorders>
                    <w:tl2br w:val="nil"/>
                    <w:tr2bl w:val="nil"/>
                  </w:tcBorders>
                  <w:vAlign w:val="center"/>
                </w:tcPr>
                <w:p w14:paraId="13F189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4.5</w:t>
                  </w:r>
                </w:p>
              </w:tc>
              <w:tc>
                <w:tcPr>
                  <w:tcW w:w="940" w:type="pct"/>
                  <w:tcBorders>
                    <w:tl2br w:val="nil"/>
                    <w:tr2bl w:val="nil"/>
                  </w:tcBorders>
                  <w:vAlign w:val="center"/>
                </w:tcPr>
                <w:p w14:paraId="6B7353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8.6</w:t>
                  </w:r>
                </w:p>
              </w:tc>
              <w:tc>
                <w:tcPr>
                  <w:tcW w:w="714" w:type="pct"/>
                  <w:tcBorders>
                    <w:tl2br w:val="nil"/>
                    <w:tr2bl w:val="nil"/>
                  </w:tcBorders>
                  <w:vAlign w:val="center"/>
                </w:tcPr>
                <w:p w14:paraId="64E2AA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60</w:t>
                  </w:r>
                </w:p>
              </w:tc>
              <w:tc>
                <w:tcPr>
                  <w:tcW w:w="403" w:type="pct"/>
                  <w:tcBorders>
                    <w:tl2br w:val="nil"/>
                    <w:tr2bl w:val="nil"/>
                  </w:tcBorders>
                  <w:vAlign w:val="center"/>
                </w:tcPr>
                <w:p w14:paraId="30D488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FF0000"/>
                      <w:kern w:val="0"/>
                      <w:vertAlign w:val="baseline"/>
                    </w:rPr>
                  </w:pPr>
                  <w:r>
                    <w:rPr>
                      <w:rFonts w:hint="eastAsia"/>
                      <w:b w:val="0"/>
                      <w:bCs/>
                      <w:color w:val="FF0000"/>
                      <w:kern w:val="0"/>
                      <w:vertAlign w:val="baseline"/>
                      <w:lang w:val="en-US" w:eastAsia="zh-CN"/>
                    </w:rPr>
                    <w:t>达标</w:t>
                  </w:r>
                </w:p>
              </w:tc>
            </w:tr>
            <w:tr w14:paraId="7CCF7A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1" w:type="pct"/>
                  <w:tcBorders>
                    <w:tl2br w:val="nil"/>
                    <w:tr2bl w:val="nil"/>
                  </w:tcBorders>
                  <w:vAlign w:val="center"/>
                </w:tcPr>
                <w:p w14:paraId="224979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HF</w:t>
                  </w:r>
                </w:p>
              </w:tc>
              <w:tc>
                <w:tcPr>
                  <w:tcW w:w="939" w:type="pct"/>
                  <w:tcBorders>
                    <w:tl2br w:val="nil"/>
                    <w:tr2bl w:val="nil"/>
                  </w:tcBorders>
                  <w:vAlign w:val="center"/>
                </w:tcPr>
                <w:p w14:paraId="460B17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0.55</w:t>
                  </w:r>
                </w:p>
              </w:tc>
              <w:tc>
                <w:tcPr>
                  <w:tcW w:w="940" w:type="pct"/>
                  <w:tcBorders>
                    <w:tl2br w:val="nil"/>
                    <w:tr2bl w:val="nil"/>
                  </w:tcBorders>
                  <w:vAlign w:val="center"/>
                </w:tcPr>
                <w:p w14:paraId="1BCF75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0.000162</w:t>
                  </w:r>
                </w:p>
              </w:tc>
              <w:tc>
                <w:tcPr>
                  <w:tcW w:w="940" w:type="pct"/>
                  <w:tcBorders>
                    <w:tl2br w:val="nil"/>
                    <w:tr2bl w:val="nil"/>
                  </w:tcBorders>
                  <w:vAlign w:val="center"/>
                </w:tcPr>
                <w:p w14:paraId="5CD92C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0.31</w:t>
                  </w:r>
                </w:p>
              </w:tc>
              <w:tc>
                <w:tcPr>
                  <w:tcW w:w="714" w:type="pct"/>
                  <w:tcBorders>
                    <w:tl2br w:val="nil"/>
                    <w:tr2bl w:val="nil"/>
                  </w:tcBorders>
                  <w:vAlign w:val="center"/>
                </w:tcPr>
                <w:p w14:paraId="5E71CC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5.0</w:t>
                  </w:r>
                </w:p>
              </w:tc>
              <w:tc>
                <w:tcPr>
                  <w:tcW w:w="403" w:type="pct"/>
                  <w:tcBorders>
                    <w:tl2br w:val="nil"/>
                    <w:tr2bl w:val="nil"/>
                  </w:tcBorders>
                  <w:vAlign w:val="center"/>
                </w:tcPr>
                <w:p w14:paraId="3A4F2A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FF0000"/>
                      <w:kern w:val="0"/>
                      <w:vertAlign w:val="baseline"/>
                    </w:rPr>
                  </w:pPr>
                  <w:r>
                    <w:rPr>
                      <w:rFonts w:hint="eastAsia"/>
                      <w:b w:val="0"/>
                      <w:bCs/>
                      <w:color w:val="FF0000"/>
                      <w:kern w:val="0"/>
                      <w:vertAlign w:val="baseline"/>
                      <w:lang w:val="en-US" w:eastAsia="zh-CN"/>
                    </w:rPr>
                    <w:t>达标</w:t>
                  </w:r>
                </w:p>
              </w:tc>
            </w:tr>
            <w:tr w14:paraId="37D6189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1" w:type="pct"/>
                  <w:tcBorders>
                    <w:tl2br w:val="nil"/>
                    <w:tr2bl w:val="nil"/>
                  </w:tcBorders>
                  <w:vAlign w:val="center"/>
                </w:tcPr>
                <w:p w14:paraId="65666B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Hg</w:t>
                  </w:r>
                </w:p>
              </w:tc>
              <w:tc>
                <w:tcPr>
                  <w:tcW w:w="939" w:type="pct"/>
                  <w:tcBorders>
                    <w:tl2br w:val="nil"/>
                    <w:tr2bl w:val="nil"/>
                  </w:tcBorders>
                  <w:vAlign w:val="center"/>
                </w:tcPr>
                <w:p w14:paraId="18DD14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＜0.0038</w:t>
                  </w:r>
                </w:p>
              </w:tc>
              <w:tc>
                <w:tcPr>
                  <w:tcW w:w="940" w:type="pct"/>
                  <w:tcBorders>
                    <w:tl2br w:val="nil"/>
                    <w:tr2bl w:val="nil"/>
                  </w:tcBorders>
                  <w:vAlign w:val="center"/>
                </w:tcPr>
                <w:p w14:paraId="4CDC1C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0.0566</w:t>
                  </w:r>
                </w:p>
              </w:tc>
              <w:tc>
                <w:tcPr>
                  <w:tcW w:w="940" w:type="pct"/>
                  <w:tcBorders>
                    <w:tl2br w:val="nil"/>
                    <w:tr2bl w:val="nil"/>
                  </w:tcBorders>
                  <w:vAlign w:val="center"/>
                </w:tcPr>
                <w:p w14:paraId="409168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0.003</w:t>
                  </w:r>
                </w:p>
              </w:tc>
              <w:tc>
                <w:tcPr>
                  <w:tcW w:w="714" w:type="pct"/>
                  <w:tcBorders>
                    <w:tl2br w:val="nil"/>
                    <w:tr2bl w:val="nil"/>
                  </w:tcBorders>
                  <w:vAlign w:val="center"/>
                </w:tcPr>
                <w:p w14:paraId="02B6CB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0.1</w:t>
                  </w:r>
                </w:p>
              </w:tc>
              <w:tc>
                <w:tcPr>
                  <w:tcW w:w="403" w:type="pct"/>
                  <w:tcBorders>
                    <w:tl2br w:val="nil"/>
                    <w:tr2bl w:val="nil"/>
                  </w:tcBorders>
                  <w:vAlign w:val="center"/>
                </w:tcPr>
                <w:p w14:paraId="52BE2D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FF0000"/>
                      <w:kern w:val="0"/>
                      <w:vertAlign w:val="baseline"/>
                    </w:rPr>
                  </w:pPr>
                  <w:r>
                    <w:rPr>
                      <w:rFonts w:hint="eastAsia"/>
                      <w:b w:val="0"/>
                      <w:bCs/>
                      <w:color w:val="FF0000"/>
                      <w:kern w:val="0"/>
                      <w:vertAlign w:val="baseline"/>
                      <w:lang w:val="en-US" w:eastAsia="zh-CN"/>
                    </w:rPr>
                    <w:t>达标</w:t>
                  </w:r>
                </w:p>
              </w:tc>
            </w:tr>
            <w:tr w14:paraId="7BC8C8B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1" w:type="pct"/>
                  <w:tcBorders>
                    <w:tl2br w:val="nil"/>
                    <w:tr2bl w:val="nil"/>
                  </w:tcBorders>
                  <w:vAlign w:val="center"/>
                </w:tcPr>
                <w:p w14:paraId="1F1781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Cd</w:t>
                  </w:r>
                </w:p>
              </w:tc>
              <w:tc>
                <w:tcPr>
                  <w:tcW w:w="939" w:type="pct"/>
                  <w:tcBorders>
                    <w:tl2br w:val="nil"/>
                    <w:tr2bl w:val="nil"/>
                  </w:tcBorders>
                  <w:vAlign w:val="center"/>
                </w:tcPr>
                <w:p w14:paraId="5E7A6E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＜0.0000005</w:t>
                  </w:r>
                </w:p>
              </w:tc>
              <w:tc>
                <w:tcPr>
                  <w:tcW w:w="940" w:type="pct"/>
                  <w:tcBorders>
                    <w:tl2br w:val="nil"/>
                    <w:tr2bl w:val="nil"/>
                  </w:tcBorders>
                  <w:vAlign w:val="center"/>
                </w:tcPr>
                <w:p w14:paraId="4C5748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0.0112</w:t>
                  </w:r>
                </w:p>
              </w:tc>
              <w:tc>
                <w:tcPr>
                  <w:tcW w:w="940" w:type="pct"/>
                  <w:tcBorders>
                    <w:tl2br w:val="nil"/>
                    <w:tr2bl w:val="nil"/>
                  </w:tcBorders>
                  <w:vAlign w:val="center"/>
                </w:tcPr>
                <w:p w14:paraId="6A6828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0.0063</w:t>
                  </w:r>
                </w:p>
              </w:tc>
              <w:tc>
                <w:tcPr>
                  <w:tcW w:w="714" w:type="pct"/>
                  <w:tcBorders>
                    <w:tl2br w:val="nil"/>
                    <w:tr2bl w:val="nil"/>
                  </w:tcBorders>
                  <w:vAlign w:val="center"/>
                </w:tcPr>
                <w:p w14:paraId="196619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0.1</w:t>
                  </w:r>
                </w:p>
              </w:tc>
              <w:tc>
                <w:tcPr>
                  <w:tcW w:w="403" w:type="pct"/>
                  <w:tcBorders>
                    <w:tl2br w:val="nil"/>
                    <w:tr2bl w:val="nil"/>
                  </w:tcBorders>
                  <w:vAlign w:val="center"/>
                </w:tcPr>
                <w:p w14:paraId="237B81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FF0000"/>
                      <w:kern w:val="0"/>
                      <w:vertAlign w:val="baseline"/>
                    </w:rPr>
                  </w:pPr>
                  <w:r>
                    <w:rPr>
                      <w:rFonts w:hint="eastAsia"/>
                      <w:b w:val="0"/>
                      <w:bCs/>
                      <w:color w:val="FF0000"/>
                      <w:kern w:val="0"/>
                      <w:vertAlign w:val="baseline"/>
                      <w:lang w:val="en-US" w:eastAsia="zh-CN"/>
                    </w:rPr>
                    <w:t>达标</w:t>
                  </w:r>
                </w:p>
              </w:tc>
            </w:tr>
            <w:tr w14:paraId="663184B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1" w:type="pct"/>
                  <w:tcBorders>
                    <w:tl2br w:val="nil"/>
                    <w:tr2bl w:val="nil"/>
                  </w:tcBorders>
                  <w:vAlign w:val="center"/>
                </w:tcPr>
                <w:p w14:paraId="61064D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Pb</w:t>
                  </w:r>
                </w:p>
              </w:tc>
              <w:tc>
                <w:tcPr>
                  <w:tcW w:w="939" w:type="pct"/>
                  <w:tcBorders>
                    <w:tl2br w:val="nil"/>
                    <w:tr2bl w:val="nil"/>
                  </w:tcBorders>
                  <w:vAlign w:val="center"/>
                </w:tcPr>
                <w:p w14:paraId="0C7EF6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＜0.031</w:t>
                  </w:r>
                </w:p>
              </w:tc>
              <w:tc>
                <w:tcPr>
                  <w:tcW w:w="940" w:type="pct"/>
                  <w:tcBorders>
                    <w:tl2br w:val="nil"/>
                    <w:tr2bl w:val="nil"/>
                  </w:tcBorders>
                  <w:vAlign w:val="center"/>
                </w:tcPr>
                <w:p w14:paraId="394554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0.0847</w:t>
                  </w:r>
                </w:p>
              </w:tc>
              <w:tc>
                <w:tcPr>
                  <w:tcW w:w="940" w:type="pct"/>
                  <w:tcBorders>
                    <w:tl2br w:val="nil"/>
                    <w:tr2bl w:val="nil"/>
                  </w:tcBorders>
                  <w:vAlign w:val="center"/>
                </w:tcPr>
                <w:p w14:paraId="1569CA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0.0667</w:t>
                  </w:r>
                </w:p>
              </w:tc>
              <w:tc>
                <w:tcPr>
                  <w:tcW w:w="714" w:type="pct"/>
                  <w:tcBorders>
                    <w:tl2br w:val="nil"/>
                    <w:tr2bl w:val="nil"/>
                  </w:tcBorders>
                  <w:vAlign w:val="center"/>
                </w:tcPr>
                <w:p w14:paraId="6B2F9F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1.0</w:t>
                  </w:r>
                </w:p>
              </w:tc>
              <w:tc>
                <w:tcPr>
                  <w:tcW w:w="403" w:type="pct"/>
                  <w:tcBorders>
                    <w:tl2br w:val="nil"/>
                    <w:tr2bl w:val="nil"/>
                  </w:tcBorders>
                  <w:vAlign w:val="center"/>
                </w:tcPr>
                <w:p w14:paraId="4B2F3B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FF0000"/>
                      <w:kern w:val="0"/>
                      <w:vertAlign w:val="baseline"/>
                    </w:rPr>
                  </w:pPr>
                  <w:r>
                    <w:rPr>
                      <w:rFonts w:hint="eastAsia"/>
                      <w:b w:val="0"/>
                      <w:bCs/>
                      <w:color w:val="FF0000"/>
                      <w:kern w:val="0"/>
                      <w:vertAlign w:val="baseline"/>
                      <w:lang w:val="en-US" w:eastAsia="zh-CN"/>
                    </w:rPr>
                    <w:t>达标</w:t>
                  </w:r>
                </w:p>
              </w:tc>
            </w:tr>
            <w:tr w14:paraId="349A2FD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1" w:type="pct"/>
                  <w:tcBorders>
                    <w:tl2br w:val="nil"/>
                    <w:tr2bl w:val="nil"/>
                  </w:tcBorders>
                  <w:vAlign w:val="center"/>
                </w:tcPr>
                <w:p w14:paraId="71B87E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As+Ni</w:t>
                  </w:r>
                </w:p>
              </w:tc>
              <w:tc>
                <w:tcPr>
                  <w:tcW w:w="939" w:type="pct"/>
                  <w:tcBorders>
                    <w:tl2br w:val="nil"/>
                    <w:tr2bl w:val="nil"/>
                  </w:tcBorders>
                  <w:vAlign w:val="center"/>
                </w:tcPr>
                <w:p w14:paraId="452B45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＜0.286</w:t>
                  </w:r>
                </w:p>
              </w:tc>
              <w:tc>
                <w:tcPr>
                  <w:tcW w:w="940" w:type="pct"/>
                  <w:tcBorders>
                    <w:tl2br w:val="nil"/>
                    <w:tr2bl w:val="nil"/>
                  </w:tcBorders>
                  <w:vAlign w:val="center"/>
                </w:tcPr>
                <w:p w14:paraId="3412C4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0.067</w:t>
                  </w:r>
                </w:p>
              </w:tc>
              <w:tc>
                <w:tcPr>
                  <w:tcW w:w="940" w:type="pct"/>
                  <w:tcBorders>
                    <w:tl2br w:val="nil"/>
                    <w:tr2bl w:val="nil"/>
                  </w:tcBorders>
                  <w:vAlign w:val="center"/>
                </w:tcPr>
                <w:p w14:paraId="57D925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val="0"/>
                      <w:bCs/>
                      <w:color w:val="FF0000"/>
                      <w:kern w:val="0"/>
                      <w:vertAlign w:val="baseline"/>
                      <w:lang w:val="en-US" w:eastAsia="zh-CN"/>
                    </w:rPr>
                  </w:pPr>
                  <w:r>
                    <w:rPr>
                      <w:rFonts w:hint="eastAsia"/>
                      <w:b w:val="0"/>
                      <w:bCs/>
                      <w:color w:val="FF0000"/>
                      <w:kern w:val="0"/>
                      <w:vertAlign w:val="baseline"/>
                      <w:lang w:val="en-US" w:eastAsia="zh-CN"/>
                    </w:rPr>
                    <w:t>未检出</w:t>
                  </w:r>
                </w:p>
              </w:tc>
              <w:tc>
                <w:tcPr>
                  <w:tcW w:w="714" w:type="pct"/>
                  <w:tcBorders>
                    <w:tl2br w:val="nil"/>
                    <w:tr2bl w:val="nil"/>
                  </w:tcBorders>
                  <w:vAlign w:val="center"/>
                </w:tcPr>
                <w:p w14:paraId="6A94B0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1.0</w:t>
                  </w:r>
                </w:p>
              </w:tc>
              <w:tc>
                <w:tcPr>
                  <w:tcW w:w="403" w:type="pct"/>
                  <w:tcBorders>
                    <w:tl2br w:val="nil"/>
                    <w:tr2bl w:val="nil"/>
                  </w:tcBorders>
                  <w:vAlign w:val="center"/>
                </w:tcPr>
                <w:p w14:paraId="727050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FF0000"/>
                      <w:kern w:val="0"/>
                      <w:vertAlign w:val="baseline"/>
                    </w:rPr>
                  </w:pPr>
                  <w:r>
                    <w:rPr>
                      <w:rFonts w:hint="eastAsia"/>
                      <w:b w:val="0"/>
                      <w:bCs/>
                      <w:color w:val="FF0000"/>
                      <w:kern w:val="0"/>
                      <w:vertAlign w:val="baseline"/>
                      <w:lang w:val="en-US" w:eastAsia="zh-CN"/>
                    </w:rPr>
                    <w:t>达标</w:t>
                  </w:r>
                </w:p>
              </w:tc>
            </w:tr>
            <w:tr w14:paraId="35B29E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1" w:type="pct"/>
                  <w:tcBorders>
                    <w:tl2br w:val="nil"/>
                    <w:tr2bl w:val="nil"/>
                  </w:tcBorders>
                  <w:vAlign w:val="center"/>
                </w:tcPr>
                <w:p w14:paraId="0FB74F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Cr+Sn+Sb+Cu+Mn</w:t>
                  </w:r>
                </w:p>
              </w:tc>
              <w:tc>
                <w:tcPr>
                  <w:tcW w:w="939" w:type="pct"/>
                  <w:tcBorders>
                    <w:tl2br w:val="nil"/>
                    <w:tr2bl w:val="nil"/>
                  </w:tcBorders>
                  <w:vAlign w:val="center"/>
                </w:tcPr>
                <w:p w14:paraId="6C93FC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＜0.912</w:t>
                  </w:r>
                </w:p>
              </w:tc>
              <w:tc>
                <w:tcPr>
                  <w:tcW w:w="940" w:type="pct"/>
                  <w:tcBorders>
                    <w:tl2br w:val="nil"/>
                    <w:tr2bl w:val="nil"/>
                  </w:tcBorders>
                  <w:vAlign w:val="center"/>
                </w:tcPr>
                <w:p w14:paraId="0879BB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0.126</w:t>
                  </w:r>
                </w:p>
              </w:tc>
              <w:tc>
                <w:tcPr>
                  <w:tcW w:w="940" w:type="pct"/>
                  <w:tcBorders>
                    <w:tl2br w:val="nil"/>
                    <w:tr2bl w:val="nil"/>
                  </w:tcBorders>
                  <w:vAlign w:val="center"/>
                </w:tcPr>
                <w:p w14:paraId="39A462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0.173</w:t>
                  </w:r>
                </w:p>
              </w:tc>
              <w:tc>
                <w:tcPr>
                  <w:tcW w:w="714" w:type="pct"/>
                  <w:tcBorders>
                    <w:tl2br w:val="nil"/>
                    <w:tr2bl w:val="nil"/>
                  </w:tcBorders>
                  <w:vAlign w:val="center"/>
                </w:tcPr>
                <w:p w14:paraId="5EB6E3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4.0</w:t>
                  </w:r>
                </w:p>
              </w:tc>
              <w:tc>
                <w:tcPr>
                  <w:tcW w:w="403" w:type="pct"/>
                  <w:tcBorders>
                    <w:tl2br w:val="nil"/>
                    <w:tr2bl w:val="nil"/>
                  </w:tcBorders>
                  <w:vAlign w:val="center"/>
                </w:tcPr>
                <w:p w14:paraId="7F3428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FF0000"/>
                      <w:kern w:val="0"/>
                      <w:vertAlign w:val="baseline"/>
                    </w:rPr>
                  </w:pPr>
                  <w:r>
                    <w:rPr>
                      <w:rFonts w:hint="eastAsia"/>
                      <w:b w:val="0"/>
                      <w:bCs/>
                      <w:color w:val="FF0000"/>
                      <w:kern w:val="0"/>
                      <w:vertAlign w:val="baseline"/>
                      <w:lang w:val="en-US" w:eastAsia="zh-CN"/>
                    </w:rPr>
                    <w:t>达标</w:t>
                  </w:r>
                </w:p>
              </w:tc>
            </w:tr>
            <w:tr w14:paraId="7C2D29E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1" w:type="pct"/>
                  <w:tcBorders>
                    <w:tl2br w:val="nil"/>
                    <w:tr2bl w:val="nil"/>
                  </w:tcBorders>
                  <w:vAlign w:val="center"/>
                </w:tcPr>
                <w:p w14:paraId="1805D7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二噁英TEQng/m</w:t>
                  </w:r>
                  <w:r>
                    <w:rPr>
                      <w:rFonts w:hint="eastAsia"/>
                      <w:b w:val="0"/>
                      <w:bCs/>
                      <w:color w:val="FF0000"/>
                      <w:kern w:val="0"/>
                      <w:vertAlign w:val="superscript"/>
                      <w:lang w:val="en-US" w:eastAsia="zh-CN"/>
                    </w:rPr>
                    <w:t>3</w:t>
                  </w:r>
                </w:p>
              </w:tc>
              <w:tc>
                <w:tcPr>
                  <w:tcW w:w="939" w:type="pct"/>
                  <w:tcBorders>
                    <w:tl2br w:val="nil"/>
                    <w:tr2bl w:val="nil"/>
                  </w:tcBorders>
                  <w:vAlign w:val="center"/>
                </w:tcPr>
                <w:p w14:paraId="3EE1B1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FF0000"/>
                      <w:kern w:val="0"/>
                      <w:vertAlign w:val="baseline"/>
                    </w:rPr>
                  </w:pPr>
                  <w:r>
                    <w:rPr>
                      <w:rFonts w:hint="eastAsia"/>
                      <w:b w:val="0"/>
                      <w:bCs/>
                      <w:color w:val="FF0000"/>
                      <w:kern w:val="0"/>
                      <w:vertAlign w:val="baseline"/>
                      <w:lang w:val="en-US" w:eastAsia="zh-CN"/>
                    </w:rPr>
                    <w:t>0.089ngTEQ/m</w:t>
                  </w:r>
                  <w:r>
                    <w:rPr>
                      <w:rFonts w:hint="eastAsia"/>
                      <w:b w:val="0"/>
                      <w:bCs/>
                      <w:color w:val="FF0000"/>
                      <w:kern w:val="0"/>
                      <w:vertAlign w:val="superscript"/>
                      <w:lang w:val="en-US" w:eastAsia="zh-CN"/>
                    </w:rPr>
                    <w:t>3</w:t>
                  </w:r>
                </w:p>
              </w:tc>
              <w:tc>
                <w:tcPr>
                  <w:tcW w:w="940" w:type="pct"/>
                  <w:tcBorders>
                    <w:tl2br w:val="nil"/>
                    <w:tr2bl w:val="nil"/>
                  </w:tcBorders>
                  <w:vAlign w:val="center"/>
                </w:tcPr>
                <w:p w14:paraId="5D4CAB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FF0000"/>
                      <w:kern w:val="0"/>
                      <w:vertAlign w:val="baseline"/>
                    </w:rPr>
                  </w:pPr>
                  <w:r>
                    <w:rPr>
                      <w:rFonts w:hint="eastAsia"/>
                      <w:b w:val="0"/>
                      <w:bCs/>
                      <w:color w:val="FF0000"/>
                      <w:kern w:val="0"/>
                      <w:vertAlign w:val="baseline"/>
                      <w:lang w:val="en-US" w:eastAsia="zh-CN"/>
                    </w:rPr>
                    <w:t>0.061ngTEQ/m</w:t>
                  </w:r>
                  <w:r>
                    <w:rPr>
                      <w:rFonts w:hint="eastAsia"/>
                      <w:b w:val="0"/>
                      <w:bCs/>
                      <w:color w:val="FF0000"/>
                      <w:kern w:val="0"/>
                      <w:vertAlign w:val="superscript"/>
                      <w:lang w:val="en-US" w:eastAsia="zh-CN"/>
                    </w:rPr>
                    <w:t>3</w:t>
                  </w:r>
                </w:p>
              </w:tc>
              <w:tc>
                <w:tcPr>
                  <w:tcW w:w="940" w:type="pct"/>
                  <w:tcBorders>
                    <w:tl2br w:val="nil"/>
                    <w:tr2bl w:val="nil"/>
                  </w:tcBorders>
                  <w:vAlign w:val="center"/>
                </w:tcPr>
                <w:p w14:paraId="7EAB41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FF0000"/>
                      <w:kern w:val="0"/>
                      <w:vertAlign w:val="baseline"/>
                    </w:rPr>
                  </w:pPr>
                  <w:r>
                    <w:rPr>
                      <w:rFonts w:hint="eastAsia"/>
                      <w:b w:val="0"/>
                      <w:bCs/>
                      <w:color w:val="FF0000"/>
                      <w:kern w:val="0"/>
                      <w:vertAlign w:val="baseline"/>
                      <w:lang w:val="en-US" w:eastAsia="zh-CN"/>
                    </w:rPr>
                    <w:t>0.011ngTEQ/m</w:t>
                  </w:r>
                  <w:r>
                    <w:rPr>
                      <w:rFonts w:hint="eastAsia"/>
                      <w:b w:val="0"/>
                      <w:bCs/>
                      <w:color w:val="FF0000"/>
                      <w:kern w:val="0"/>
                      <w:vertAlign w:val="superscript"/>
                      <w:lang w:val="en-US" w:eastAsia="zh-CN"/>
                    </w:rPr>
                    <w:t>3</w:t>
                  </w:r>
                </w:p>
              </w:tc>
              <w:tc>
                <w:tcPr>
                  <w:tcW w:w="714" w:type="pct"/>
                  <w:tcBorders>
                    <w:tl2br w:val="nil"/>
                    <w:tr2bl w:val="nil"/>
                  </w:tcBorders>
                  <w:vAlign w:val="center"/>
                </w:tcPr>
                <w:p w14:paraId="624649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color w:val="FF0000"/>
                      <w:kern w:val="0"/>
                      <w:vertAlign w:val="baseline"/>
                      <w:lang w:val="en-US" w:eastAsia="zh-CN"/>
                    </w:rPr>
                  </w:pPr>
                  <w:r>
                    <w:rPr>
                      <w:rFonts w:hint="eastAsia"/>
                      <w:b w:val="0"/>
                      <w:bCs/>
                      <w:color w:val="FF0000"/>
                      <w:kern w:val="0"/>
                      <w:vertAlign w:val="baseline"/>
                      <w:lang w:val="en-US" w:eastAsia="zh-CN"/>
                    </w:rPr>
                    <w:t>0.1ngTEQ/m</w:t>
                  </w:r>
                  <w:r>
                    <w:rPr>
                      <w:rFonts w:hint="eastAsia"/>
                      <w:b w:val="0"/>
                      <w:bCs/>
                      <w:color w:val="FF0000"/>
                      <w:kern w:val="0"/>
                      <w:vertAlign w:val="superscript"/>
                      <w:lang w:val="en-US" w:eastAsia="zh-CN"/>
                    </w:rPr>
                    <w:t>3</w:t>
                  </w:r>
                </w:p>
              </w:tc>
              <w:tc>
                <w:tcPr>
                  <w:tcW w:w="403" w:type="pct"/>
                  <w:tcBorders>
                    <w:tl2br w:val="nil"/>
                    <w:tr2bl w:val="nil"/>
                  </w:tcBorders>
                  <w:vAlign w:val="center"/>
                </w:tcPr>
                <w:p w14:paraId="0F363F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color w:val="FF0000"/>
                      <w:kern w:val="0"/>
                      <w:vertAlign w:val="baseline"/>
                    </w:rPr>
                  </w:pPr>
                  <w:r>
                    <w:rPr>
                      <w:rFonts w:hint="eastAsia"/>
                      <w:b w:val="0"/>
                      <w:bCs/>
                      <w:color w:val="FF0000"/>
                      <w:kern w:val="0"/>
                      <w:vertAlign w:val="baseline"/>
                      <w:lang w:val="en-US" w:eastAsia="zh-CN"/>
                    </w:rPr>
                    <w:t>达标</w:t>
                  </w:r>
                </w:p>
              </w:tc>
            </w:tr>
          </w:tbl>
          <w:p w14:paraId="3CCB63C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宋体"/>
                <w:b w:val="0"/>
                <w:bCs/>
                <w:color w:val="FF0000"/>
                <w:kern w:val="0"/>
                <w:lang w:eastAsia="zh-CN"/>
              </w:rPr>
            </w:pPr>
            <w:r>
              <w:rPr>
                <w:rFonts w:hint="eastAsia"/>
                <w:b w:val="0"/>
                <w:bCs/>
                <w:color w:val="FF0000"/>
                <w:kern w:val="0"/>
              </w:rPr>
              <w:t>综上所述，项目通过以上各方法的综合使用，其燃烧控制、治理方案等满足《危险废物集中焚烧处置工程建设技术规范》（HJ/T176-2005）、《危险废物焚烧污染控制标准》（GB18484-2020）等要求，本项目采用的焚烧尾气治理措施可行，能够达标排放</w:t>
            </w:r>
            <w:r>
              <w:rPr>
                <w:rFonts w:hint="eastAsia"/>
                <w:b w:val="0"/>
                <w:bCs/>
                <w:color w:val="FF0000"/>
                <w:kern w:val="0"/>
                <w:lang w:eastAsia="zh-CN"/>
              </w:rPr>
              <w:t>。</w:t>
            </w:r>
          </w:p>
          <w:p w14:paraId="30657365">
            <w:pPr>
              <w:adjustRightInd w:val="0"/>
              <w:snapToGrid w:val="0"/>
              <w:spacing w:line="360" w:lineRule="auto"/>
              <w:ind w:firstLine="422" w:firstLineChars="200"/>
              <w:rPr>
                <w:rFonts w:hint="default" w:eastAsia="宋体"/>
                <w:b/>
                <w:color w:val="FF0000"/>
                <w:kern w:val="0"/>
                <w:lang w:val="en-US" w:eastAsia="zh-CN"/>
              </w:rPr>
            </w:pPr>
            <w:r>
              <w:rPr>
                <w:rFonts w:hint="eastAsia"/>
                <w:b/>
                <w:color w:val="FF0000"/>
                <w:kern w:val="0"/>
                <w:lang w:val="en-US" w:eastAsia="zh-CN"/>
              </w:rPr>
              <w:t>焚烧炉技术性能指标</w:t>
            </w:r>
          </w:p>
          <w:p w14:paraId="490EB388">
            <w:pPr>
              <w:adjustRightInd w:val="0"/>
              <w:snapToGrid w:val="0"/>
              <w:spacing w:line="240" w:lineRule="auto"/>
              <w:jc w:val="center"/>
              <w:rPr>
                <w:rFonts w:hint="default" w:eastAsia="宋体"/>
                <w:b/>
                <w:color w:val="FF0000"/>
                <w:kern w:val="0"/>
                <w:lang w:val="en-US" w:eastAsia="zh-CN"/>
              </w:rPr>
            </w:pPr>
            <w:r>
              <w:rPr>
                <w:rFonts w:hint="eastAsia"/>
                <w:b/>
                <w:color w:val="FF0000"/>
                <w:kern w:val="0"/>
                <w:lang w:val="en-US" w:eastAsia="zh-CN"/>
              </w:rPr>
              <w:t>焚烧炉技术性能指标表</w:t>
            </w:r>
          </w:p>
          <w:tbl>
            <w:tblPr>
              <w:tblStyle w:val="60"/>
              <w:tblW w:w="4995"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36"/>
              <w:gridCol w:w="957"/>
              <w:gridCol w:w="1136"/>
              <w:gridCol w:w="1607"/>
              <w:gridCol w:w="984"/>
              <w:gridCol w:w="1325"/>
              <w:gridCol w:w="913"/>
              <w:gridCol w:w="913"/>
              <w:gridCol w:w="914"/>
            </w:tblGrid>
            <w:tr w14:paraId="33F2D1A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36" w:type="pct"/>
                  <w:tcBorders>
                    <w:tl2br w:val="nil"/>
                    <w:tr2bl w:val="nil"/>
                  </w:tcBorders>
                  <w:vAlign w:val="center"/>
                </w:tcPr>
                <w:p w14:paraId="7E2F29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FF0000"/>
                      <w:kern w:val="0"/>
                      <w:sz w:val="21"/>
                      <w:szCs w:val="21"/>
                      <w:vertAlign w:val="baseline"/>
                      <w:lang w:val="en-US" w:eastAsia="zh-CN"/>
                    </w:rPr>
                  </w:pPr>
                  <w:r>
                    <w:rPr>
                      <w:rFonts w:hint="default" w:ascii="Times New Roman" w:hAnsi="Times New Roman" w:cs="Times New Roman"/>
                      <w:b/>
                      <w:color w:val="FF0000"/>
                      <w:kern w:val="0"/>
                      <w:sz w:val="21"/>
                      <w:szCs w:val="21"/>
                      <w:vertAlign w:val="baseline"/>
                      <w:lang w:val="en-US" w:eastAsia="zh-CN"/>
                    </w:rPr>
                    <w:t>指标</w:t>
                  </w:r>
                </w:p>
              </w:tc>
              <w:tc>
                <w:tcPr>
                  <w:tcW w:w="499" w:type="pct"/>
                  <w:tcBorders>
                    <w:tl2br w:val="nil"/>
                    <w:tr2bl w:val="nil"/>
                  </w:tcBorders>
                  <w:vAlign w:val="center"/>
                </w:tcPr>
                <w:p w14:paraId="757AC4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FF0000"/>
                      <w:kern w:val="0"/>
                      <w:sz w:val="21"/>
                      <w:szCs w:val="21"/>
                      <w:vertAlign w:val="baseline"/>
                      <w:lang w:val="en-US" w:eastAsia="zh-CN"/>
                    </w:rPr>
                  </w:pPr>
                  <w:r>
                    <w:rPr>
                      <w:rFonts w:hint="default" w:ascii="Times New Roman" w:hAnsi="Times New Roman" w:cs="Times New Roman"/>
                      <w:b/>
                      <w:color w:val="FF0000"/>
                      <w:kern w:val="0"/>
                      <w:sz w:val="21"/>
                      <w:szCs w:val="21"/>
                      <w:vertAlign w:val="baseline"/>
                      <w:lang w:val="en-US" w:eastAsia="zh-CN"/>
                    </w:rPr>
                    <w:t>焚烧炉温度℃</w:t>
                  </w:r>
                </w:p>
              </w:tc>
              <w:tc>
                <w:tcPr>
                  <w:tcW w:w="592" w:type="pct"/>
                  <w:tcBorders>
                    <w:tl2br w:val="nil"/>
                    <w:tr2bl w:val="nil"/>
                  </w:tcBorders>
                  <w:vAlign w:val="center"/>
                </w:tcPr>
                <w:p w14:paraId="3C6013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z w:val="21"/>
                      <w:szCs w:val="21"/>
                      <w:lang w:val="en-US" w:eastAsia="zh-CN"/>
                    </w:rPr>
                  </w:pPr>
                  <w:r>
                    <w:rPr>
                      <w:rFonts w:hint="default" w:ascii="Times New Roman" w:hAnsi="Times New Roman" w:cs="Times New Roman"/>
                      <w:b/>
                      <w:color w:val="FF0000"/>
                      <w:kern w:val="0"/>
                      <w:sz w:val="21"/>
                      <w:szCs w:val="21"/>
                      <w:vertAlign w:val="baseline"/>
                      <w:lang w:val="en-US" w:eastAsia="zh-CN"/>
                    </w:rPr>
                    <w:t>烟气停留时间S</w:t>
                  </w:r>
                </w:p>
              </w:tc>
              <w:tc>
                <w:tcPr>
                  <w:tcW w:w="838" w:type="pct"/>
                  <w:tcBorders>
                    <w:tl2br w:val="nil"/>
                    <w:tr2bl w:val="nil"/>
                  </w:tcBorders>
                  <w:vAlign w:val="center"/>
                </w:tcPr>
                <w:p w14:paraId="4A9FA0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FF0000"/>
                      <w:kern w:val="0"/>
                      <w:sz w:val="21"/>
                      <w:szCs w:val="21"/>
                      <w:vertAlign w:val="baseline"/>
                    </w:rPr>
                  </w:pPr>
                  <w:r>
                    <w:rPr>
                      <w:rFonts w:hint="default" w:ascii="Times New Roman" w:hAnsi="Times New Roman" w:cs="Times New Roman"/>
                      <w:b/>
                      <w:color w:val="FF0000"/>
                      <w:kern w:val="0"/>
                      <w:sz w:val="21"/>
                      <w:szCs w:val="21"/>
                      <w:vertAlign w:val="baseline"/>
                    </w:rPr>
                    <w:t>烟气含氧量（干烟气，烟囱取样口）</w:t>
                  </w:r>
                </w:p>
              </w:tc>
              <w:tc>
                <w:tcPr>
                  <w:tcW w:w="1204" w:type="pct"/>
                  <w:gridSpan w:val="2"/>
                  <w:tcBorders>
                    <w:tl2br w:val="nil"/>
                    <w:tr2bl w:val="nil"/>
                  </w:tcBorders>
                  <w:vAlign w:val="center"/>
                </w:tcPr>
                <w:p w14:paraId="24788D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FF0000"/>
                      <w:kern w:val="0"/>
                      <w:sz w:val="21"/>
                      <w:szCs w:val="21"/>
                      <w:vertAlign w:val="baseline"/>
                    </w:rPr>
                  </w:pPr>
                  <w:r>
                    <w:rPr>
                      <w:rFonts w:hint="default" w:ascii="Times New Roman" w:hAnsi="Times New Roman" w:cs="Times New Roman"/>
                      <w:b/>
                      <w:color w:val="FF0000"/>
                      <w:kern w:val="0"/>
                      <w:sz w:val="21"/>
                      <w:szCs w:val="21"/>
                      <w:vertAlign w:val="baseline"/>
                    </w:rPr>
                    <w:t>烟气一氧化碳浓度（mg/m</w:t>
                  </w:r>
                  <w:r>
                    <w:rPr>
                      <w:rFonts w:hint="default" w:ascii="Times New Roman" w:hAnsi="Times New Roman" w:cs="Times New Roman"/>
                      <w:b/>
                      <w:color w:val="FF0000"/>
                      <w:kern w:val="0"/>
                      <w:sz w:val="21"/>
                      <w:szCs w:val="21"/>
                      <w:vertAlign w:val="superscript"/>
                    </w:rPr>
                    <w:t>3</w:t>
                  </w:r>
                  <w:r>
                    <w:rPr>
                      <w:rFonts w:hint="default" w:ascii="Times New Roman" w:hAnsi="Times New Roman" w:cs="Times New Roman"/>
                      <w:b/>
                      <w:color w:val="FF0000"/>
                      <w:kern w:val="0"/>
                      <w:sz w:val="21"/>
                      <w:szCs w:val="21"/>
                      <w:vertAlign w:val="baseline"/>
                    </w:rPr>
                    <w:t>，烟囱取样口）</w:t>
                  </w:r>
                </w:p>
              </w:tc>
              <w:tc>
                <w:tcPr>
                  <w:tcW w:w="476" w:type="pct"/>
                  <w:tcBorders>
                    <w:tl2br w:val="nil"/>
                    <w:tr2bl w:val="nil"/>
                  </w:tcBorders>
                  <w:vAlign w:val="center"/>
                </w:tcPr>
                <w:p w14:paraId="764637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FF0000"/>
                      <w:kern w:val="0"/>
                      <w:sz w:val="21"/>
                      <w:szCs w:val="21"/>
                      <w:vertAlign w:val="baseline"/>
                      <w:lang w:val="en-US" w:eastAsia="zh-CN"/>
                    </w:rPr>
                  </w:pPr>
                  <w:r>
                    <w:rPr>
                      <w:rFonts w:hint="default" w:ascii="Times New Roman" w:hAnsi="Times New Roman" w:cs="Times New Roman"/>
                      <w:b/>
                      <w:color w:val="FF0000"/>
                      <w:kern w:val="0"/>
                      <w:sz w:val="21"/>
                      <w:szCs w:val="21"/>
                      <w:vertAlign w:val="baseline"/>
                      <w:lang w:val="en-US" w:eastAsia="zh-CN"/>
                    </w:rPr>
                    <w:t>燃烧效率%</w:t>
                  </w:r>
                </w:p>
              </w:tc>
              <w:tc>
                <w:tcPr>
                  <w:tcW w:w="476" w:type="pct"/>
                  <w:tcBorders>
                    <w:tl2br w:val="nil"/>
                    <w:tr2bl w:val="nil"/>
                  </w:tcBorders>
                  <w:vAlign w:val="center"/>
                </w:tcPr>
                <w:p w14:paraId="570C7F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FF0000"/>
                      <w:kern w:val="0"/>
                      <w:sz w:val="21"/>
                      <w:szCs w:val="21"/>
                      <w:vertAlign w:val="baseline"/>
                      <w:lang w:val="en-US" w:eastAsia="zh-CN"/>
                    </w:rPr>
                  </w:pPr>
                  <w:r>
                    <w:rPr>
                      <w:rFonts w:hint="default" w:ascii="Times New Roman" w:hAnsi="Times New Roman" w:cs="Times New Roman"/>
                      <w:b/>
                      <w:color w:val="FF0000"/>
                      <w:kern w:val="0"/>
                      <w:sz w:val="21"/>
                      <w:szCs w:val="21"/>
                      <w:vertAlign w:val="baseline"/>
                      <w:lang w:val="en-US" w:eastAsia="zh-CN"/>
                    </w:rPr>
                    <w:t>焚毁去除率%</w:t>
                  </w:r>
                </w:p>
              </w:tc>
              <w:tc>
                <w:tcPr>
                  <w:tcW w:w="476" w:type="pct"/>
                  <w:tcBorders>
                    <w:tl2br w:val="nil"/>
                    <w:tr2bl w:val="nil"/>
                  </w:tcBorders>
                  <w:vAlign w:val="center"/>
                </w:tcPr>
                <w:p w14:paraId="73F4AD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FF0000"/>
                      <w:kern w:val="0"/>
                      <w:sz w:val="21"/>
                      <w:szCs w:val="21"/>
                      <w:vertAlign w:val="baseline"/>
                      <w:lang w:val="en-US" w:eastAsia="zh-CN"/>
                    </w:rPr>
                  </w:pPr>
                  <w:r>
                    <w:rPr>
                      <w:rFonts w:hint="default" w:ascii="Times New Roman" w:hAnsi="Times New Roman" w:cs="Times New Roman"/>
                      <w:b/>
                      <w:color w:val="FF0000"/>
                      <w:kern w:val="0"/>
                      <w:sz w:val="21"/>
                      <w:szCs w:val="21"/>
                      <w:vertAlign w:val="baseline"/>
                      <w:lang w:val="en-US" w:eastAsia="zh-CN"/>
                    </w:rPr>
                    <w:t>热灼减率%</w:t>
                  </w:r>
                </w:p>
              </w:tc>
            </w:tr>
            <w:tr w14:paraId="06EC9D7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36" w:type="pct"/>
                  <w:vMerge w:val="restart"/>
                  <w:tcBorders>
                    <w:tl2br w:val="nil"/>
                    <w:tr2bl w:val="nil"/>
                  </w:tcBorders>
                  <w:vAlign w:val="center"/>
                </w:tcPr>
                <w:p w14:paraId="47DAAD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kern w:val="0"/>
                      <w:sz w:val="21"/>
                      <w:szCs w:val="21"/>
                      <w:vertAlign w:val="baseline"/>
                      <w:lang w:val="en-US" w:eastAsia="zh-CN"/>
                    </w:rPr>
                  </w:pPr>
                  <w:r>
                    <w:rPr>
                      <w:rFonts w:hint="default" w:ascii="Times New Roman" w:hAnsi="Times New Roman" w:cs="Times New Roman"/>
                      <w:b w:val="0"/>
                      <w:bCs/>
                      <w:color w:val="FF0000"/>
                      <w:kern w:val="0"/>
                      <w:sz w:val="21"/>
                      <w:szCs w:val="21"/>
                      <w:vertAlign w:val="baseline"/>
                      <w:lang w:val="en-US" w:eastAsia="zh-CN"/>
                    </w:rPr>
                    <w:t>限值</w:t>
                  </w:r>
                </w:p>
              </w:tc>
              <w:tc>
                <w:tcPr>
                  <w:tcW w:w="499" w:type="pct"/>
                  <w:vMerge w:val="restart"/>
                  <w:tcBorders>
                    <w:tl2br w:val="nil"/>
                    <w:tr2bl w:val="nil"/>
                  </w:tcBorders>
                  <w:vAlign w:val="center"/>
                </w:tcPr>
                <w:p w14:paraId="223384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kern w:val="0"/>
                      <w:sz w:val="21"/>
                      <w:szCs w:val="21"/>
                      <w:vertAlign w:val="baseline"/>
                      <w:lang w:val="en-US" w:eastAsia="zh-CN"/>
                    </w:rPr>
                  </w:pPr>
                  <w:r>
                    <w:rPr>
                      <w:rFonts w:hint="default" w:ascii="Times New Roman" w:hAnsi="Times New Roman" w:cs="Times New Roman"/>
                      <w:b w:val="0"/>
                      <w:bCs/>
                      <w:color w:val="FF0000"/>
                      <w:kern w:val="0"/>
                      <w:sz w:val="21"/>
                      <w:szCs w:val="21"/>
                      <w:vertAlign w:val="baseline"/>
                      <w:lang w:val="en-US" w:eastAsia="zh-CN"/>
                    </w:rPr>
                    <w:t>≥1100</w:t>
                  </w:r>
                </w:p>
              </w:tc>
              <w:tc>
                <w:tcPr>
                  <w:tcW w:w="592" w:type="pct"/>
                  <w:vMerge w:val="restart"/>
                  <w:tcBorders>
                    <w:tl2br w:val="nil"/>
                    <w:tr2bl w:val="nil"/>
                  </w:tcBorders>
                  <w:vAlign w:val="center"/>
                </w:tcPr>
                <w:p w14:paraId="0332A6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sz w:val="21"/>
                      <w:szCs w:val="21"/>
                      <w:vertAlign w:val="baseline"/>
                      <w:lang w:val="en-US"/>
                    </w:rPr>
                  </w:pPr>
                  <w:r>
                    <w:rPr>
                      <w:rFonts w:hint="default" w:ascii="Times New Roman" w:hAnsi="Times New Roman" w:cs="Times New Roman"/>
                      <w:b w:val="0"/>
                      <w:bCs/>
                      <w:color w:val="FF0000"/>
                      <w:kern w:val="0"/>
                      <w:sz w:val="21"/>
                      <w:szCs w:val="21"/>
                      <w:vertAlign w:val="baseline"/>
                      <w:lang w:val="en-US" w:eastAsia="zh-CN"/>
                    </w:rPr>
                    <w:t>≥</w:t>
                  </w:r>
                  <w:r>
                    <w:rPr>
                      <w:rFonts w:hint="eastAsia" w:cs="Times New Roman"/>
                      <w:b w:val="0"/>
                      <w:bCs/>
                      <w:color w:val="FF0000"/>
                      <w:kern w:val="0"/>
                      <w:sz w:val="21"/>
                      <w:szCs w:val="21"/>
                      <w:vertAlign w:val="baseline"/>
                      <w:lang w:val="en-US" w:eastAsia="zh-CN"/>
                    </w:rPr>
                    <w:t>2.0</w:t>
                  </w:r>
                </w:p>
              </w:tc>
              <w:tc>
                <w:tcPr>
                  <w:tcW w:w="838" w:type="pct"/>
                  <w:vMerge w:val="restart"/>
                  <w:tcBorders>
                    <w:tl2br w:val="nil"/>
                    <w:tr2bl w:val="nil"/>
                  </w:tcBorders>
                  <w:vAlign w:val="center"/>
                </w:tcPr>
                <w:p w14:paraId="3E7A6D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kern w:val="0"/>
                      <w:sz w:val="21"/>
                      <w:szCs w:val="21"/>
                      <w:vertAlign w:val="baseline"/>
                      <w:lang w:val="en-US" w:eastAsia="zh-CN"/>
                    </w:rPr>
                  </w:pPr>
                  <w:r>
                    <w:rPr>
                      <w:rFonts w:hint="eastAsia" w:ascii="Times New Roman" w:hAnsi="Times New Roman" w:cs="Times New Roman"/>
                      <w:b w:val="0"/>
                      <w:bCs/>
                      <w:color w:val="FF0000"/>
                      <w:kern w:val="0"/>
                      <w:sz w:val="21"/>
                      <w:szCs w:val="21"/>
                      <w:vertAlign w:val="baseline"/>
                      <w:lang w:val="en-US" w:eastAsia="zh-CN"/>
                    </w:rPr>
                    <w:t>6-15</w:t>
                  </w:r>
                </w:p>
              </w:tc>
              <w:tc>
                <w:tcPr>
                  <w:tcW w:w="513" w:type="pct"/>
                  <w:tcBorders>
                    <w:tl2br w:val="nil"/>
                    <w:tr2bl w:val="nil"/>
                  </w:tcBorders>
                  <w:vAlign w:val="center"/>
                </w:tcPr>
                <w:p w14:paraId="26FDC7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kern w:val="0"/>
                      <w:sz w:val="21"/>
                      <w:szCs w:val="21"/>
                      <w:vertAlign w:val="baseline"/>
                      <w:lang w:val="en-US" w:eastAsia="zh-CN"/>
                    </w:rPr>
                  </w:pPr>
                  <w:r>
                    <w:rPr>
                      <w:rFonts w:hint="default" w:ascii="Times New Roman" w:hAnsi="Times New Roman" w:cs="Times New Roman"/>
                      <w:b w:val="0"/>
                      <w:bCs/>
                      <w:color w:val="FF0000"/>
                      <w:kern w:val="0"/>
                      <w:sz w:val="21"/>
                      <w:szCs w:val="21"/>
                      <w:vertAlign w:val="baseline"/>
                      <w:lang w:val="en-US" w:eastAsia="zh-CN"/>
                    </w:rPr>
                    <w:t>1小时均值</w:t>
                  </w:r>
                </w:p>
              </w:tc>
              <w:tc>
                <w:tcPr>
                  <w:tcW w:w="691" w:type="pct"/>
                  <w:tcBorders>
                    <w:tl2br w:val="nil"/>
                    <w:tr2bl w:val="nil"/>
                  </w:tcBorders>
                  <w:vAlign w:val="center"/>
                </w:tcPr>
                <w:p w14:paraId="629591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kern w:val="0"/>
                      <w:sz w:val="21"/>
                      <w:szCs w:val="21"/>
                      <w:vertAlign w:val="baseline"/>
                      <w:lang w:val="en-US" w:eastAsia="zh-CN"/>
                    </w:rPr>
                  </w:pPr>
                  <w:r>
                    <w:rPr>
                      <w:rFonts w:hint="eastAsia" w:ascii="Times New Roman" w:hAnsi="Times New Roman" w:cs="Times New Roman"/>
                      <w:b w:val="0"/>
                      <w:bCs/>
                      <w:color w:val="FF0000"/>
                      <w:kern w:val="0"/>
                      <w:sz w:val="21"/>
                      <w:szCs w:val="21"/>
                      <w:vertAlign w:val="baseline"/>
                      <w:lang w:val="en-US" w:eastAsia="zh-CN"/>
                    </w:rPr>
                    <w:t>24小时均值或日均值</w:t>
                  </w:r>
                </w:p>
              </w:tc>
              <w:tc>
                <w:tcPr>
                  <w:tcW w:w="476" w:type="pct"/>
                  <w:vMerge w:val="restart"/>
                  <w:tcBorders>
                    <w:tl2br w:val="nil"/>
                    <w:tr2bl w:val="nil"/>
                  </w:tcBorders>
                  <w:vAlign w:val="center"/>
                </w:tcPr>
                <w:p w14:paraId="04318C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sz w:val="21"/>
                      <w:szCs w:val="21"/>
                      <w:vertAlign w:val="baseline"/>
                      <w:lang w:val="en-US"/>
                    </w:rPr>
                  </w:pPr>
                  <w:r>
                    <w:rPr>
                      <w:rFonts w:hint="default" w:ascii="Times New Roman" w:hAnsi="Times New Roman" w:cs="Times New Roman"/>
                      <w:b w:val="0"/>
                      <w:bCs/>
                      <w:color w:val="FF0000"/>
                      <w:kern w:val="0"/>
                      <w:sz w:val="21"/>
                      <w:szCs w:val="21"/>
                      <w:vertAlign w:val="baseline"/>
                      <w:lang w:val="en-US" w:eastAsia="zh-CN"/>
                    </w:rPr>
                    <w:t>≥</w:t>
                  </w:r>
                  <w:r>
                    <w:rPr>
                      <w:rFonts w:hint="eastAsia" w:cs="Times New Roman"/>
                      <w:b w:val="0"/>
                      <w:bCs/>
                      <w:color w:val="FF0000"/>
                      <w:kern w:val="0"/>
                      <w:sz w:val="21"/>
                      <w:szCs w:val="21"/>
                      <w:vertAlign w:val="baseline"/>
                      <w:lang w:val="en-US" w:eastAsia="zh-CN"/>
                    </w:rPr>
                    <w:t>99.9</w:t>
                  </w:r>
                </w:p>
              </w:tc>
              <w:tc>
                <w:tcPr>
                  <w:tcW w:w="476" w:type="pct"/>
                  <w:vMerge w:val="restart"/>
                  <w:tcBorders>
                    <w:tl2br w:val="nil"/>
                    <w:tr2bl w:val="nil"/>
                  </w:tcBorders>
                  <w:vAlign w:val="center"/>
                </w:tcPr>
                <w:p w14:paraId="37CDC1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sz w:val="21"/>
                      <w:szCs w:val="21"/>
                      <w:vertAlign w:val="baseline"/>
                      <w:lang w:val="en-US"/>
                    </w:rPr>
                  </w:pPr>
                  <w:r>
                    <w:rPr>
                      <w:rFonts w:hint="default" w:ascii="Times New Roman" w:hAnsi="Times New Roman" w:cs="Times New Roman"/>
                      <w:b w:val="0"/>
                      <w:bCs/>
                      <w:color w:val="FF0000"/>
                      <w:kern w:val="0"/>
                      <w:sz w:val="21"/>
                      <w:szCs w:val="21"/>
                      <w:vertAlign w:val="baseline"/>
                      <w:lang w:val="en-US" w:eastAsia="zh-CN"/>
                    </w:rPr>
                    <w:t>≥</w:t>
                  </w:r>
                  <w:r>
                    <w:rPr>
                      <w:rFonts w:hint="eastAsia" w:cs="Times New Roman"/>
                      <w:b w:val="0"/>
                      <w:bCs/>
                      <w:color w:val="FF0000"/>
                      <w:kern w:val="0"/>
                      <w:sz w:val="21"/>
                      <w:szCs w:val="21"/>
                      <w:vertAlign w:val="baseline"/>
                      <w:lang w:val="en-US" w:eastAsia="zh-CN"/>
                    </w:rPr>
                    <w:t>99.99</w:t>
                  </w:r>
                </w:p>
              </w:tc>
              <w:tc>
                <w:tcPr>
                  <w:tcW w:w="476" w:type="pct"/>
                  <w:vMerge w:val="restart"/>
                  <w:tcBorders>
                    <w:tl2br w:val="nil"/>
                    <w:tr2bl w:val="nil"/>
                  </w:tcBorders>
                  <w:vAlign w:val="center"/>
                </w:tcPr>
                <w:p w14:paraId="72A8E3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kern w:val="0"/>
                      <w:sz w:val="21"/>
                      <w:szCs w:val="21"/>
                      <w:vertAlign w:val="baseline"/>
                      <w:lang w:val="en-US" w:eastAsia="zh-CN"/>
                    </w:rPr>
                  </w:pPr>
                  <w:r>
                    <w:rPr>
                      <w:rFonts w:hint="eastAsia" w:ascii="Times New Roman" w:hAnsi="Times New Roman" w:cs="Times New Roman"/>
                      <w:b w:val="0"/>
                      <w:bCs/>
                      <w:color w:val="FF0000"/>
                      <w:kern w:val="0"/>
                      <w:sz w:val="21"/>
                      <w:szCs w:val="21"/>
                      <w:vertAlign w:val="baseline"/>
                      <w:lang w:val="en-US" w:eastAsia="zh-CN"/>
                    </w:rPr>
                    <w:t>＜5</w:t>
                  </w:r>
                </w:p>
              </w:tc>
            </w:tr>
            <w:tr w14:paraId="01A8C70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436" w:type="pct"/>
                  <w:vMerge w:val="continue"/>
                  <w:tcBorders>
                    <w:tl2br w:val="nil"/>
                    <w:tr2bl w:val="nil"/>
                  </w:tcBorders>
                  <w:vAlign w:val="center"/>
                </w:tcPr>
                <w:p w14:paraId="5C0711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sz w:val="21"/>
                      <w:szCs w:val="21"/>
                      <w:vertAlign w:val="baseline"/>
                    </w:rPr>
                  </w:pPr>
                </w:p>
              </w:tc>
              <w:tc>
                <w:tcPr>
                  <w:tcW w:w="499" w:type="pct"/>
                  <w:vMerge w:val="continue"/>
                  <w:tcBorders>
                    <w:tl2br w:val="nil"/>
                    <w:tr2bl w:val="nil"/>
                  </w:tcBorders>
                  <w:vAlign w:val="center"/>
                </w:tcPr>
                <w:p w14:paraId="48355C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sz w:val="21"/>
                      <w:szCs w:val="21"/>
                      <w:vertAlign w:val="baseline"/>
                    </w:rPr>
                  </w:pPr>
                </w:p>
              </w:tc>
              <w:tc>
                <w:tcPr>
                  <w:tcW w:w="592" w:type="pct"/>
                  <w:vMerge w:val="continue"/>
                  <w:tcBorders>
                    <w:tl2br w:val="nil"/>
                    <w:tr2bl w:val="nil"/>
                  </w:tcBorders>
                  <w:vAlign w:val="center"/>
                </w:tcPr>
                <w:p w14:paraId="111489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sz w:val="21"/>
                      <w:szCs w:val="21"/>
                      <w:vertAlign w:val="baseline"/>
                    </w:rPr>
                  </w:pPr>
                </w:p>
              </w:tc>
              <w:tc>
                <w:tcPr>
                  <w:tcW w:w="838" w:type="pct"/>
                  <w:vMerge w:val="continue"/>
                  <w:tcBorders>
                    <w:tl2br w:val="nil"/>
                    <w:tr2bl w:val="nil"/>
                  </w:tcBorders>
                  <w:vAlign w:val="center"/>
                </w:tcPr>
                <w:p w14:paraId="7917E7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sz w:val="21"/>
                      <w:szCs w:val="21"/>
                      <w:vertAlign w:val="baseline"/>
                    </w:rPr>
                  </w:pPr>
                </w:p>
              </w:tc>
              <w:tc>
                <w:tcPr>
                  <w:tcW w:w="513" w:type="pct"/>
                  <w:tcBorders>
                    <w:tl2br w:val="nil"/>
                    <w:tr2bl w:val="nil"/>
                  </w:tcBorders>
                  <w:vAlign w:val="center"/>
                </w:tcPr>
                <w:p w14:paraId="6E1703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kern w:val="0"/>
                      <w:sz w:val="21"/>
                      <w:szCs w:val="21"/>
                      <w:vertAlign w:val="baseline"/>
                      <w:lang w:val="en-US" w:eastAsia="zh-CN"/>
                    </w:rPr>
                  </w:pPr>
                  <w:r>
                    <w:rPr>
                      <w:rFonts w:hint="default" w:ascii="Times New Roman" w:hAnsi="Times New Roman" w:cs="Times New Roman"/>
                      <w:b w:val="0"/>
                      <w:bCs/>
                      <w:color w:val="FF0000"/>
                      <w:kern w:val="0"/>
                      <w:sz w:val="21"/>
                      <w:szCs w:val="21"/>
                      <w:vertAlign w:val="baseline"/>
                      <w:lang w:val="en-US" w:eastAsia="zh-CN"/>
                    </w:rPr>
                    <w:t>≤100</w:t>
                  </w:r>
                </w:p>
              </w:tc>
              <w:tc>
                <w:tcPr>
                  <w:tcW w:w="691" w:type="pct"/>
                  <w:tcBorders>
                    <w:tl2br w:val="nil"/>
                    <w:tr2bl w:val="nil"/>
                  </w:tcBorders>
                  <w:vAlign w:val="center"/>
                </w:tcPr>
                <w:p w14:paraId="6A660B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sz w:val="21"/>
                      <w:szCs w:val="21"/>
                      <w:vertAlign w:val="baseline"/>
                      <w:lang w:val="en-US"/>
                    </w:rPr>
                  </w:pPr>
                  <w:r>
                    <w:rPr>
                      <w:rFonts w:hint="default" w:ascii="Times New Roman" w:hAnsi="Times New Roman" w:cs="Times New Roman"/>
                      <w:b w:val="0"/>
                      <w:bCs/>
                      <w:color w:val="FF0000"/>
                      <w:kern w:val="0"/>
                      <w:sz w:val="21"/>
                      <w:szCs w:val="21"/>
                      <w:vertAlign w:val="baseline"/>
                      <w:lang w:val="en-US" w:eastAsia="zh-CN"/>
                    </w:rPr>
                    <w:t>≤</w:t>
                  </w:r>
                  <w:r>
                    <w:rPr>
                      <w:rFonts w:hint="eastAsia" w:cs="Times New Roman"/>
                      <w:b w:val="0"/>
                      <w:bCs/>
                      <w:color w:val="FF0000"/>
                      <w:kern w:val="0"/>
                      <w:sz w:val="21"/>
                      <w:szCs w:val="21"/>
                      <w:vertAlign w:val="baseline"/>
                      <w:lang w:val="en-US" w:eastAsia="zh-CN"/>
                    </w:rPr>
                    <w:t>80</w:t>
                  </w:r>
                </w:p>
              </w:tc>
              <w:tc>
                <w:tcPr>
                  <w:tcW w:w="476" w:type="pct"/>
                  <w:vMerge w:val="continue"/>
                  <w:tcBorders>
                    <w:tl2br w:val="nil"/>
                    <w:tr2bl w:val="nil"/>
                  </w:tcBorders>
                  <w:vAlign w:val="center"/>
                </w:tcPr>
                <w:p w14:paraId="2ECEC8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sz w:val="21"/>
                      <w:szCs w:val="21"/>
                      <w:vertAlign w:val="baseline"/>
                    </w:rPr>
                  </w:pPr>
                </w:p>
              </w:tc>
              <w:tc>
                <w:tcPr>
                  <w:tcW w:w="476" w:type="pct"/>
                  <w:vMerge w:val="continue"/>
                  <w:tcBorders>
                    <w:tl2br w:val="nil"/>
                    <w:tr2bl w:val="nil"/>
                  </w:tcBorders>
                  <w:vAlign w:val="center"/>
                </w:tcPr>
                <w:p w14:paraId="05EDE1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sz w:val="21"/>
                      <w:szCs w:val="21"/>
                      <w:vertAlign w:val="baseline"/>
                    </w:rPr>
                  </w:pPr>
                </w:p>
              </w:tc>
              <w:tc>
                <w:tcPr>
                  <w:tcW w:w="476" w:type="pct"/>
                  <w:vMerge w:val="continue"/>
                  <w:tcBorders>
                    <w:tl2br w:val="nil"/>
                    <w:tr2bl w:val="nil"/>
                  </w:tcBorders>
                  <w:vAlign w:val="center"/>
                </w:tcPr>
                <w:p w14:paraId="49477B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sz w:val="21"/>
                      <w:szCs w:val="21"/>
                      <w:vertAlign w:val="baseline"/>
                    </w:rPr>
                  </w:pPr>
                </w:p>
              </w:tc>
            </w:tr>
          </w:tbl>
          <w:p w14:paraId="09CFB86B">
            <w:pPr>
              <w:adjustRightInd w:val="0"/>
              <w:snapToGrid w:val="0"/>
              <w:spacing w:line="360" w:lineRule="auto"/>
              <w:ind w:firstLine="422" w:firstLineChars="200"/>
              <w:rPr>
                <w:rFonts w:hint="eastAsia"/>
                <w:b/>
                <w:bCs w:val="0"/>
                <w:color w:val="FF0000"/>
                <w:kern w:val="0"/>
              </w:rPr>
            </w:pPr>
            <w:r>
              <w:rPr>
                <w:rFonts w:hint="eastAsia"/>
                <w:b/>
                <w:bCs w:val="0"/>
                <w:color w:val="FF0000"/>
                <w:kern w:val="0"/>
                <w:lang w:val="en-US" w:eastAsia="zh-CN"/>
              </w:rPr>
              <w:t>⑦有机废气</w:t>
            </w:r>
          </w:p>
          <w:p w14:paraId="3E58BF5C">
            <w:pPr>
              <w:adjustRightInd w:val="0"/>
              <w:snapToGrid w:val="0"/>
              <w:spacing w:line="360" w:lineRule="auto"/>
              <w:ind w:firstLine="420" w:firstLineChars="200"/>
              <w:rPr>
                <w:rFonts w:hint="eastAsia"/>
                <w:b w:val="0"/>
                <w:bCs/>
                <w:color w:val="FF0000"/>
                <w:kern w:val="0"/>
              </w:rPr>
            </w:pPr>
            <w:r>
              <w:rPr>
                <w:rFonts w:hint="eastAsia"/>
                <w:b w:val="0"/>
                <w:bCs/>
                <w:color w:val="FF0000"/>
                <w:kern w:val="0"/>
              </w:rPr>
              <w:t>有机化合物是污染大气的重要污染物之一，主要来源于石油、化工、有机溶剂行业的生产过程以及有机溶剂的使用过程，对人体器官有刺激作用。根据有机废气的性质、特点以及其中有机物回收的可能性等条件，可采用不同的净化和回收方法。目前，主要的净化方法见下表：</w:t>
            </w:r>
          </w:p>
          <w:p w14:paraId="7FE661AC">
            <w:pPr>
              <w:adjustRightInd w:val="0"/>
              <w:snapToGrid w:val="0"/>
              <w:spacing w:line="240" w:lineRule="auto"/>
              <w:jc w:val="center"/>
              <w:rPr>
                <w:rFonts w:hint="default" w:eastAsia="宋体"/>
                <w:b/>
                <w:color w:val="FF0000"/>
                <w:kern w:val="0"/>
                <w:lang w:val="en-US" w:eastAsia="zh-CN"/>
              </w:rPr>
            </w:pPr>
            <w:r>
              <w:rPr>
                <w:rFonts w:hint="eastAsia"/>
                <w:b/>
                <w:color w:val="FF0000"/>
                <w:kern w:val="0"/>
                <w:lang w:val="en-US" w:eastAsia="zh-CN"/>
              </w:rPr>
              <w:t>有机化合物主要的净化方法</w:t>
            </w:r>
          </w:p>
          <w:tbl>
            <w:tblPr>
              <w:tblStyle w:val="60"/>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504"/>
              <w:gridCol w:w="2712"/>
              <w:gridCol w:w="2127"/>
              <w:gridCol w:w="3248"/>
            </w:tblGrid>
            <w:tr w14:paraId="450F2A1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84" w:type="pct"/>
                  <w:tcBorders>
                    <w:tl2br w:val="nil"/>
                    <w:tr2bl w:val="nil"/>
                  </w:tcBorders>
                  <w:vAlign w:val="center"/>
                </w:tcPr>
                <w:p w14:paraId="2CBE1C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FF0000"/>
                      <w:kern w:val="0"/>
                      <w:vertAlign w:val="baseline"/>
                      <w:lang w:val="en-US" w:eastAsia="zh-CN"/>
                    </w:rPr>
                  </w:pPr>
                  <w:r>
                    <w:rPr>
                      <w:rFonts w:hint="default" w:ascii="Times New Roman" w:hAnsi="Times New Roman" w:cs="Times New Roman"/>
                      <w:b/>
                      <w:color w:val="FF0000"/>
                      <w:kern w:val="0"/>
                      <w:vertAlign w:val="baseline"/>
                      <w:lang w:val="en-US" w:eastAsia="zh-CN"/>
                    </w:rPr>
                    <w:t>净化方法</w:t>
                  </w:r>
                </w:p>
              </w:tc>
              <w:tc>
                <w:tcPr>
                  <w:tcW w:w="1413" w:type="pct"/>
                  <w:tcBorders>
                    <w:tl2br w:val="nil"/>
                    <w:tr2bl w:val="nil"/>
                  </w:tcBorders>
                  <w:vAlign w:val="center"/>
                </w:tcPr>
                <w:p w14:paraId="15FEB7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FF0000"/>
                      <w:kern w:val="0"/>
                      <w:vertAlign w:val="baseline"/>
                      <w:lang w:val="en-US" w:eastAsia="zh-CN"/>
                    </w:rPr>
                  </w:pPr>
                  <w:r>
                    <w:rPr>
                      <w:rFonts w:hint="default" w:ascii="Times New Roman" w:hAnsi="Times New Roman" w:cs="Times New Roman"/>
                      <w:b/>
                      <w:color w:val="FF0000"/>
                      <w:kern w:val="0"/>
                      <w:vertAlign w:val="baseline"/>
                      <w:lang w:val="en-US" w:eastAsia="zh-CN"/>
                    </w:rPr>
                    <w:t>方法要点</w:t>
                  </w:r>
                </w:p>
              </w:tc>
              <w:tc>
                <w:tcPr>
                  <w:tcW w:w="1108" w:type="pct"/>
                  <w:tcBorders>
                    <w:tl2br w:val="nil"/>
                    <w:tr2bl w:val="nil"/>
                  </w:tcBorders>
                  <w:vAlign w:val="center"/>
                </w:tcPr>
                <w:p w14:paraId="4EB906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FF0000"/>
                      <w:kern w:val="0"/>
                      <w:vertAlign w:val="baseline"/>
                      <w:lang w:val="en-US" w:eastAsia="zh-CN"/>
                    </w:rPr>
                  </w:pPr>
                  <w:r>
                    <w:rPr>
                      <w:rFonts w:hint="default" w:ascii="Times New Roman" w:hAnsi="Times New Roman" w:cs="Times New Roman"/>
                      <w:b/>
                      <w:color w:val="FF0000"/>
                      <w:kern w:val="0"/>
                      <w:vertAlign w:val="baseline"/>
                      <w:lang w:val="en-US" w:eastAsia="zh-CN"/>
                    </w:rPr>
                    <w:t>适用范围</w:t>
                  </w:r>
                </w:p>
              </w:tc>
              <w:tc>
                <w:tcPr>
                  <w:tcW w:w="1692" w:type="pct"/>
                  <w:tcBorders>
                    <w:tl2br w:val="nil"/>
                    <w:tr2bl w:val="nil"/>
                  </w:tcBorders>
                  <w:vAlign w:val="center"/>
                </w:tcPr>
                <w:p w14:paraId="379AED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FF0000"/>
                      <w:kern w:val="0"/>
                      <w:vertAlign w:val="baseline"/>
                      <w:lang w:val="en-US" w:eastAsia="zh-CN"/>
                    </w:rPr>
                  </w:pPr>
                  <w:r>
                    <w:rPr>
                      <w:rFonts w:hint="default" w:ascii="Times New Roman" w:hAnsi="Times New Roman" w:cs="Times New Roman"/>
                      <w:b/>
                      <w:color w:val="FF0000"/>
                      <w:kern w:val="0"/>
                      <w:vertAlign w:val="baseline"/>
                      <w:lang w:val="en-US" w:eastAsia="zh-CN"/>
                    </w:rPr>
                    <w:t>优缺点</w:t>
                  </w:r>
                </w:p>
              </w:tc>
            </w:tr>
            <w:tr w14:paraId="19F4E6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84" w:type="pct"/>
                  <w:tcBorders>
                    <w:tl2br w:val="nil"/>
                    <w:tr2bl w:val="nil"/>
                  </w:tcBorders>
                  <w:vAlign w:val="center"/>
                </w:tcPr>
                <w:p w14:paraId="1405C1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kern w:val="0"/>
                      <w:vertAlign w:val="baseline"/>
                      <w:lang w:val="en-US" w:eastAsia="zh-CN"/>
                    </w:rPr>
                  </w:pPr>
                  <w:r>
                    <w:rPr>
                      <w:rFonts w:hint="default" w:ascii="Times New Roman" w:hAnsi="Times New Roman" w:cs="Times New Roman"/>
                      <w:b w:val="0"/>
                      <w:bCs/>
                      <w:color w:val="FF0000"/>
                      <w:kern w:val="0"/>
                      <w:vertAlign w:val="baseline"/>
                      <w:lang w:val="en-US" w:eastAsia="zh-CN"/>
                    </w:rPr>
                    <w:t>燃烧法</w:t>
                  </w:r>
                </w:p>
              </w:tc>
              <w:tc>
                <w:tcPr>
                  <w:tcW w:w="1413" w:type="pct"/>
                  <w:tcBorders>
                    <w:tl2br w:val="nil"/>
                    <w:tr2bl w:val="nil"/>
                  </w:tcBorders>
                  <w:vAlign w:val="center"/>
                </w:tcPr>
                <w:p w14:paraId="067A5D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vertAlign w:val="baseline"/>
                    </w:rPr>
                  </w:pPr>
                  <w:r>
                    <w:rPr>
                      <w:rFonts w:hint="default" w:ascii="Times New Roman" w:hAnsi="Times New Roman" w:cs="Times New Roman"/>
                      <w:b w:val="0"/>
                      <w:bCs/>
                      <w:color w:val="FF0000"/>
                      <w:kern w:val="0"/>
                      <w:vertAlign w:val="baseline"/>
                    </w:rPr>
                    <w:t>将废气中的有机物作为燃料烧掉或将其在高温下进行氧化分解，温度范围为600～1100℃</w:t>
                  </w:r>
                </w:p>
              </w:tc>
              <w:tc>
                <w:tcPr>
                  <w:tcW w:w="1108" w:type="pct"/>
                  <w:tcBorders>
                    <w:tl2br w:val="nil"/>
                    <w:tr2bl w:val="nil"/>
                  </w:tcBorders>
                  <w:vAlign w:val="center"/>
                </w:tcPr>
                <w:p w14:paraId="3E6491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vertAlign w:val="baseline"/>
                    </w:rPr>
                  </w:pPr>
                  <w:r>
                    <w:rPr>
                      <w:rFonts w:hint="default" w:ascii="Times New Roman" w:hAnsi="Times New Roman" w:cs="Times New Roman"/>
                      <w:b w:val="0"/>
                      <w:bCs/>
                      <w:color w:val="FF0000"/>
                      <w:kern w:val="0"/>
                      <w:vertAlign w:val="baseline"/>
                    </w:rPr>
                    <w:t>适用于中、高浓度范围废气的净化</w:t>
                  </w:r>
                </w:p>
              </w:tc>
              <w:tc>
                <w:tcPr>
                  <w:tcW w:w="1692" w:type="pct"/>
                  <w:tcBorders>
                    <w:tl2br w:val="nil"/>
                    <w:tr2bl w:val="nil"/>
                  </w:tcBorders>
                  <w:vAlign w:val="center"/>
                </w:tcPr>
                <w:p w14:paraId="34023E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vertAlign w:val="baseline"/>
                    </w:rPr>
                  </w:pPr>
                  <w:r>
                    <w:rPr>
                      <w:rFonts w:hint="default" w:ascii="Times New Roman" w:hAnsi="Times New Roman" w:cs="Times New Roman"/>
                      <w:b w:val="0"/>
                      <w:bCs/>
                      <w:color w:val="FF0000"/>
                      <w:kern w:val="0"/>
                      <w:vertAlign w:val="baseline"/>
                    </w:rPr>
                    <w:t>设备简单，操作简便，投资少，净化彻底，效率高，能回收利用热量，但不能回收有机物质。</w:t>
                  </w:r>
                </w:p>
              </w:tc>
            </w:tr>
            <w:tr w14:paraId="370AC6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84" w:type="pct"/>
                  <w:tcBorders>
                    <w:tl2br w:val="nil"/>
                    <w:tr2bl w:val="nil"/>
                  </w:tcBorders>
                  <w:vAlign w:val="center"/>
                </w:tcPr>
                <w:p w14:paraId="73A5D6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kern w:val="0"/>
                      <w:vertAlign w:val="baseline"/>
                      <w:lang w:val="en-US" w:eastAsia="zh-CN"/>
                    </w:rPr>
                  </w:pPr>
                  <w:r>
                    <w:rPr>
                      <w:rFonts w:hint="default" w:ascii="Times New Roman" w:hAnsi="Times New Roman" w:cs="Times New Roman"/>
                      <w:b w:val="0"/>
                      <w:bCs/>
                      <w:color w:val="FF0000"/>
                      <w:kern w:val="0"/>
                      <w:vertAlign w:val="baseline"/>
                      <w:lang w:val="en-US" w:eastAsia="zh-CN"/>
                    </w:rPr>
                    <w:t>催化燃烧法</w:t>
                  </w:r>
                </w:p>
              </w:tc>
              <w:tc>
                <w:tcPr>
                  <w:tcW w:w="1413" w:type="pct"/>
                  <w:tcBorders>
                    <w:tl2br w:val="nil"/>
                    <w:tr2bl w:val="nil"/>
                  </w:tcBorders>
                  <w:vAlign w:val="center"/>
                </w:tcPr>
                <w:p w14:paraId="38D11F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vertAlign w:val="baseline"/>
                    </w:rPr>
                  </w:pPr>
                  <w:r>
                    <w:rPr>
                      <w:rFonts w:hint="default" w:ascii="Times New Roman" w:hAnsi="Times New Roman" w:cs="Times New Roman"/>
                      <w:b w:val="0"/>
                      <w:bCs/>
                      <w:color w:val="FF0000"/>
                      <w:kern w:val="0"/>
                      <w:vertAlign w:val="baseline"/>
                    </w:rPr>
                    <w:t>在氧化催化剂作用下，将有机物氧化成CO</w:t>
                  </w:r>
                  <w:r>
                    <w:rPr>
                      <w:rFonts w:hint="default" w:ascii="Times New Roman" w:hAnsi="Times New Roman" w:cs="Times New Roman"/>
                      <w:b w:val="0"/>
                      <w:bCs/>
                      <w:color w:val="FF0000"/>
                      <w:kern w:val="0"/>
                      <w:vertAlign w:val="subscript"/>
                    </w:rPr>
                    <w:t>2</w:t>
                  </w:r>
                  <w:r>
                    <w:rPr>
                      <w:rFonts w:hint="default" w:ascii="Times New Roman" w:hAnsi="Times New Roman" w:cs="Times New Roman"/>
                      <w:b w:val="0"/>
                      <w:bCs/>
                      <w:color w:val="FF0000"/>
                      <w:kern w:val="0"/>
                      <w:vertAlign w:val="baseline"/>
                    </w:rPr>
                    <w:t>和H</w:t>
                  </w:r>
                  <w:r>
                    <w:rPr>
                      <w:rFonts w:hint="default" w:ascii="Times New Roman" w:hAnsi="Times New Roman" w:cs="Times New Roman"/>
                      <w:b w:val="0"/>
                      <w:bCs/>
                      <w:color w:val="FF0000"/>
                      <w:kern w:val="0"/>
                      <w:vertAlign w:val="subscript"/>
                    </w:rPr>
                    <w:t>2</w:t>
                  </w:r>
                  <w:r>
                    <w:rPr>
                      <w:rFonts w:hint="default" w:ascii="Times New Roman" w:hAnsi="Times New Roman" w:cs="Times New Roman"/>
                      <w:b w:val="0"/>
                      <w:bCs/>
                      <w:color w:val="FF0000"/>
                      <w:kern w:val="0"/>
                      <w:vertAlign w:val="baseline"/>
                    </w:rPr>
                    <w:t>O，温度范围为200～400℃</w:t>
                  </w:r>
                </w:p>
              </w:tc>
              <w:tc>
                <w:tcPr>
                  <w:tcW w:w="1108" w:type="pct"/>
                  <w:tcBorders>
                    <w:tl2br w:val="nil"/>
                    <w:tr2bl w:val="nil"/>
                  </w:tcBorders>
                  <w:vAlign w:val="center"/>
                </w:tcPr>
                <w:p w14:paraId="22043A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vertAlign w:val="baseline"/>
                    </w:rPr>
                  </w:pPr>
                  <w:r>
                    <w:rPr>
                      <w:rFonts w:hint="default" w:ascii="Times New Roman" w:hAnsi="Times New Roman" w:cs="Times New Roman"/>
                      <w:b w:val="0"/>
                      <w:bCs/>
                      <w:color w:val="FF0000"/>
                      <w:kern w:val="0"/>
                      <w:vertAlign w:val="baseline"/>
                    </w:rPr>
                    <w:t>适用于各种浓度废气的净化，适用于连续排气的场合</w:t>
                  </w:r>
                </w:p>
              </w:tc>
              <w:tc>
                <w:tcPr>
                  <w:tcW w:w="1692" w:type="pct"/>
                  <w:tcBorders>
                    <w:tl2br w:val="nil"/>
                    <w:tr2bl w:val="nil"/>
                  </w:tcBorders>
                  <w:vAlign w:val="center"/>
                </w:tcPr>
                <w:p w14:paraId="39FF69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vertAlign w:val="baseline"/>
                    </w:rPr>
                  </w:pPr>
                  <w:r>
                    <w:rPr>
                      <w:rFonts w:hint="default" w:ascii="Times New Roman" w:hAnsi="Times New Roman" w:cs="Times New Roman"/>
                      <w:b w:val="0"/>
                      <w:bCs/>
                      <w:color w:val="FF0000"/>
                      <w:kern w:val="0"/>
                      <w:vertAlign w:val="baseline"/>
                    </w:rPr>
                    <w:t>净化装置和生产装置紧密结合在一起，既有很高的净化效率，又可充分利用能量、节约电力。气体流畅、阻力小，燃烧余热可利用。</w:t>
                  </w:r>
                </w:p>
              </w:tc>
            </w:tr>
            <w:tr w14:paraId="6FCEBF3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84" w:type="pct"/>
                  <w:tcBorders>
                    <w:tl2br w:val="nil"/>
                    <w:tr2bl w:val="nil"/>
                  </w:tcBorders>
                  <w:vAlign w:val="center"/>
                </w:tcPr>
                <w:p w14:paraId="7DF87D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kern w:val="0"/>
                      <w:vertAlign w:val="baseline"/>
                      <w:lang w:val="en-US" w:eastAsia="zh-CN"/>
                    </w:rPr>
                  </w:pPr>
                  <w:r>
                    <w:rPr>
                      <w:rFonts w:hint="default" w:ascii="Times New Roman" w:hAnsi="Times New Roman" w:cs="Times New Roman"/>
                      <w:b w:val="0"/>
                      <w:bCs/>
                      <w:color w:val="FF0000"/>
                      <w:kern w:val="0"/>
                      <w:vertAlign w:val="baseline"/>
                      <w:lang w:val="en-US" w:eastAsia="zh-CN"/>
                    </w:rPr>
                    <w:t>吸附法</w:t>
                  </w:r>
                </w:p>
              </w:tc>
              <w:tc>
                <w:tcPr>
                  <w:tcW w:w="1413" w:type="pct"/>
                  <w:tcBorders>
                    <w:tl2br w:val="nil"/>
                    <w:tr2bl w:val="nil"/>
                  </w:tcBorders>
                  <w:vAlign w:val="center"/>
                </w:tcPr>
                <w:p w14:paraId="6A3E0A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vertAlign w:val="baseline"/>
                    </w:rPr>
                  </w:pPr>
                  <w:r>
                    <w:rPr>
                      <w:rFonts w:hint="default" w:ascii="Times New Roman" w:hAnsi="Times New Roman" w:cs="Times New Roman"/>
                      <w:b w:val="0"/>
                      <w:bCs/>
                      <w:color w:val="FF0000"/>
                      <w:kern w:val="0"/>
                      <w:vertAlign w:val="baseline"/>
                    </w:rPr>
                    <w:t>用适当的吸收剂对废气中有机物组分进行物理吸附，温度范围为常温</w:t>
                  </w:r>
                </w:p>
              </w:tc>
              <w:tc>
                <w:tcPr>
                  <w:tcW w:w="1108" w:type="pct"/>
                  <w:tcBorders>
                    <w:tl2br w:val="nil"/>
                    <w:tr2bl w:val="nil"/>
                  </w:tcBorders>
                  <w:vAlign w:val="center"/>
                </w:tcPr>
                <w:p w14:paraId="2C19D7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vertAlign w:val="baseline"/>
                    </w:rPr>
                  </w:pPr>
                  <w:r>
                    <w:rPr>
                      <w:rFonts w:hint="default" w:ascii="Times New Roman" w:hAnsi="Times New Roman" w:cs="Times New Roman"/>
                      <w:b w:val="0"/>
                      <w:bCs/>
                      <w:color w:val="FF0000"/>
                      <w:kern w:val="0"/>
                      <w:vertAlign w:val="baseline"/>
                    </w:rPr>
                    <w:t>适用于低浓度废气的净化</w:t>
                  </w:r>
                </w:p>
              </w:tc>
              <w:tc>
                <w:tcPr>
                  <w:tcW w:w="1692" w:type="pct"/>
                  <w:tcBorders>
                    <w:tl2br w:val="nil"/>
                    <w:tr2bl w:val="nil"/>
                  </w:tcBorders>
                  <w:vAlign w:val="center"/>
                </w:tcPr>
                <w:p w14:paraId="393FC3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vertAlign w:val="baseline"/>
                    </w:rPr>
                  </w:pPr>
                  <w:r>
                    <w:rPr>
                      <w:rFonts w:hint="default" w:ascii="Times New Roman" w:hAnsi="Times New Roman" w:cs="Times New Roman"/>
                      <w:b w:val="0"/>
                      <w:bCs/>
                      <w:color w:val="FF0000"/>
                      <w:kern w:val="0"/>
                      <w:vertAlign w:val="baseline"/>
                    </w:rPr>
                    <w:t>装置简单，易安装，操作简单，可回收溶剂；但处理量较大，占地面积较大。</w:t>
                  </w:r>
                </w:p>
              </w:tc>
            </w:tr>
            <w:tr w14:paraId="64F7E7C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84" w:type="pct"/>
                  <w:tcBorders>
                    <w:tl2br w:val="nil"/>
                    <w:tr2bl w:val="nil"/>
                  </w:tcBorders>
                  <w:vAlign w:val="center"/>
                </w:tcPr>
                <w:p w14:paraId="5FD049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kern w:val="0"/>
                      <w:vertAlign w:val="baseline"/>
                      <w:lang w:val="en-US" w:eastAsia="zh-CN"/>
                    </w:rPr>
                  </w:pPr>
                  <w:r>
                    <w:rPr>
                      <w:rFonts w:hint="default" w:ascii="Times New Roman" w:hAnsi="Times New Roman" w:cs="Times New Roman"/>
                      <w:b w:val="0"/>
                      <w:bCs/>
                      <w:color w:val="FF0000"/>
                      <w:kern w:val="0"/>
                      <w:vertAlign w:val="baseline"/>
                      <w:lang w:val="en-US" w:eastAsia="zh-CN"/>
                    </w:rPr>
                    <w:t>吸收法</w:t>
                  </w:r>
                </w:p>
              </w:tc>
              <w:tc>
                <w:tcPr>
                  <w:tcW w:w="1413" w:type="pct"/>
                  <w:tcBorders>
                    <w:tl2br w:val="nil"/>
                    <w:tr2bl w:val="nil"/>
                  </w:tcBorders>
                  <w:vAlign w:val="center"/>
                </w:tcPr>
                <w:p w14:paraId="1A4C35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vertAlign w:val="baseline"/>
                    </w:rPr>
                  </w:pPr>
                  <w:r>
                    <w:rPr>
                      <w:rFonts w:hint="default" w:ascii="Times New Roman" w:hAnsi="Times New Roman" w:cs="Times New Roman"/>
                      <w:b w:val="0"/>
                      <w:bCs/>
                      <w:color w:val="FF0000"/>
                      <w:kern w:val="0"/>
                      <w:vertAlign w:val="baseline"/>
                    </w:rPr>
                    <w:t>用适当的吸收剂对废气中有机物组分进行物理吸收，温度范围为常温</w:t>
                  </w:r>
                </w:p>
              </w:tc>
              <w:tc>
                <w:tcPr>
                  <w:tcW w:w="1108" w:type="pct"/>
                  <w:tcBorders>
                    <w:tl2br w:val="nil"/>
                    <w:tr2bl w:val="nil"/>
                  </w:tcBorders>
                  <w:vAlign w:val="center"/>
                </w:tcPr>
                <w:p w14:paraId="32A2BA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vertAlign w:val="baseline"/>
                    </w:rPr>
                  </w:pPr>
                  <w:r>
                    <w:rPr>
                      <w:rFonts w:hint="default" w:ascii="Times New Roman" w:hAnsi="Times New Roman" w:cs="Times New Roman"/>
                      <w:b w:val="0"/>
                      <w:bCs/>
                      <w:color w:val="FF0000"/>
                      <w:kern w:val="0"/>
                      <w:vertAlign w:val="baseline"/>
                    </w:rPr>
                    <w:t>对废气浓度限制较小，适用于含有颗粒物废气的净化</w:t>
                  </w:r>
                </w:p>
              </w:tc>
              <w:tc>
                <w:tcPr>
                  <w:tcW w:w="1692" w:type="pct"/>
                  <w:tcBorders>
                    <w:tl2br w:val="nil"/>
                    <w:tr2bl w:val="nil"/>
                  </w:tcBorders>
                  <w:vAlign w:val="center"/>
                </w:tcPr>
                <w:p w14:paraId="42D28B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vertAlign w:val="baseline"/>
                    </w:rPr>
                  </w:pPr>
                  <w:r>
                    <w:rPr>
                      <w:rFonts w:hint="default" w:ascii="Times New Roman" w:hAnsi="Times New Roman" w:cs="Times New Roman"/>
                      <w:b w:val="0"/>
                      <w:bCs/>
                      <w:color w:val="FF0000"/>
                      <w:kern w:val="0"/>
                      <w:vertAlign w:val="baseline"/>
                    </w:rPr>
                    <w:t>设备结构简单，操作方便，净化率高；但用于净化较大气量时，吸收液耗量很大。</w:t>
                  </w:r>
                </w:p>
              </w:tc>
            </w:tr>
            <w:tr w14:paraId="66AF917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84" w:type="pct"/>
                  <w:tcBorders>
                    <w:tl2br w:val="nil"/>
                    <w:tr2bl w:val="nil"/>
                  </w:tcBorders>
                  <w:vAlign w:val="center"/>
                </w:tcPr>
                <w:p w14:paraId="3D457F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kern w:val="0"/>
                      <w:vertAlign w:val="baseline"/>
                      <w:lang w:val="en-US" w:eastAsia="zh-CN"/>
                    </w:rPr>
                  </w:pPr>
                  <w:r>
                    <w:rPr>
                      <w:rFonts w:hint="default" w:ascii="Times New Roman" w:hAnsi="Times New Roman" w:cs="Times New Roman"/>
                      <w:b w:val="0"/>
                      <w:bCs/>
                      <w:color w:val="FF0000"/>
                      <w:kern w:val="0"/>
                      <w:vertAlign w:val="baseline"/>
                      <w:lang w:val="en-US" w:eastAsia="zh-CN"/>
                    </w:rPr>
                    <w:t>冷凝法</w:t>
                  </w:r>
                </w:p>
              </w:tc>
              <w:tc>
                <w:tcPr>
                  <w:tcW w:w="1413" w:type="pct"/>
                  <w:tcBorders>
                    <w:tl2br w:val="nil"/>
                    <w:tr2bl w:val="nil"/>
                  </w:tcBorders>
                  <w:vAlign w:val="center"/>
                </w:tcPr>
                <w:p w14:paraId="64AAB1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vertAlign w:val="baseline"/>
                    </w:rPr>
                  </w:pPr>
                  <w:r>
                    <w:rPr>
                      <w:rFonts w:hint="default" w:ascii="Times New Roman" w:hAnsi="Times New Roman" w:cs="Times New Roman"/>
                      <w:b w:val="0"/>
                      <w:bCs/>
                      <w:color w:val="FF0000"/>
                      <w:kern w:val="0"/>
                      <w:vertAlign w:val="baseline"/>
                    </w:rPr>
                    <w:t>采用低温，使有机物组分冷却至露点以下，液化回收</w:t>
                  </w:r>
                </w:p>
              </w:tc>
              <w:tc>
                <w:tcPr>
                  <w:tcW w:w="1108" w:type="pct"/>
                  <w:tcBorders>
                    <w:tl2br w:val="nil"/>
                    <w:tr2bl w:val="nil"/>
                  </w:tcBorders>
                  <w:vAlign w:val="center"/>
                </w:tcPr>
                <w:p w14:paraId="4957C7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vertAlign w:val="baseline"/>
                    </w:rPr>
                  </w:pPr>
                  <w:r>
                    <w:rPr>
                      <w:rFonts w:hint="default" w:ascii="Times New Roman" w:hAnsi="Times New Roman" w:cs="Times New Roman"/>
                      <w:b w:val="0"/>
                      <w:bCs/>
                      <w:color w:val="FF0000"/>
                      <w:kern w:val="0"/>
                      <w:vertAlign w:val="baseline"/>
                    </w:rPr>
                    <w:t>适用于高浓度废气的净化</w:t>
                  </w:r>
                </w:p>
              </w:tc>
              <w:tc>
                <w:tcPr>
                  <w:tcW w:w="1692" w:type="pct"/>
                  <w:tcBorders>
                    <w:tl2br w:val="nil"/>
                    <w:tr2bl w:val="nil"/>
                  </w:tcBorders>
                  <w:vAlign w:val="center"/>
                </w:tcPr>
                <w:p w14:paraId="5CBEA2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vertAlign w:val="baseline"/>
                    </w:rPr>
                  </w:pPr>
                  <w:r>
                    <w:rPr>
                      <w:rFonts w:hint="default" w:ascii="Times New Roman" w:hAnsi="Times New Roman" w:cs="Times New Roman"/>
                      <w:b w:val="0"/>
                      <w:bCs/>
                      <w:color w:val="FF0000"/>
                      <w:kern w:val="0"/>
                      <w:vertAlign w:val="baseline"/>
                    </w:rPr>
                    <w:t>设备结构简单，操作方便；但对废气的净化程度受冷凝温度的限制，要求净化程度高或处理低浓度废气时，需要将废气冷却到很低的温度。</w:t>
                  </w:r>
                </w:p>
              </w:tc>
            </w:tr>
          </w:tbl>
          <w:p w14:paraId="09B74FC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val="0"/>
                <w:bCs/>
                <w:color w:val="FF0000"/>
                <w:kern w:val="0"/>
              </w:rPr>
            </w:pPr>
            <w:r>
              <w:rPr>
                <w:rFonts w:hint="eastAsia"/>
                <w:b w:val="0"/>
                <w:bCs/>
                <w:color w:val="FF0000"/>
                <w:kern w:val="0"/>
                <w:lang w:eastAsia="zh-CN"/>
              </w:rPr>
              <w:t>（</w:t>
            </w:r>
            <w:r>
              <w:rPr>
                <w:rFonts w:hint="eastAsia"/>
                <w:b w:val="0"/>
                <w:bCs/>
                <w:color w:val="FF0000"/>
                <w:kern w:val="0"/>
                <w:lang w:val="en-US" w:eastAsia="zh-CN"/>
              </w:rPr>
              <w:t>1</w:t>
            </w:r>
            <w:r>
              <w:rPr>
                <w:rFonts w:hint="eastAsia"/>
                <w:b w:val="0"/>
                <w:bCs/>
                <w:color w:val="FF0000"/>
                <w:kern w:val="0"/>
                <w:lang w:eastAsia="zh-CN"/>
              </w:rPr>
              <w:t>）</w:t>
            </w:r>
            <w:r>
              <w:rPr>
                <w:rFonts w:hint="eastAsia"/>
                <w:b w:val="0"/>
                <w:bCs/>
                <w:color w:val="FF0000"/>
                <w:kern w:val="0"/>
              </w:rPr>
              <w:t>燃烧法和催化燃烧法</w:t>
            </w:r>
          </w:p>
          <w:p w14:paraId="575EFA3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val="0"/>
                <w:bCs/>
                <w:color w:val="FF0000"/>
                <w:kern w:val="0"/>
              </w:rPr>
            </w:pPr>
            <w:r>
              <w:rPr>
                <w:rFonts w:hint="eastAsia"/>
                <w:b w:val="0"/>
                <w:bCs/>
                <w:color w:val="FF0000"/>
                <w:kern w:val="0"/>
              </w:rPr>
              <w:t>燃烧法即用燃烧的方法销毁有害气体、蒸汽或烟尘，所发生的化学作用主要是燃烧氧化作用及高温下的热分解；因此这种方法只能适用于净化那些可燃的或在高温下可以分解的有害气体。催化燃烧实际上为完全的催化氧化，即在催化剂作用下，使气体中的有害可燃组分完全氧化为CO</w:t>
            </w:r>
            <w:r>
              <w:rPr>
                <w:rFonts w:hint="eastAsia"/>
                <w:b w:val="0"/>
                <w:bCs/>
                <w:color w:val="FF0000"/>
                <w:kern w:val="0"/>
                <w:vertAlign w:val="subscript"/>
              </w:rPr>
              <w:t>2</w:t>
            </w:r>
            <w:r>
              <w:rPr>
                <w:rFonts w:hint="eastAsia"/>
                <w:b w:val="0"/>
                <w:bCs/>
                <w:color w:val="FF0000"/>
                <w:kern w:val="0"/>
              </w:rPr>
              <w:t>和H</w:t>
            </w:r>
            <w:r>
              <w:rPr>
                <w:rFonts w:hint="eastAsia"/>
                <w:b w:val="0"/>
                <w:bCs/>
                <w:color w:val="FF0000"/>
                <w:kern w:val="0"/>
                <w:vertAlign w:val="subscript"/>
              </w:rPr>
              <w:t>2</w:t>
            </w:r>
            <w:r>
              <w:rPr>
                <w:rFonts w:hint="eastAsia"/>
                <w:b w:val="0"/>
                <w:bCs/>
                <w:color w:val="FF0000"/>
                <w:kern w:val="0"/>
              </w:rPr>
              <w:t>O；催化剂以贵金属铂、钯催化剂使用最多，这些催化剂活性好、寿命厂、使用稳定。</w:t>
            </w:r>
          </w:p>
          <w:p w14:paraId="478C4618">
            <w:pPr>
              <w:adjustRightInd w:val="0"/>
              <w:snapToGrid w:val="0"/>
              <w:spacing w:line="360" w:lineRule="auto"/>
              <w:ind w:firstLine="420" w:firstLineChars="200"/>
              <w:rPr>
                <w:rFonts w:hint="eastAsia"/>
                <w:b w:val="0"/>
                <w:bCs/>
                <w:color w:val="FF0000"/>
                <w:kern w:val="0"/>
              </w:rPr>
            </w:pPr>
            <w:r>
              <w:rPr>
                <w:rFonts w:hint="eastAsia"/>
                <w:b w:val="0"/>
                <w:bCs/>
                <w:color w:val="FF0000"/>
                <w:kern w:val="0"/>
                <w:lang w:eastAsia="zh-CN"/>
              </w:rPr>
              <w:t>（</w:t>
            </w:r>
            <w:r>
              <w:rPr>
                <w:rFonts w:hint="eastAsia"/>
                <w:b w:val="0"/>
                <w:bCs/>
                <w:color w:val="FF0000"/>
                <w:kern w:val="0"/>
                <w:lang w:val="en-US" w:eastAsia="zh-CN"/>
              </w:rPr>
              <w:t>2</w:t>
            </w:r>
            <w:r>
              <w:rPr>
                <w:rFonts w:hint="eastAsia"/>
                <w:b w:val="0"/>
                <w:bCs/>
                <w:color w:val="FF0000"/>
                <w:kern w:val="0"/>
                <w:lang w:eastAsia="zh-CN"/>
              </w:rPr>
              <w:t>）</w:t>
            </w:r>
            <w:r>
              <w:rPr>
                <w:rFonts w:hint="eastAsia"/>
                <w:b w:val="0"/>
                <w:bCs/>
                <w:color w:val="FF0000"/>
                <w:kern w:val="0"/>
              </w:rPr>
              <w:t>吸附法</w:t>
            </w:r>
          </w:p>
          <w:p w14:paraId="19E5D5A2">
            <w:pPr>
              <w:adjustRightInd w:val="0"/>
              <w:snapToGrid w:val="0"/>
              <w:spacing w:line="360" w:lineRule="auto"/>
              <w:ind w:firstLine="420" w:firstLineChars="200"/>
              <w:rPr>
                <w:rFonts w:hint="eastAsia"/>
                <w:b w:val="0"/>
                <w:bCs/>
                <w:color w:val="FF0000"/>
                <w:kern w:val="0"/>
              </w:rPr>
            </w:pPr>
            <w:r>
              <w:rPr>
                <w:rFonts w:hint="eastAsia"/>
                <w:b w:val="0"/>
                <w:bCs/>
                <w:color w:val="FF0000"/>
                <w:kern w:val="0"/>
              </w:rPr>
              <w:t>吸附法最适于处理低浓度废气，对污染物浓度高的废气一般不采用吸附法治理；常用的吸附剂有：活性炭、硅胶、沸石、活性氧化铝等。目前应用最广泛、效果最好的吸附剂是活性炭。</w:t>
            </w:r>
          </w:p>
          <w:p w14:paraId="15687769">
            <w:pPr>
              <w:adjustRightInd w:val="0"/>
              <w:snapToGrid w:val="0"/>
              <w:spacing w:line="360" w:lineRule="auto"/>
              <w:ind w:firstLine="420" w:firstLineChars="200"/>
              <w:rPr>
                <w:rFonts w:hint="eastAsia"/>
                <w:b w:val="0"/>
                <w:bCs/>
                <w:color w:val="FF0000"/>
                <w:kern w:val="0"/>
              </w:rPr>
            </w:pPr>
            <w:r>
              <w:rPr>
                <w:rFonts w:hint="eastAsia"/>
                <w:b w:val="0"/>
                <w:bCs/>
                <w:color w:val="FF0000"/>
                <w:kern w:val="0"/>
                <w:lang w:eastAsia="zh-CN"/>
              </w:rPr>
              <w:t>（</w:t>
            </w:r>
            <w:r>
              <w:rPr>
                <w:rFonts w:hint="eastAsia"/>
                <w:b w:val="0"/>
                <w:bCs/>
                <w:color w:val="FF0000"/>
                <w:kern w:val="0"/>
                <w:lang w:val="en-US" w:eastAsia="zh-CN"/>
              </w:rPr>
              <w:t>3</w:t>
            </w:r>
            <w:r>
              <w:rPr>
                <w:rFonts w:hint="eastAsia"/>
                <w:b w:val="0"/>
                <w:bCs/>
                <w:color w:val="FF0000"/>
                <w:kern w:val="0"/>
                <w:lang w:eastAsia="zh-CN"/>
              </w:rPr>
              <w:t>）</w:t>
            </w:r>
            <w:r>
              <w:rPr>
                <w:rFonts w:hint="eastAsia"/>
                <w:b w:val="0"/>
                <w:bCs/>
                <w:color w:val="FF0000"/>
                <w:kern w:val="0"/>
              </w:rPr>
              <w:t>吸收法</w:t>
            </w:r>
          </w:p>
          <w:p w14:paraId="56A71820">
            <w:pPr>
              <w:adjustRightInd w:val="0"/>
              <w:snapToGrid w:val="0"/>
              <w:spacing w:line="360" w:lineRule="auto"/>
              <w:ind w:firstLine="420" w:firstLineChars="200"/>
              <w:rPr>
                <w:rFonts w:hint="eastAsia"/>
                <w:b w:val="0"/>
                <w:bCs/>
                <w:color w:val="FF0000"/>
                <w:kern w:val="0"/>
              </w:rPr>
            </w:pPr>
            <w:r>
              <w:rPr>
                <w:rFonts w:hint="eastAsia"/>
                <w:b w:val="0"/>
                <w:bCs/>
                <w:color w:val="FF0000"/>
                <w:kern w:val="0"/>
              </w:rPr>
              <w:t>在对有机物废气进行治理的方法中，吸收法的应用不广泛，特别是对使用有机溶剂的行业，还不能达到工业应用水平，主要是由于吸收剂本身的性质不理想且吸收剂的再生与处理还存在一些问题。</w:t>
            </w:r>
          </w:p>
          <w:p w14:paraId="6EECB2A0">
            <w:pPr>
              <w:adjustRightInd w:val="0"/>
              <w:snapToGrid w:val="0"/>
              <w:spacing w:line="360" w:lineRule="auto"/>
              <w:ind w:firstLine="420" w:firstLineChars="200"/>
              <w:rPr>
                <w:rFonts w:hint="eastAsia"/>
                <w:b w:val="0"/>
                <w:bCs/>
                <w:color w:val="FF0000"/>
                <w:kern w:val="0"/>
              </w:rPr>
            </w:pPr>
            <w:r>
              <w:rPr>
                <w:rFonts w:hint="eastAsia"/>
                <w:b w:val="0"/>
                <w:bCs/>
                <w:color w:val="FF0000"/>
                <w:kern w:val="0"/>
                <w:lang w:eastAsia="zh-CN"/>
              </w:rPr>
              <w:t>（</w:t>
            </w:r>
            <w:r>
              <w:rPr>
                <w:rFonts w:hint="eastAsia"/>
                <w:b w:val="0"/>
                <w:bCs/>
                <w:color w:val="FF0000"/>
                <w:kern w:val="0"/>
                <w:lang w:val="en-US" w:eastAsia="zh-CN"/>
              </w:rPr>
              <w:t>4</w:t>
            </w:r>
            <w:r>
              <w:rPr>
                <w:rFonts w:hint="eastAsia"/>
                <w:b w:val="0"/>
                <w:bCs/>
                <w:color w:val="FF0000"/>
                <w:kern w:val="0"/>
                <w:lang w:eastAsia="zh-CN"/>
              </w:rPr>
              <w:t>）</w:t>
            </w:r>
            <w:r>
              <w:rPr>
                <w:rFonts w:hint="eastAsia"/>
                <w:b w:val="0"/>
                <w:bCs/>
                <w:color w:val="FF0000"/>
                <w:kern w:val="0"/>
              </w:rPr>
              <w:t>冷凝法</w:t>
            </w:r>
          </w:p>
          <w:p w14:paraId="1E673EEA">
            <w:pPr>
              <w:adjustRightInd w:val="0"/>
              <w:snapToGrid w:val="0"/>
              <w:spacing w:line="360" w:lineRule="auto"/>
              <w:ind w:firstLine="420" w:firstLineChars="200"/>
              <w:rPr>
                <w:rFonts w:hint="eastAsia"/>
                <w:b w:val="0"/>
                <w:bCs/>
                <w:color w:val="FF0000"/>
                <w:kern w:val="0"/>
              </w:rPr>
            </w:pPr>
            <w:r>
              <w:rPr>
                <w:rFonts w:hint="eastAsia"/>
                <w:b w:val="0"/>
                <w:bCs/>
                <w:color w:val="FF0000"/>
                <w:kern w:val="0"/>
              </w:rPr>
              <w:t>冷凝法主要用于处理高浓度废气、处理含有大量水蒸气的高温废气和作为燃烧法与吸附法净化的预处理；但对废气的净化程度受冷凝温度的限制，要求净化程度高或处理低浓度废气时，需要将废气冷却到很低的温度，经济上不合算。</w:t>
            </w:r>
          </w:p>
          <w:p w14:paraId="0CBC039D">
            <w:pPr>
              <w:adjustRightInd w:val="0"/>
              <w:snapToGrid w:val="0"/>
              <w:spacing w:line="360" w:lineRule="auto"/>
              <w:ind w:firstLine="420" w:firstLineChars="200"/>
              <w:rPr>
                <w:rFonts w:hint="eastAsia" w:eastAsia="宋体"/>
                <w:b w:val="0"/>
                <w:bCs/>
                <w:color w:val="FF0000"/>
                <w:kern w:val="0"/>
                <w:lang w:val="en-US" w:eastAsia="zh-CN"/>
              </w:rPr>
            </w:pPr>
            <w:r>
              <w:rPr>
                <w:rFonts w:hint="eastAsia"/>
                <w:b w:val="0"/>
                <w:bCs/>
                <w:color w:val="FF0000"/>
                <w:kern w:val="0"/>
                <w:lang w:val="en-US" w:eastAsia="zh-CN"/>
              </w:rPr>
              <w:t>活性炭吸附原理：活性炭吸附是利用活性炭的多孔性，存在吸引力的原理而开发的。由于固体表面上存在着未平衡饱和的分子力或化学键力，因此当此固体表面与气体接触时，就能吸引气体分子，使其浓集并保持在固体表面，这种现象就是吸附现象。本工艺所采用的活性炭吸附法就是利用固体表面的这种性质，当废气与大表面积的多孔性活性炭相接触，废气中的污染物被吸附在活性炭固体表面，从而与气体混合物分离，达到净化的目的。</w:t>
            </w:r>
          </w:p>
          <w:p w14:paraId="1DED1AFD">
            <w:pPr>
              <w:adjustRightInd w:val="0"/>
              <w:snapToGrid w:val="0"/>
              <w:spacing w:line="240" w:lineRule="auto"/>
              <w:jc w:val="center"/>
              <w:rPr>
                <w:rFonts w:hint="default" w:eastAsia="宋体"/>
                <w:b/>
                <w:bCs w:val="0"/>
                <w:color w:val="FF0000"/>
                <w:kern w:val="0"/>
                <w:lang w:val="en-US" w:eastAsia="zh-CN"/>
              </w:rPr>
            </w:pPr>
            <w:r>
              <w:rPr>
                <w:rFonts w:hint="eastAsia"/>
                <w:b/>
                <w:bCs w:val="0"/>
                <w:color w:val="FF0000"/>
                <w:kern w:val="0"/>
                <w:lang w:val="en-US" w:eastAsia="zh-CN"/>
              </w:rPr>
              <w:t>活性炭吸附装置参数表</w:t>
            </w:r>
          </w:p>
          <w:tbl>
            <w:tblPr>
              <w:tblStyle w:val="60"/>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49"/>
              <w:gridCol w:w="5325"/>
              <w:gridCol w:w="3215"/>
            </w:tblGrid>
            <w:tr w14:paraId="1653ED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582B18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FF0000"/>
                      <w:kern w:val="0"/>
                      <w:vertAlign w:val="baseline"/>
                      <w:lang w:val="en-US" w:eastAsia="zh-CN"/>
                    </w:rPr>
                  </w:pPr>
                  <w:r>
                    <w:rPr>
                      <w:rFonts w:hint="eastAsia" w:cs="Times New Roman"/>
                      <w:b/>
                      <w:color w:val="FF0000"/>
                      <w:kern w:val="0"/>
                      <w:vertAlign w:val="baseline"/>
                      <w:lang w:val="en-US" w:eastAsia="zh-CN"/>
                    </w:rPr>
                    <w:t>序号</w:t>
                  </w:r>
                </w:p>
              </w:tc>
              <w:tc>
                <w:tcPr>
                  <w:tcW w:w="2776" w:type="pct"/>
                  <w:tcBorders>
                    <w:tl2br w:val="nil"/>
                    <w:tr2bl w:val="nil"/>
                  </w:tcBorders>
                  <w:vAlign w:val="center"/>
                </w:tcPr>
                <w:p w14:paraId="6F68DD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FF0000"/>
                      <w:kern w:val="0"/>
                      <w:vertAlign w:val="baseline"/>
                      <w:lang w:val="en-US" w:eastAsia="zh-CN"/>
                    </w:rPr>
                  </w:pPr>
                  <w:r>
                    <w:rPr>
                      <w:rFonts w:hint="eastAsia" w:cs="Times New Roman"/>
                      <w:b/>
                      <w:color w:val="FF0000"/>
                      <w:kern w:val="0"/>
                      <w:vertAlign w:val="baseline"/>
                      <w:lang w:val="en-US" w:eastAsia="zh-CN"/>
                    </w:rPr>
                    <w:t>名称</w:t>
                  </w:r>
                </w:p>
              </w:tc>
              <w:tc>
                <w:tcPr>
                  <w:tcW w:w="1676" w:type="pct"/>
                  <w:tcBorders>
                    <w:tl2br w:val="nil"/>
                    <w:tr2bl w:val="nil"/>
                  </w:tcBorders>
                  <w:vAlign w:val="center"/>
                </w:tcPr>
                <w:p w14:paraId="5299F8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FF0000"/>
                      <w:kern w:val="0"/>
                      <w:vertAlign w:val="baseline"/>
                      <w:lang w:val="en-US" w:eastAsia="zh-CN"/>
                    </w:rPr>
                  </w:pPr>
                  <w:r>
                    <w:rPr>
                      <w:rFonts w:hint="eastAsia" w:cs="Times New Roman"/>
                      <w:b/>
                      <w:color w:val="FF0000"/>
                      <w:kern w:val="0"/>
                      <w:vertAlign w:val="baseline"/>
                      <w:lang w:val="en-US" w:eastAsia="zh-CN"/>
                    </w:rPr>
                    <w:t>技术参数</w:t>
                  </w:r>
                </w:p>
              </w:tc>
            </w:tr>
            <w:tr w14:paraId="3E1B9ED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460BEC8C">
                  <w:pPr>
                    <w:adjustRightInd w:val="0"/>
                    <w:snapToGrid w:val="0"/>
                    <w:jc w:val="center"/>
                    <w:rPr>
                      <w:rFonts w:hint="default" w:ascii="Times New Roman" w:hAnsi="Times New Roman" w:eastAsia="宋体" w:cs="Times New Roman"/>
                      <w:b w:val="0"/>
                      <w:bCs/>
                      <w:color w:val="FF0000"/>
                      <w:kern w:val="0"/>
                      <w:vertAlign w:val="baseline"/>
                      <w:lang w:val="en-US" w:eastAsia="zh-CN"/>
                    </w:rPr>
                  </w:pPr>
                  <w:r>
                    <w:rPr>
                      <w:color w:val="auto"/>
                      <w:kern w:val="0"/>
                    </w:rPr>
                    <w:t>1</w:t>
                  </w:r>
                </w:p>
              </w:tc>
              <w:tc>
                <w:tcPr>
                  <w:tcW w:w="2776" w:type="pct"/>
                  <w:tcBorders>
                    <w:tl2br w:val="nil"/>
                    <w:tr2bl w:val="nil"/>
                  </w:tcBorders>
                  <w:vAlign w:val="center"/>
                </w:tcPr>
                <w:p w14:paraId="2177A2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FF0000"/>
                      <w:kern w:val="0"/>
                      <w:vertAlign w:val="baseline"/>
                      <w:lang w:eastAsia="zh-CN"/>
                    </w:rPr>
                  </w:pPr>
                  <w:r>
                    <w:rPr>
                      <w:rFonts w:hint="eastAsia" w:cs="Times New Roman"/>
                      <w:b w:val="0"/>
                      <w:bCs/>
                      <w:color w:val="FF0000"/>
                      <w:kern w:val="0"/>
                      <w:vertAlign w:val="baseline"/>
                      <w:lang w:val="en-US" w:eastAsia="zh-CN"/>
                    </w:rPr>
                    <w:t>比表面积（mg/m</w:t>
                  </w:r>
                  <w:r>
                    <w:rPr>
                      <w:rFonts w:hint="eastAsia" w:cs="Times New Roman"/>
                      <w:b w:val="0"/>
                      <w:bCs/>
                      <w:color w:val="FF0000"/>
                      <w:kern w:val="0"/>
                      <w:vertAlign w:val="superscript"/>
                      <w:lang w:val="en-US" w:eastAsia="zh-CN"/>
                    </w:rPr>
                    <w:t>2</w:t>
                  </w:r>
                  <w:r>
                    <w:rPr>
                      <w:rFonts w:hint="eastAsia" w:cs="Times New Roman"/>
                      <w:b w:val="0"/>
                      <w:bCs/>
                      <w:color w:val="FF0000"/>
                      <w:kern w:val="0"/>
                      <w:vertAlign w:val="baseline"/>
                      <w:lang w:val="en-US" w:eastAsia="zh-CN"/>
                    </w:rPr>
                    <w:t>）</w:t>
                  </w:r>
                </w:p>
              </w:tc>
              <w:tc>
                <w:tcPr>
                  <w:tcW w:w="2969" w:type="dxa"/>
                  <w:tcBorders>
                    <w:tl2br w:val="nil"/>
                    <w:tr2bl w:val="nil"/>
                  </w:tcBorders>
                  <w:vAlign w:val="center"/>
                </w:tcPr>
                <w:p w14:paraId="105657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kern w:val="0"/>
                      <w:vertAlign w:val="baseline"/>
                      <w:lang w:val="en-US" w:eastAsia="zh-CN"/>
                    </w:rPr>
                  </w:pPr>
                  <w:r>
                    <w:rPr>
                      <w:rFonts w:hint="eastAsia" w:cs="Times New Roman"/>
                      <w:b w:val="0"/>
                      <w:bCs/>
                      <w:color w:val="FF0000"/>
                      <w:kern w:val="0"/>
                      <w:vertAlign w:val="baseline"/>
                      <w:lang w:val="en-US" w:eastAsia="zh-CN"/>
                    </w:rPr>
                    <w:t>1000</w:t>
                  </w:r>
                </w:p>
              </w:tc>
            </w:tr>
            <w:tr w14:paraId="2616BB9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02AFABC6">
                  <w:pPr>
                    <w:adjustRightInd w:val="0"/>
                    <w:snapToGrid w:val="0"/>
                    <w:jc w:val="center"/>
                    <w:rPr>
                      <w:rFonts w:hint="default" w:ascii="Times New Roman" w:hAnsi="Times New Roman" w:eastAsia="宋体" w:cs="Times New Roman"/>
                      <w:b w:val="0"/>
                      <w:bCs/>
                      <w:color w:val="FF0000"/>
                      <w:kern w:val="0"/>
                      <w:vertAlign w:val="baseline"/>
                      <w:lang w:val="en-US" w:eastAsia="zh-CN"/>
                    </w:rPr>
                  </w:pPr>
                  <w:r>
                    <w:rPr>
                      <w:color w:val="auto"/>
                      <w:kern w:val="0"/>
                    </w:rPr>
                    <w:t>2</w:t>
                  </w:r>
                </w:p>
              </w:tc>
              <w:tc>
                <w:tcPr>
                  <w:tcW w:w="2776" w:type="pct"/>
                  <w:tcBorders>
                    <w:tl2br w:val="nil"/>
                    <w:tr2bl w:val="nil"/>
                  </w:tcBorders>
                  <w:vAlign w:val="center"/>
                </w:tcPr>
                <w:p w14:paraId="069A2F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FF0000"/>
                      <w:kern w:val="0"/>
                      <w:vertAlign w:val="baseline"/>
                      <w:lang w:eastAsia="zh-CN"/>
                    </w:rPr>
                  </w:pPr>
                  <w:r>
                    <w:rPr>
                      <w:rFonts w:hint="eastAsia" w:cs="Times New Roman"/>
                      <w:b w:val="0"/>
                      <w:bCs/>
                      <w:color w:val="FF0000"/>
                      <w:kern w:val="0"/>
                      <w:vertAlign w:val="baseline"/>
                      <w:lang w:val="en-US" w:eastAsia="zh-CN"/>
                    </w:rPr>
                    <w:t>充填密度（g/cm）</w:t>
                  </w:r>
                </w:p>
              </w:tc>
              <w:tc>
                <w:tcPr>
                  <w:tcW w:w="2969" w:type="dxa"/>
                  <w:tcBorders>
                    <w:tl2br w:val="nil"/>
                    <w:tr2bl w:val="nil"/>
                  </w:tcBorders>
                  <w:vAlign w:val="center"/>
                </w:tcPr>
                <w:p w14:paraId="295686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kern w:val="0"/>
                      <w:vertAlign w:val="baseline"/>
                      <w:lang w:val="en-US" w:eastAsia="zh-CN"/>
                    </w:rPr>
                  </w:pPr>
                  <w:r>
                    <w:rPr>
                      <w:rFonts w:hint="eastAsia" w:cs="Times New Roman"/>
                      <w:b w:val="0"/>
                      <w:bCs/>
                      <w:color w:val="FF0000"/>
                      <w:kern w:val="0"/>
                      <w:vertAlign w:val="baseline"/>
                      <w:lang w:val="en-US" w:eastAsia="zh-CN"/>
                    </w:rPr>
                    <w:t>0.42</w:t>
                  </w:r>
                </w:p>
              </w:tc>
            </w:tr>
            <w:tr w14:paraId="7275A3B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7414A718">
                  <w:pPr>
                    <w:adjustRightInd w:val="0"/>
                    <w:snapToGrid w:val="0"/>
                    <w:jc w:val="center"/>
                    <w:rPr>
                      <w:rFonts w:hint="default" w:ascii="Times New Roman" w:hAnsi="Times New Roman" w:eastAsia="宋体" w:cs="Times New Roman"/>
                      <w:b w:val="0"/>
                      <w:bCs/>
                      <w:color w:val="FF0000"/>
                      <w:kern w:val="0"/>
                      <w:vertAlign w:val="baseline"/>
                      <w:lang w:val="en-US" w:eastAsia="zh-CN"/>
                    </w:rPr>
                  </w:pPr>
                  <w:r>
                    <w:rPr>
                      <w:color w:val="auto"/>
                      <w:kern w:val="0"/>
                    </w:rPr>
                    <w:t>3</w:t>
                  </w:r>
                </w:p>
              </w:tc>
              <w:tc>
                <w:tcPr>
                  <w:tcW w:w="2776" w:type="pct"/>
                  <w:tcBorders>
                    <w:tl2br w:val="nil"/>
                    <w:tr2bl w:val="nil"/>
                  </w:tcBorders>
                  <w:vAlign w:val="center"/>
                </w:tcPr>
                <w:p w14:paraId="4A2719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FF0000"/>
                      <w:kern w:val="0"/>
                      <w:vertAlign w:val="baseline"/>
                      <w:lang w:eastAsia="zh-CN"/>
                    </w:rPr>
                  </w:pPr>
                  <w:r>
                    <w:rPr>
                      <w:rFonts w:hint="eastAsia" w:cs="Times New Roman"/>
                      <w:b w:val="0"/>
                      <w:bCs/>
                      <w:color w:val="FF0000"/>
                      <w:kern w:val="0"/>
                      <w:vertAlign w:val="baseline"/>
                      <w:lang w:val="en-US" w:eastAsia="zh-CN"/>
                    </w:rPr>
                    <w:t>碘吸附值（mg/g）</w:t>
                  </w:r>
                </w:p>
              </w:tc>
              <w:tc>
                <w:tcPr>
                  <w:tcW w:w="2969" w:type="dxa"/>
                  <w:tcBorders>
                    <w:tl2br w:val="nil"/>
                    <w:tr2bl w:val="nil"/>
                  </w:tcBorders>
                  <w:vAlign w:val="center"/>
                </w:tcPr>
                <w:p w14:paraId="7F018D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kern w:val="0"/>
                      <w:vertAlign w:val="baseline"/>
                      <w:lang w:val="en-US" w:eastAsia="zh-CN"/>
                    </w:rPr>
                  </w:pPr>
                  <w:r>
                    <w:rPr>
                      <w:rFonts w:hint="eastAsia" w:cs="Times New Roman"/>
                      <w:b w:val="0"/>
                      <w:bCs/>
                      <w:color w:val="FF0000"/>
                      <w:kern w:val="0"/>
                      <w:vertAlign w:val="baseline"/>
                      <w:lang w:val="en-US" w:eastAsia="zh-CN"/>
                    </w:rPr>
                    <w:t>800</w:t>
                  </w:r>
                </w:p>
              </w:tc>
            </w:tr>
            <w:tr w14:paraId="79721AC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1431305D">
                  <w:pPr>
                    <w:adjustRightInd w:val="0"/>
                    <w:snapToGrid w:val="0"/>
                    <w:jc w:val="center"/>
                    <w:rPr>
                      <w:rFonts w:hint="default" w:ascii="Times New Roman" w:hAnsi="Times New Roman" w:eastAsia="宋体" w:cs="Times New Roman"/>
                      <w:b w:val="0"/>
                      <w:bCs/>
                      <w:color w:val="FF0000"/>
                      <w:kern w:val="0"/>
                      <w:vertAlign w:val="baseline"/>
                      <w:lang w:val="en-US" w:eastAsia="zh-CN"/>
                    </w:rPr>
                  </w:pPr>
                  <w:r>
                    <w:rPr>
                      <w:color w:val="auto"/>
                      <w:kern w:val="0"/>
                    </w:rPr>
                    <w:t>4</w:t>
                  </w:r>
                </w:p>
              </w:tc>
              <w:tc>
                <w:tcPr>
                  <w:tcW w:w="2776" w:type="pct"/>
                  <w:tcBorders>
                    <w:tl2br w:val="nil"/>
                    <w:tr2bl w:val="nil"/>
                  </w:tcBorders>
                  <w:vAlign w:val="center"/>
                </w:tcPr>
                <w:p w14:paraId="1495D0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kern w:val="0"/>
                      <w:vertAlign w:val="baseline"/>
                      <w:lang w:val="en-US" w:eastAsia="zh-CN"/>
                    </w:rPr>
                  </w:pPr>
                  <w:r>
                    <w:rPr>
                      <w:rFonts w:hint="eastAsia" w:cs="Times New Roman"/>
                      <w:b w:val="0"/>
                      <w:bCs/>
                      <w:color w:val="FF0000"/>
                      <w:kern w:val="0"/>
                      <w:vertAlign w:val="baseline"/>
                      <w:lang w:val="en-US" w:eastAsia="zh-CN"/>
                    </w:rPr>
                    <w:t>机械强度</w:t>
                  </w:r>
                </w:p>
              </w:tc>
              <w:tc>
                <w:tcPr>
                  <w:tcW w:w="2969" w:type="dxa"/>
                  <w:tcBorders>
                    <w:tl2br w:val="nil"/>
                    <w:tr2bl w:val="nil"/>
                  </w:tcBorders>
                  <w:vAlign w:val="center"/>
                </w:tcPr>
                <w:p w14:paraId="70E512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kern w:val="0"/>
                      <w:vertAlign w:val="baseline"/>
                      <w:lang w:val="en-US" w:eastAsia="zh-CN"/>
                    </w:rPr>
                  </w:pPr>
                  <w:r>
                    <w:rPr>
                      <w:rFonts w:hint="eastAsia" w:cs="Times New Roman"/>
                      <w:b w:val="0"/>
                      <w:bCs/>
                      <w:color w:val="FF0000"/>
                      <w:kern w:val="0"/>
                      <w:vertAlign w:val="baseline"/>
                      <w:lang w:val="en-US" w:eastAsia="zh-CN"/>
                    </w:rPr>
                    <w:t>98</w:t>
                  </w:r>
                </w:p>
              </w:tc>
            </w:tr>
            <w:tr w14:paraId="61F46FD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78A43598">
                  <w:pPr>
                    <w:adjustRightInd w:val="0"/>
                    <w:snapToGrid w:val="0"/>
                    <w:jc w:val="center"/>
                    <w:rPr>
                      <w:rFonts w:hint="default" w:ascii="Times New Roman" w:hAnsi="Times New Roman" w:eastAsia="宋体" w:cs="Times New Roman"/>
                      <w:b w:val="0"/>
                      <w:bCs/>
                      <w:color w:val="FF0000"/>
                      <w:kern w:val="0"/>
                      <w:vertAlign w:val="baseline"/>
                      <w:lang w:val="en-US" w:eastAsia="zh-CN"/>
                    </w:rPr>
                  </w:pPr>
                  <w:r>
                    <w:rPr>
                      <w:color w:val="auto"/>
                      <w:kern w:val="0"/>
                    </w:rPr>
                    <w:t>5</w:t>
                  </w:r>
                </w:p>
              </w:tc>
              <w:tc>
                <w:tcPr>
                  <w:tcW w:w="2776" w:type="pct"/>
                  <w:tcBorders>
                    <w:tl2br w:val="nil"/>
                    <w:tr2bl w:val="nil"/>
                  </w:tcBorders>
                  <w:vAlign w:val="center"/>
                </w:tcPr>
                <w:p w14:paraId="564D43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kern w:val="0"/>
                      <w:vertAlign w:val="baseline"/>
                      <w:lang w:val="en-US" w:eastAsia="zh-CN"/>
                    </w:rPr>
                  </w:pPr>
                  <w:r>
                    <w:rPr>
                      <w:rFonts w:hint="eastAsia" w:cs="Times New Roman"/>
                      <w:b w:val="0"/>
                      <w:bCs/>
                      <w:color w:val="FF0000"/>
                      <w:kern w:val="0"/>
                      <w:vertAlign w:val="baseline"/>
                      <w:lang w:val="en-US" w:eastAsia="zh-CN"/>
                    </w:rPr>
                    <w:t>吸附阻力</w:t>
                  </w:r>
                </w:p>
              </w:tc>
              <w:tc>
                <w:tcPr>
                  <w:tcW w:w="2969" w:type="dxa"/>
                  <w:tcBorders>
                    <w:tl2br w:val="nil"/>
                    <w:tr2bl w:val="nil"/>
                  </w:tcBorders>
                  <w:vAlign w:val="center"/>
                </w:tcPr>
                <w:p w14:paraId="4812B6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kern w:val="0"/>
                      <w:vertAlign w:val="baseline"/>
                      <w:lang w:val="en-US" w:eastAsia="zh-CN"/>
                    </w:rPr>
                  </w:pPr>
                  <w:r>
                    <w:rPr>
                      <w:rFonts w:hint="eastAsia" w:cs="Times New Roman"/>
                      <w:b w:val="0"/>
                      <w:bCs/>
                      <w:color w:val="FF0000"/>
                      <w:kern w:val="0"/>
                      <w:vertAlign w:val="baseline"/>
                      <w:lang w:val="en-US" w:eastAsia="zh-CN"/>
                    </w:rPr>
                    <w:t>600</w:t>
                  </w:r>
                </w:p>
              </w:tc>
            </w:tr>
            <w:tr w14:paraId="7AD992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0431A1B4">
                  <w:pPr>
                    <w:adjustRightInd w:val="0"/>
                    <w:snapToGrid w:val="0"/>
                    <w:jc w:val="center"/>
                    <w:rPr>
                      <w:rFonts w:hint="default" w:ascii="Times New Roman" w:hAnsi="Times New Roman" w:cs="Times New Roman"/>
                      <w:b w:val="0"/>
                      <w:bCs/>
                      <w:color w:val="FF0000"/>
                      <w:kern w:val="0"/>
                      <w:vertAlign w:val="baseline"/>
                      <w:lang w:val="en-US" w:eastAsia="zh-CN"/>
                    </w:rPr>
                  </w:pPr>
                  <w:r>
                    <w:rPr>
                      <w:color w:val="auto"/>
                      <w:kern w:val="0"/>
                    </w:rPr>
                    <w:t>6</w:t>
                  </w:r>
                </w:p>
              </w:tc>
              <w:tc>
                <w:tcPr>
                  <w:tcW w:w="2776" w:type="pct"/>
                  <w:tcBorders>
                    <w:tl2br w:val="nil"/>
                    <w:tr2bl w:val="nil"/>
                  </w:tcBorders>
                  <w:vAlign w:val="center"/>
                </w:tcPr>
                <w:p w14:paraId="5F21B6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FF0000"/>
                      <w:kern w:val="0"/>
                      <w:vertAlign w:val="baseline"/>
                      <w:lang w:val="en-US" w:eastAsia="zh-CN"/>
                    </w:rPr>
                  </w:pPr>
                  <w:r>
                    <w:rPr>
                      <w:rFonts w:hint="eastAsia" w:cs="Times New Roman"/>
                      <w:b w:val="0"/>
                      <w:bCs/>
                      <w:color w:val="FF0000"/>
                      <w:kern w:val="0"/>
                      <w:vertAlign w:val="baseline"/>
                      <w:lang w:val="en-US" w:eastAsia="zh-CN"/>
                    </w:rPr>
                    <w:t>填充量（m</w:t>
                  </w:r>
                  <w:r>
                    <w:rPr>
                      <w:rFonts w:hint="eastAsia" w:cs="Times New Roman"/>
                      <w:b w:val="0"/>
                      <w:bCs/>
                      <w:color w:val="FF0000"/>
                      <w:kern w:val="0"/>
                      <w:vertAlign w:val="superscript"/>
                      <w:lang w:val="en-US" w:eastAsia="zh-CN"/>
                    </w:rPr>
                    <w:t>3</w:t>
                  </w:r>
                  <w:r>
                    <w:rPr>
                      <w:rFonts w:hint="eastAsia" w:cs="Times New Roman"/>
                      <w:b w:val="0"/>
                      <w:bCs/>
                      <w:color w:val="FF0000"/>
                      <w:kern w:val="0"/>
                      <w:vertAlign w:val="baseline"/>
                      <w:lang w:val="en-US" w:eastAsia="zh-CN"/>
                    </w:rPr>
                    <w:t>/次）</w:t>
                  </w:r>
                </w:p>
              </w:tc>
              <w:tc>
                <w:tcPr>
                  <w:tcW w:w="2969" w:type="dxa"/>
                  <w:tcBorders>
                    <w:tl2br w:val="nil"/>
                    <w:tr2bl w:val="nil"/>
                  </w:tcBorders>
                  <w:vAlign w:val="center"/>
                </w:tcPr>
                <w:p w14:paraId="3AC297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kern w:val="0"/>
                      <w:vertAlign w:val="baseline"/>
                      <w:lang w:val="en-US" w:eastAsia="zh-CN"/>
                    </w:rPr>
                  </w:pPr>
                  <w:r>
                    <w:rPr>
                      <w:rFonts w:hint="eastAsia" w:cs="Times New Roman"/>
                      <w:b w:val="0"/>
                      <w:bCs/>
                      <w:color w:val="FF0000"/>
                      <w:kern w:val="0"/>
                      <w:vertAlign w:val="baseline"/>
                      <w:lang w:val="en-US" w:eastAsia="zh-CN"/>
                    </w:rPr>
                    <w:t>2.5</w:t>
                  </w:r>
                </w:p>
              </w:tc>
            </w:tr>
            <w:tr w14:paraId="218CE01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35B25FC9">
                  <w:pPr>
                    <w:adjustRightInd w:val="0"/>
                    <w:snapToGrid w:val="0"/>
                    <w:jc w:val="center"/>
                    <w:rPr>
                      <w:rFonts w:hint="default" w:ascii="Times New Roman" w:hAnsi="Times New Roman" w:cs="Times New Roman"/>
                      <w:b w:val="0"/>
                      <w:bCs/>
                      <w:color w:val="FF0000"/>
                      <w:kern w:val="0"/>
                      <w:vertAlign w:val="baseline"/>
                      <w:lang w:val="en-US" w:eastAsia="zh-CN"/>
                    </w:rPr>
                  </w:pPr>
                  <w:r>
                    <w:rPr>
                      <w:color w:val="auto"/>
                      <w:kern w:val="0"/>
                    </w:rPr>
                    <w:t>7</w:t>
                  </w:r>
                </w:p>
              </w:tc>
              <w:tc>
                <w:tcPr>
                  <w:tcW w:w="2776" w:type="pct"/>
                  <w:tcBorders>
                    <w:tl2br w:val="nil"/>
                    <w:tr2bl w:val="nil"/>
                  </w:tcBorders>
                  <w:vAlign w:val="center"/>
                </w:tcPr>
                <w:p w14:paraId="4DAEF4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FF0000"/>
                      <w:kern w:val="0"/>
                      <w:vertAlign w:val="baseline"/>
                      <w:lang w:val="en-US" w:eastAsia="zh-CN"/>
                    </w:rPr>
                  </w:pPr>
                  <w:r>
                    <w:rPr>
                      <w:rFonts w:hint="eastAsia" w:cs="Times New Roman"/>
                      <w:b w:val="0"/>
                      <w:bCs/>
                      <w:color w:val="FF0000"/>
                      <w:kern w:val="0"/>
                      <w:vertAlign w:val="baseline"/>
                      <w:lang w:val="en-US" w:eastAsia="zh-CN"/>
                    </w:rPr>
                    <w:t>装置结构</w:t>
                  </w:r>
                </w:p>
              </w:tc>
              <w:tc>
                <w:tcPr>
                  <w:tcW w:w="2969" w:type="dxa"/>
                  <w:tcBorders>
                    <w:tl2br w:val="nil"/>
                    <w:tr2bl w:val="nil"/>
                  </w:tcBorders>
                  <w:vAlign w:val="center"/>
                </w:tcPr>
                <w:p w14:paraId="6D1CB0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kern w:val="0"/>
                      <w:vertAlign w:val="baseline"/>
                      <w:lang w:val="en-US" w:eastAsia="zh-CN"/>
                    </w:rPr>
                  </w:pPr>
                  <w:r>
                    <w:rPr>
                      <w:rFonts w:hint="eastAsia" w:cs="Times New Roman"/>
                      <w:b w:val="0"/>
                      <w:bCs/>
                      <w:color w:val="FF0000"/>
                      <w:kern w:val="0"/>
                      <w:vertAlign w:val="baseline"/>
                      <w:lang w:val="en-US" w:eastAsia="zh-CN"/>
                    </w:rPr>
                    <w:t>H型</w:t>
                  </w:r>
                </w:p>
              </w:tc>
            </w:tr>
            <w:tr w14:paraId="5CCC5F7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254BB779">
                  <w:pPr>
                    <w:adjustRightInd w:val="0"/>
                    <w:snapToGrid w:val="0"/>
                    <w:jc w:val="center"/>
                    <w:rPr>
                      <w:rFonts w:hint="default" w:ascii="Times New Roman" w:hAnsi="Times New Roman" w:cs="Times New Roman"/>
                      <w:b w:val="0"/>
                      <w:bCs/>
                      <w:color w:val="FF0000"/>
                      <w:kern w:val="0"/>
                      <w:vertAlign w:val="baseline"/>
                      <w:lang w:val="en-US" w:eastAsia="zh-CN"/>
                    </w:rPr>
                  </w:pPr>
                  <w:r>
                    <w:rPr>
                      <w:color w:val="auto"/>
                      <w:kern w:val="0"/>
                    </w:rPr>
                    <w:t>8</w:t>
                  </w:r>
                </w:p>
              </w:tc>
              <w:tc>
                <w:tcPr>
                  <w:tcW w:w="2776" w:type="pct"/>
                  <w:tcBorders>
                    <w:tl2br w:val="nil"/>
                    <w:tr2bl w:val="nil"/>
                  </w:tcBorders>
                  <w:vAlign w:val="center"/>
                </w:tcPr>
                <w:p w14:paraId="67A674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FF0000"/>
                      <w:kern w:val="0"/>
                      <w:vertAlign w:val="baseline"/>
                      <w:lang w:val="en-US" w:eastAsia="zh-CN"/>
                    </w:rPr>
                  </w:pPr>
                  <w:r>
                    <w:rPr>
                      <w:rFonts w:hint="eastAsia" w:cs="Times New Roman"/>
                      <w:b w:val="0"/>
                      <w:bCs/>
                      <w:color w:val="FF0000"/>
                      <w:kern w:val="0"/>
                      <w:vertAlign w:val="baseline"/>
                      <w:lang w:val="en-US" w:eastAsia="zh-CN"/>
                    </w:rPr>
                    <w:t>数量</w:t>
                  </w:r>
                </w:p>
              </w:tc>
              <w:tc>
                <w:tcPr>
                  <w:tcW w:w="2969" w:type="dxa"/>
                  <w:tcBorders>
                    <w:tl2br w:val="nil"/>
                    <w:tr2bl w:val="nil"/>
                  </w:tcBorders>
                  <w:vAlign w:val="center"/>
                </w:tcPr>
                <w:p w14:paraId="77E71C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FF0000"/>
                      <w:kern w:val="0"/>
                      <w:vertAlign w:val="baseline"/>
                      <w:lang w:val="en-US" w:eastAsia="zh-CN"/>
                    </w:rPr>
                  </w:pPr>
                  <w:r>
                    <w:rPr>
                      <w:rFonts w:hint="eastAsia" w:cs="Times New Roman"/>
                      <w:b w:val="0"/>
                      <w:bCs/>
                      <w:color w:val="FF0000"/>
                      <w:kern w:val="0"/>
                      <w:vertAlign w:val="baseline"/>
                      <w:lang w:val="en-US" w:eastAsia="zh-CN"/>
                    </w:rPr>
                    <w:t>2</w:t>
                  </w:r>
                </w:p>
              </w:tc>
            </w:tr>
            <w:tr w14:paraId="0732B7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7E56CA6B">
                  <w:pPr>
                    <w:adjustRightInd w:val="0"/>
                    <w:snapToGrid w:val="0"/>
                    <w:jc w:val="center"/>
                    <w:rPr>
                      <w:rFonts w:hint="eastAsia" w:eastAsia="宋体"/>
                      <w:color w:val="auto"/>
                      <w:kern w:val="0"/>
                      <w:lang w:val="en-US" w:eastAsia="zh-CN"/>
                    </w:rPr>
                  </w:pPr>
                  <w:r>
                    <w:rPr>
                      <w:rFonts w:hint="eastAsia"/>
                      <w:color w:val="auto"/>
                      <w:kern w:val="0"/>
                      <w:lang w:val="en-US" w:eastAsia="zh-CN"/>
                    </w:rPr>
                    <w:t>9</w:t>
                  </w:r>
                </w:p>
              </w:tc>
              <w:tc>
                <w:tcPr>
                  <w:tcW w:w="2776" w:type="pct"/>
                  <w:tcBorders>
                    <w:tl2br w:val="nil"/>
                    <w:tr2bl w:val="nil"/>
                  </w:tcBorders>
                  <w:vAlign w:val="center"/>
                </w:tcPr>
                <w:p w14:paraId="13B0CE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FF0000"/>
                      <w:kern w:val="0"/>
                      <w:vertAlign w:val="baseline"/>
                      <w:lang w:val="en-US" w:eastAsia="zh-CN"/>
                    </w:rPr>
                  </w:pPr>
                  <w:r>
                    <w:rPr>
                      <w:rFonts w:hint="eastAsia" w:cs="Times New Roman"/>
                      <w:b w:val="0"/>
                      <w:bCs/>
                      <w:color w:val="FF0000"/>
                      <w:kern w:val="0"/>
                      <w:vertAlign w:val="baseline"/>
                      <w:lang w:val="en-US" w:eastAsia="zh-CN"/>
                    </w:rPr>
                    <w:t>过滤风速（m/s）</w:t>
                  </w:r>
                </w:p>
              </w:tc>
              <w:tc>
                <w:tcPr>
                  <w:tcW w:w="2969" w:type="dxa"/>
                  <w:tcBorders>
                    <w:tl2br w:val="nil"/>
                    <w:tr2bl w:val="nil"/>
                  </w:tcBorders>
                  <w:vAlign w:val="center"/>
                </w:tcPr>
                <w:p w14:paraId="25C51A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FF0000"/>
                      <w:kern w:val="0"/>
                      <w:vertAlign w:val="baseline"/>
                      <w:lang w:val="en-US" w:eastAsia="zh-CN"/>
                    </w:rPr>
                  </w:pPr>
                  <w:r>
                    <w:rPr>
                      <w:rFonts w:hint="eastAsia" w:cs="Times New Roman"/>
                      <w:b w:val="0"/>
                      <w:bCs/>
                      <w:color w:val="FF0000"/>
                      <w:kern w:val="0"/>
                      <w:vertAlign w:val="baseline"/>
                      <w:lang w:val="en-US" w:eastAsia="zh-CN"/>
                    </w:rPr>
                    <w:t>1.04</w:t>
                  </w:r>
                </w:p>
              </w:tc>
            </w:tr>
          </w:tbl>
          <w:p w14:paraId="48F8CB76">
            <w:pPr>
              <w:adjustRightInd w:val="0"/>
              <w:snapToGrid w:val="0"/>
              <w:spacing w:line="360" w:lineRule="auto"/>
              <w:ind w:firstLine="420" w:firstLineChars="200"/>
              <w:rPr>
                <w:bCs/>
                <w:color w:val="FF0000"/>
                <w:kern w:val="0"/>
              </w:rPr>
            </w:pPr>
            <w:r>
              <w:rPr>
                <w:bCs/>
                <w:color w:val="FF0000"/>
                <w:kern w:val="0"/>
              </w:rPr>
              <w:t>根据《材料研究与应用》2010年12月第4卷第4期，余倩等人《活性炭吸附技术对VOCs净化处理的研究进展》一文，采用吸附法能够使VOCs的去除率高达90-95%，本项目非甲烷总烃去除率保守估计取</w:t>
            </w:r>
            <w:r>
              <w:rPr>
                <w:rFonts w:hint="eastAsia"/>
                <w:bCs/>
                <w:color w:val="FF0000"/>
                <w:kern w:val="0"/>
              </w:rPr>
              <w:t>90</w:t>
            </w:r>
            <w:r>
              <w:rPr>
                <w:bCs/>
                <w:color w:val="FF0000"/>
                <w:kern w:val="0"/>
              </w:rPr>
              <w:t>%。根据</w:t>
            </w:r>
            <w:r>
              <w:rPr>
                <w:color w:val="FF0000"/>
                <w:kern w:val="0"/>
              </w:rPr>
              <w:t>《省生态环境厅关于深入开展涉VOCs治理重点工作核查的通知》（苏环办【2022】218号）相关要求，采用蜂窝活性炭时，气体流速宜低于1.20m/s</w:t>
            </w:r>
            <w:r>
              <w:rPr>
                <w:rFonts w:hint="eastAsia"/>
                <w:color w:val="FF0000"/>
                <w:kern w:val="0"/>
              </w:rPr>
              <w:t>，</w:t>
            </w:r>
            <w:r>
              <w:rPr>
                <w:color w:val="FF0000"/>
                <w:kern w:val="0"/>
                <w:shd w:val="clear" w:color="auto" w:fill="FFFFFF"/>
              </w:rPr>
              <w:t>蜂窝活性炭碘吸附值≥650mg/g，活性炭更换周期一般不应超过累计运行500小时或3个月，进入吸附设备的废气温度应低于40℃，</w:t>
            </w:r>
            <w:r>
              <w:rPr>
                <w:color w:val="FF0000"/>
                <w:kern w:val="0"/>
              </w:rPr>
              <w:t>本项目设计活性炭过滤风速为</w:t>
            </w:r>
            <w:r>
              <w:rPr>
                <w:rFonts w:hint="eastAsia"/>
                <w:color w:val="FF0000"/>
                <w:kern w:val="0"/>
              </w:rPr>
              <w:t>1.04</w:t>
            </w:r>
            <w:r>
              <w:rPr>
                <w:color w:val="FF0000"/>
                <w:kern w:val="0"/>
              </w:rPr>
              <w:t>m/s，</w:t>
            </w:r>
            <w:r>
              <w:rPr>
                <w:color w:val="FF0000"/>
                <w:kern w:val="0"/>
                <w:shd w:val="clear" w:color="auto" w:fill="FFFFFF"/>
              </w:rPr>
              <w:t>碘吸附值为</w:t>
            </w:r>
            <w:r>
              <w:rPr>
                <w:rFonts w:hint="eastAsia"/>
                <w:color w:val="FF0000"/>
                <w:kern w:val="0"/>
                <w:shd w:val="clear" w:color="auto" w:fill="FFFFFF"/>
                <w:lang w:val="en-US" w:eastAsia="zh-CN"/>
              </w:rPr>
              <w:t>800</w:t>
            </w:r>
            <w:r>
              <w:rPr>
                <w:color w:val="FF0000"/>
                <w:kern w:val="0"/>
                <w:shd w:val="clear" w:color="auto" w:fill="FFFFFF"/>
              </w:rPr>
              <w:t>mg/g，项目有机废气产生温度较低，经过风机管道等</w:t>
            </w:r>
            <w:r>
              <w:rPr>
                <w:rFonts w:hint="eastAsia"/>
                <w:color w:val="FF0000"/>
                <w:kern w:val="0"/>
                <w:shd w:val="clear" w:color="auto" w:fill="FFFFFF"/>
              </w:rPr>
              <w:t>冷却后</w:t>
            </w:r>
            <w:r>
              <w:rPr>
                <w:color w:val="FF0000"/>
                <w:kern w:val="0"/>
                <w:shd w:val="clear" w:color="auto" w:fill="FFFFFF"/>
              </w:rPr>
              <w:t>，进入活性炭箱的温度低于40℃，因此本项目有机废气经过二级活性炭处理</w:t>
            </w:r>
            <w:r>
              <w:rPr>
                <w:color w:val="FF0000"/>
                <w:kern w:val="0"/>
              </w:rPr>
              <w:t>满足要求。</w:t>
            </w:r>
          </w:p>
          <w:p w14:paraId="3A84FDF5">
            <w:pPr>
              <w:adjustRightInd w:val="0"/>
              <w:snapToGrid w:val="0"/>
              <w:spacing w:line="360" w:lineRule="auto"/>
              <w:ind w:firstLine="422" w:firstLineChars="200"/>
              <w:rPr>
                <w:b/>
                <w:color w:val="auto"/>
                <w:kern w:val="0"/>
              </w:rPr>
            </w:pPr>
            <w:r>
              <w:rPr>
                <w:rFonts w:hint="eastAsia"/>
                <w:b/>
                <w:color w:val="auto"/>
                <w:kern w:val="0"/>
              </w:rPr>
              <w:t>2）</w:t>
            </w:r>
            <w:r>
              <w:rPr>
                <w:b/>
                <w:color w:val="auto"/>
                <w:kern w:val="0"/>
              </w:rPr>
              <w:t>收集可行性分析</w:t>
            </w:r>
          </w:p>
          <w:p w14:paraId="3A84FDF6">
            <w:pPr>
              <w:adjustRightInd w:val="0"/>
              <w:snapToGrid w:val="0"/>
              <w:spacing w:line="360" w:lineRule="auto"/>
              <w:ind w:firstLine="420" w:firstLineChars="200"/>
              <w:rPr>
                <w:bCs/>
                <w:color w:val="auto"/>
                <w:kern w:val="0"/>
              </w:rPr>
            </w:pPr>
            <w:r>
              <w:rPr>
                <w:rFonts w:hint="eastAsia"/>
                <w:bCs/>
                <w:color w:val="auto"/>
                <w:kern w:val="0"/>
              </w:rPr>
              <w:t>项目</w:t>
            </w:r>
            <w:r>
              <w:rPr>
                <w:rFonts w:hint="eastAsia"/>
                <w:bCs/>
                <w:color w:val="auto"/>
                <w:kern w:val="0"/>
                <w:lang w:val="en-US" w:eastAsia="zh-CN"/>
              </w:rPr>
              <w:t>焚烧产生的有机废气、颗粒物、二噁英等</w:t>
            </w:r>
            <w:r>
              <w:rPr>
                <w:rFonts w:hint="eastAsia"/>
                <w:bCs/>
                <w:color w:val="auto"/>
                <w:kern w:val="0"/>
              </w:rPr>
              <w:t>废气经</w:t>
            </w:r>
            <w:r>
              <w:rPr>
                <w:rFonts w:hint="eastAsia"/>
                <w:bCs/>
                <w:color w:val="auto"/>
                <w:kern w:val="0"/>
                <w:lang w:val="en-US" w:eastAsia="zh-CN"/>
              </w:rPr>
              <w:t>管道密闭</w:t>
            </w:r>
            <w:r>
              <w:rPr>
                <w:rFonts w:hint="eastAsia"/>
                <w:bCs/>
                <w:color w:val="auto"/>
                <w:kern w:val="0"/>
              </w:rPr>
              <w:t>收集，可将各产污节点的废气收集</w:t>
            </w:r>
            <w:r>
              <w:rPr>
                <w:bCs/>
                <w:color w:val="auto"/>
                <w:kern w:val="0"/>
              </w:rPr>
              <w:t>。</w:t>
            </w:r>
          </w:p>
          <w:p w14:paraId="3A84FDF7">
            <w:pPr>
              <w:adjustRightInd w:val="0"/>
              <w:snapToGrid w:val="0"/>
              <w:spacing w:line="360" w:lineRule="auto"/>
              <w:ind w:firstLine="422" w:firstLineChars="200"/>
              <w:rPr>
                <w:b/>
                <w:bCs/>
                <w:color w:val="auto"/>
                <w:kern w:val="0"/>
              </w:rPr>
            </w:pPr>
            <w:r>
              <w:rPr>
                <w:rFonts w:hint="eastAsia"/>
                <w:b/>
                <w:bCs/>
                <w:color w:val="auto"/>
                <w:kern w:val="0"/>
              </w:rPr>
              <w:t>3）</w:t>
            </w:r>
            <w:r>
              <w:rPr>
                <w:b/>
                <w:bCs/>
                <w:color w:val="auto"/>
                <w:kern w:val="0"/>
              </w:rPr>
              <w:t>废气处理设施技术可行性分析</w:t>
            </w:r>
          </w:p>
          <w:p w14:paraId="3A84FDF8">
            <w:pPr>
              <w:autoSpaceDE w:val="0"/>
              <w:autoSpaceDN w:val="0"/>
              <w:adjustRightInd w:val="0"/>
              <w:snapToGrid w:val="0"/>
              <w:spacing w:line="360" w:lineRule="auto"/>
              <w:ind w:firstLine="420" w:firstLineChars="200"/>
              <w:rPr>
                <w:bCs/>
                <w:color w:val="auto"/>
                <w:kern w:val="0"/>
              </w:rPr>
            </w:pPr>
            <w:r>
              <w:rPr>
                <w:bCs/>
                <w:color w:val="auto"/>
              </w:rPr>
              <w:t>参考</w:t>
            </w:r>
            <w:r>
              <w:rPr>
                <w:rFonts w:hint="eastAsia"/>
                <w:bCs/>
                <w:color w:val="auto"/>
              </w:rPr>
              <w:t>《排污许可证申请与核发技术规范 总则》</w:t>
            </w:r>
            <w:r>
              <w:rPr>
                <w:bCs/>
                <w:color w:val="auto"/>
              </w:rPr>
              <w:t>（HJ</w:t>
            </w:r>
            <w:r>
              <w:rPr>
                <w:rFonts w:hint="eastAsia"/>
                <w:bCs/>
                <w:color w:val="auto"/>
              </w:rPr>
              <w:t xml:space="preserve"> 942-2018</w:t>
            </w:r>
            <w:r>
              <w:rPr>
                <w:bCs/>
                <w:color w:val="auto"/>
              </w:rPr>
              <w:t>）</w:t>
            </w:r>
            <w:r>
              <w:rPr>
                <w:rFonts w:hint="eastAsia"/>
                <w:bCs/>
                <w:color w:val="auto"/>
              </w:rPr>
              <w:t>，有机废气收集治理系统（吸附）为可行技术</w:t>
            </w:r>
            <w:r>
              <w:rPr>
                <w:rFonts w:hint="eastAsia"/>
                <w:bCs/>
                <w:color w:val="auto"/>
                <w:lang w:eastAsia="zh-CN"/>
              </w:rPr>
              <w:t>；</w:t>
            </w:r>
            <w:r>
              <w:rPr>
                <w:rFonts w:hint="eastAsia"/>
                <w:bCs/>
                <w:color w:val="auto"/>
                <w:lang w:val="en-US" w:eastAsia="zh-CN"/>
              </w:rPr>
              <w:t>参考《排污许可证申请与核发技术规范 危险废物焚烧》（HJ 1038-2019）表A.1 有组织废气污染防治可行技术参考表，焚烧废气采用“SNCR脱硝+急冷除盐+干粉吸收+布袋除尘+臭氧氧化+碱喷淋吸收”为可行技术</w:t>
            </w:r>
            <w:r>
              <w:rPr>
                <w:rFonts w:hint="eastAsia"/>
                <w:bCs/>
                <w:color w:val="auto"/>
              </w:rPr>
              <w:t>。</w:t>
            </w:r>
          </w:p>
          <w:p w14:paraId="3A84FDF9">
            <w:pPr>
              <w:pStyle w:val="5"/>
              <w:adjustRightInd w:val="0"/>
              <w:snapToGrid w:val="0"/>
              <w:spacing w:line="360" w:lineRule="auto"/>
              <w:ind w:firstLine="422" w:firstLineChars="200"/>
              <w:rPr>
                <w:b/>
                <w:bCs/>
                <w:color w:val="auto"/>
                <w:kern w:val="0"/>
                <w:szCs w:val="21"/>
              </w:rPr>
            </w:pPr>
            <w:r>
              <w:rPr>
                <w:rFonts w:hint="eastAsia"/>
                <w:b/>
                <w:bCs/>
                <w:color w:val="auto"/>
                <w:kern w:val="0"/>
                <w:szCs w:val="21"/>
              </w:rPr>
              <w:t>③</w:t>
            </w:r>
            <w:r>
              <w:rPr>
                <w:b/>
                <w:bCs/>
                <w:color w:val="auto"/>
                <w:kern w:val="0"/>
                <w:szCs w:val="21"/>
              </w:rPr>
              <w:t>排气筒设置合理性分析</w:t>
            </w:r>
          </w:p>
          <w:p w14:paraId="3A84FDFA">
            <w:pPr>
              <w:autoSpaceDE w:val="0"/>
              <w:autoSpaceDN w:val="0"/>
              <w:adjustRightInd w:val="0"/>
              <w:snapToGrid w:val="0"/>
              <w:spacing w:line="360" w:lineRule="auto"/>
              <w:ind w:firstLine="420" w:firstLineChars="200"/>
              <w:rPr>
                <w:bCs/>
                <w:color w:val="auto"/>
                <w:kern w:val="0"/>
                <w:lang w:val="zh-CN"/>
              </w:rPr>
            </w:pPr>
            <w:r>
              <w:rPr>
                <w:bCs/>
                <w:color w:val="auto"/>
                <w:kern w:val="0"/>
                <w:lang w:val="zh-CN"/>
              </w:rPr>
              <w:t>现从车间生产线布局和大气环境影响角度进行排气筒布置、排气筒高度确定及合理性论证，排气筒设置合理性分析如下：</w:t>
            </w:r>
          </w:p>
          <w:p w14:paraId="3A84FDFB">
            <w:pPr>
              <w:autoSpaceDE w:val="0"/>
              <w:autoSpaceDN w:val="0"/>
              <w:adjustRightInd w:val="0"/>
              <w:snapToGrid w:val="0"/>
              <w:spacing w:line="360" w:lineRule="auto"/>
              <w:ind w:firstLine="422" w:firstLineChars="200"/>
              <w:rPr>
                <w:b/>
                <w:color w:val="auto"/>
                <w:kern w:val="0"/>
                <w:lang w:val="zh-CN"/>
              </w:rPr>
            </w:pPr>
            <w:r>
              <w:rPr>
                <w:rFonts w:hint="eastAsia"/>
                <w:b/>
                <w:color w:val="auto"/>
                <w:kern w:val="0"/>
              </w:rPr>
              <w:t>1）</w:t>
            </w:r>
            <w:r>
              <w:rPr>
                <w:b/>
                <w:color w:val="auto"/>
                <w:kern w:val="0"/>
                <w:lang w:val="zh-CN"/>
              </w:rPr>
              <w:t>排气筒高度规定</w:t>
            </w:r>
          </w:p>
          <w:p w14:paraId="3A84FDFC">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bCs/>
                <w:color w:val="auto"/>
                <w:kern w:val="0"/>
                <w:lang w:val="zh-CN"/>
              </w:rPr>
            </w:pPr>
            <w:r>
              <w:rPr>
                <w:bCs/>
                <w:color w:val="auto"/>
                <w:kern w:val="0"/>
                <w:lang w:val="zh-CN"/>
              </w:rPr>
              <w:t>根据</w:t>
            </w:r>
            <w:r>
              <w:rPr>
                <w:rFonts w:hint="eastAsia"/>
                <w:bCs/>
                <w:color w:val="auto"/>
                <w:kern w:val="0"/>
              </w:rPr>
              <w:t>《危险废物焚烧污染控制标准》（GB</w:t>
            </w:r>
            <w:r>
              <w:rPr>
                <w:rFonts w:hint="eastAsia"/>
                <w:bCs/>
                <w:color w:val="auto"/>
                <w:kern w:val="0"/>
                <w:lang w:val="en-US" w:eastAsia="zh-CN"/>
              </w:rPr>
              <w:t xml:space="preserve"> 18484-2020</w:t>
            </w:r>
            <w:r>
              <w:rPr>
                <w:rFonts w:hint="eastAsia"/>
                <w:bCs/>
                <w:color w:val="auto"/>
                <w:kern w:val="0"/>
              </w:rPr>
              <w:t>）</w:t>
            </w:r>
            <w:r>
              <w:rPr>
                <w:rFonts w:hint="eastAsia"/>
                <w:bCs/>
                <w:color w:val="auto"/>
                <w:kern w:val="0"/>
                <w:lang w:val="en-US" w:eastAsia="zh-CN"/>
              </w:rPr>
              <w:t>5.3.5.1</w:t>
            </w:r>
            <w:r>
              <w:rPr>
                <w:bCs/>
                <w:color w:val="auto"/>
                <w:kern w:val="0"/>
                <w:lang w:val="zh-CN"/>
              </w:rPr>
              <w:t>要求，</w:t>
            </w:r>
            <w:r>
              <w:rPr>
                <w:rFonts w:hint="eastAsia"/>
                <w:bCs/>
                <w:color w:val="auto"/>
                <w:kern w:val="0"/>
                <w:lang w:val="zh-CN"/>
              </w:rPr>
              <w:t>排气筒高度不得低于表2规定的高度，具体高度及设置应根据环境影响评价文件及其审批意见确定，并应按GB/T</w:t>
            </w:r>
            <w:r>
              <w:rPr>
                <w:rFonts w:hint="eastAsia"/>
                <w:bCs/>
                <w:color w:val="auto"/>
                <w:kern w:val="0"/>
                <w:lang w:val="en-US" w:eastAsia="zh-CN"/>
              </w:rPr>
              <w:t xml:space="preserve"> </w:t>
            </w:r>
            <w:r>
              <w:rPr>
                <w:rFonts w:hint="eastAsia"/>
                <w:bCs/>
                <w:color w:val="auto"/>
                <w:kern w:val="0"/>
                <w:lang w:val="zh-CN"/>
              </w:rPr>
              <w:t>16157设置永久性采样孔。</w:t>
            </w:r>
            <w:r>
              <w:rPr>
                <w:bCs/>
                <w:color w:val="auto"/>
                <w:kern w:val="0"/>
                <w:lang w:val="zh-CN"/>
              </w:rPr>
              <w:t>建设项目设置的</w:t>
            </w:r>
            <w:r>
              <w:rPr>
                <w:rFonts w:hint="eastAsia"/>
                <w:bCs/>
                <w:color w:val="auto"/>
                <w:kern w:val="0"/>
                <w:lang w:val="en-US" w:eastAsia="zh-CN"/>
              </w:rPr>
              <w:t>3#</w:t>
            </w:r>
            <w:r>
              <w:rPr>
                <w:bCs/>
                <w:color w:val="auto"/>
                <w:kern w:val="0"/>
                <w:lang w:val="zh-CN"/>
              </w:rPr>
              <w:t>排气筒</w:t>
            </w:r>
            <w:r>
              <w:rPr>
                <w:rFonts w:hint="eastAsia"/>
                <w:bCs/>
                <w:color w:val="auto"/>
                <w:kern w:val="0"/>
              </w:rPr>
              <w:t>高度为</w:t>
            </w:r>
            <w:r>
              <w:rPr>
                <w:rFonts w:hint="eastAsia"/>
                <w:bCs/>
                <w:color w:val="auto"/>
                <w:kern w:val="0"/>
                <w:lang w:val="en-US" w:eastAsia="zh-CN"/>
              </w:rPr>
              <w:t>25</w:t>
            </w:r>
            <w:r>
              <w:rPr>
                <w:rFonts w:hint="eastAsia"/>
                <w:bCs/>
                <w:color w:val="auto"/>
                <w:kern w:val="0"/>
              </w:rPr>
              <w:t>m</w:t>
            </w:r>
            <w:r>
              <w:rPr>
                <w:rFonts w:hint="eastAsia"/>
                <w:bCs/>
                <w:color w:val="auto"/>
                <w:kern w:val="0"/>
                <w:lang w:val="zh-CN"/>
              </w:rPr>
              <w:t>，</w:t>
            </w:r>
            <w:r>
              <w:rPr>
                <w:bCs/>
                <w:color w:val="auto"/>
                <w:kern w:val="0"/>
                <w:lang w:val="zh-CN"/>
              </w:rPr>
              <w:t>并设置了采样平台及采样孔。因此，项目排气筒高度设置是合理可行的。</w:t>
            </w:r>
          </w:p>
          <w:p w14:paraId="73F93BD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color w:val="auto"/>
                <w:kern w:val="0"/>
                <w:lang w:val="en-US" w:eastAsia="zh-CN"/>
              </w:rPr>
            </w:pPr>
            <w:r>
              <w:rPr>
                <w:rFonts w:hint="eastAsia"/>
                <w:b/>
                <w:color w:val="auto"/>
                <w:kern w:val="0"/>
                <w:lang w:val="en-US" w:eastAsia="zh-CN"/>
              </w:rPr>
              <w:t>表4-4   焚烧炉排气高度</w:t>
            </w:r>
          </w:p>
          <w:tbl>
            <w:tblPr>
              <w:tblStyle w:val="60"/>
              <w:tblW w:w="4999"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796"/>
              <w:gridCol w:w="4797"/>
            </w:tblGrid>
            <w:tr w14:paraId="68A9251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500" w:type="pct"/>
                  <w:tcBorders>
                    <w:tl2br w:val="nil"/>
                    <w:tr2bl w:val="nil"/>
                  </w:tcBorders>
                  <w:vAlign w:val="center"/>
                </w:tcPr>
                <w:p w14:paraId="0BC588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rPr>
                  </w:pPr>
                  <w:r>
                    <w:rPr>
                      <w:rFonts w:hint="default" w:ascii="Times New Roman" w:hAnsi="Times New Roman" w:cs="Times New Roman"/>
                      <w:b/>
                      <w:color w:val="auto"/>
                      <w:kern w:val="0"/>
                      <w:sz w:val="21"/>
                      <w:szCs w:val="21"/>
                      <w:vertAlign w:val="baseline"/>
                      <w:lang w:val="en-US" w:eastAsia="zh-CN"/>
                    </w:rPr>
                    <w:t>焚烧处理能力（kg/h）</w:t>
                  </w:r>
                </w:p>
              </w:tc>
              <w:tc>
                <w:tcPr>
                  <w:tcW w:w="2500" w:type="pct"/>
                  <w:tcBorders>
                    <w:tl2br w:val="nil"/>
                    <w:tr2bl w:val="nil"/>
                  </w:tcBorders>
                  <w:vAlign w:val="center"/>
                </w:tcPr>
                <w:p w14:paraId="71F9671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color w:val="auto"/>
                      <w:kern w:val="0"/>
                      <w:sz w:val="21"/>
                      <w:szCs w:val="21"/>
                      <w:vertAlign w:val="baseline"/>
                      <w:lang w:val="en-US" w:eastAsia="zh-CN"/>
                    </w:rPr>
                  </w:pPr>
                  <w:r>
                    <w:rPr>
                      <w:rFonts w:hint="default" w:ascii="Times New Roman" w:hAnsi="Times New Roman" w:cs="Times New Roman"/>
                      <w:b/>
                      <w:color w:val="auto"/>
                      <w:kern w:val="0"/>
                      <w:sz w:val="21"/>
                      <w:szCs w:val="21"/>
                      <w:vertAlign w:val="baseline"/>
                      <w:lang w:val="en-US" w:eastAsia="zh-CN"/>
                    </w:rPr>
                    <w:t>排气筒最低允许高度（m）</w:t>
                  </w:r>
                </w:p>
              </w:tc>
            </w:tr>
            <w:tr w14:paraId="1100A3A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500" w:type="pct"/>
                  <w:tcBorders>
                    <w:tl2br w:val="nil"/>
                    <w:tr2bl w:val="nil"/>
                  </w:tcBorders>
                  <w:shd w:val="clear" w:color="auto" w:fill="BEBEBE" w:themeFill="background1" w:themeFillShade="BF"/>
                  <w:vAlign w:val="center"/>
                </w:tcPr>
                <w:p w14:paraId="0DC0E7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≤300</w:t>
                  </w:r>
                </w:p>
              </w:tc>
              <w:tc>
                <w:tcPr>
                  <w:tcW w:w="2500" w:type="pct"/>
                  <w:tcBorders>
                    <w:tl2br w:val="nil"/>
                    <w:tr2bl w:val="nil"/>
                  </w:tcBorders>
                  <w:shd w:val="clear" w:color="auto" w:fill="BEBEBE" w:themeFill="background1" w:themeFillShade="BF"/>
                  <w:vAlign w:val="center"/>
                </w:tcPr>
                <w:p w14:paraId="12C1A8B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25</w:t>
                  </w:r>
                </w:p>
              </w:tc>
            </w:tr>
            <w:tr w14:paraId="276D2F4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500" w:type="pct"/>
                  <w:tcBorders>
                    <w:tl2br w:val="nil"/>
                    <w:tr2bl w:val="nil"/>
                  </w:tcBorders>
                  <w:vAlign w:val="center"/>
                </w:tcPr>
                <w:p w14:paraId="1DAE486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300~2000</w:t>
                  </w:r>
                </w:p>
              </w:tc>
              <w:tc>
                <w:tcPr>
                  <w:tcW w:w="2500" w:type="pct"/>
                  <w:tcBorders>
                    <w:tl2br w:val="nil"/>
                    <w:tr2bl w:val="nil"/>
                  </w:tcBorders>
                  <w:vAlign w:val="center"/>
                </w:tcPr>
                <w:p w14:paraId="3E4CBC9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35</w:t>
                  </w:r>
                </w:p>
              </w:tc>
            </w:tr>
            <w:tr w14:paraId="66A4970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500" w:type="pct"/>
                  <w:tcBorders>
                    <w:tl2br w:val="nil"/>
                    <w:tr2bl w:val="nil"/>
                  </w:tcBorders>
                  <w:vAlign w:val="center"/>
                </w:tcPr>
                <w:p w14:paraId="4E79034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2000~2500</w:t>
                  </w:r>
                </w:p>
              </w:tc>
              <w:tc>
                <w:tcPr>
                  <w:tcW w:w="2500" w:type="pct"/>
                  <w:tcBorders>
                    <w:tl2br w:val="nil"/>
                    <w:tr2bl w:val="nil"/>
                  </w:tcBorders>
                  <w:vAlign w:val="center"/>
                </w:tcPr>
                <w:p w14:paraId="6ADD15F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45</w:t>
                  </w:r>
                </w:p>
              </w:tc>
            </w:tr>
            <w:tr w14:paraId="4D0A5D1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500" w:type="pct"/>
                  <w:tcBorders>
                    <w:tl2br w:val="nil"/>
                    <w:tr2bl w:val="nil"/>
                  </w:tcBorders>
                  <w:vAlign w:val="center"/>
                </w:tcPr>
                <w:p w14:paraId="6531A62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≥2500</w:t>
                  </w:r>
                </w:p>
              </w:tc>
              <w:tc>
                <w:tcPr>
                  <w:tcW w:w="2500" w:type="pct"/>
                  <w:tcBorders>
                    <w:tl2br w:val="nil"/>
                    <w:tr2bl w:val="nil"/>
                  </w:tcBorders>
                  <w:vAlign w:val="center"/>
                </w:tcPr>
                <w:p w14:paraId="22B0C29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cs="Times New Roman"/>
                      <w:b w:val="0"/>
                      <w:bCs/>
                      <w:color w:val="auto"/>
                      <w:kern w:val="0"/>
                      <w:sz w:val="21"/>
                      <w:szCs w:val="21"/>
                      <w:vertAlign w:val="baseline"/>
                      <w:lang w:val="en-US" w:eastAsia="zh-CN"/>
                    </w:rPr>
                    <w:t>50</w:t>
                  </w:r>
                </w:p>
              </w:tc>
            </w:tr>
          </w:tbl>
          <w:p w14:paraId="3A84FDFD">
            <w:pPr>
              <w:autoSpaceDE w:val="0"/>
              <w:autoSpaceDN w:val="0"/>
              <w:adjustRightInd w:val="0"/>
              <w:snapToGrid w:val="0"/>
              <w:spacing w:line="360" w:lineRule="auto"/>
              <w:ind w:firstLine="422" w:firstLineChars="200"/>
              <w:rPr>
                <w:b/>
                <w:color w:val="auto"/>
                <w:kern w:val="0"/>
                <w:lang w:val="zh-CN"/>
              </w:rPr>
            </w:pPr>
            <w:r>
              <w:rPr>
                <w:rFonts w:hint="eastAsia"/>
                <w:b/>
                <w:color w:val="auto"/>
                <w:kern w:val="0"/>
              </w:rPr>
              <w:t>2）</w:t>
            </w:r>
            <w:r>
              <w:rPr>
                <w:b/>
                <w:color w:val="auto"/>
                <w:kern w:val="0"/>
                <w:lang w:val="zh-CN"/>
              </w:rPr>
              <w:t>排气筒数量可行性分析</w:t>
            </w:r>
          </w:p>
          <w:p w14:paraId="3A84FDFE">
            <w:pPr>
              <w:autoSpaceDE w:val="0"/>
              <w:autoSpaceDN w:val="0"/>
              <w:adjustRightInd w:val="0"/>
              <w:snapToGrid w:val="0"/>
              <w:spacing w:line="360" w:lineRule="auto"/>
              <w:ind w:firstLine="420" w:firstLineChars="200"/>
              <w:rPr>
                <w:bCs/>
                <w:color w:val="auto"/>
                <w:kern w:val="0"/>
                <w:lang w:val="zh-CN"/>
              </w:rPr>
            </w:pPr>
            <w:r>
              <w:rPr>
                <w:bCs/>
                <w:color w:val="auto"/>
                <w:kern w:val="0"/>
              </w:rPr>
              <w:t>建设单位在设计过程中综合考虑工艺要求、废气风量、对周围环境的影响等前提下，合理设置排气筒的数量，减少对周边环境的影响。</w:t>
            </w:r>
            <w:r>
              <w:rPr>
                <w:rFonts w:hint="eastAsia"/>
                <w:bCs/>
                <w:color w:val="auto"/>
                <w:kern w:val="0"/>
                <w:lang w:val="en-US" w:eastAsia="zh-CN"/>
              </w:rPr>
              <w:t>焚烧</w:t>
            </w:r>
            <w:r>
              <w:rPr>
                <w:bCs/>
                <w:color w:val="auto"/>
                <w:kern w:val="0"/>
              </w:rPr>
              <w:t>含有相同的废气污染物（非甲烷总烃</w:t>
            </w:r>
            <w:r>
              <w:rPr>
                <w:rFonts w:hint="eastAsia"/>
                <w:bCs/>
                <w:color w:val="auto"/>
                <w:kern w:val="0"/>
                <w:lang w:eastAsia="zh-CN"/>
              </w:rPr>
              <w:t>、</w:t>
            </w:r>
            <w:r>
              <w:rPr>
                <w:rFonts w:hint="eastAsia"/>
                <w:bCs/>
                <w:color w:val="auto"/>
                <w:kern w:val="0"/>
                <w:lang w:val="en-US" w:eastAsia="zh-CN"/>
              </w:rPr>
              <w:t>颗粒物、二噁英等</w:t>
            </w:r>
            <w:r>
              <w:rPr>
                <w:bCs/>
                <w:color w:val="auto"/>
                <w:kern w:val="0"/>
              </w:rPr>
              <w:t>），通过生产车间合理布局，遵循同类排气筒合并的原则，尽量减少排气筒设置。</w:t>
            </w:r>
            <w:r>
              <w:rPr>
                <w:rFonts w:hint="eastAsia"/>
                <w:bCs/>
                <w:color w:val="auto"/>
                <w:kern w:val="0"/>
              </w:rPr>
              <w:t>因此本项目</w:t>
            </w:r>
            <w:r>
              <w:rPr>
                <w:rFonts w:hint="eastAsia"/>
                <w:bCs/>
                <w:color w:val="auto"/>
                <w:kern w:val="0"/>
                <w:lang w:val="en-US" w:eastAsia="zh-CN"/>
              </w:rPr>
              <w:t>废气依托现有1</w:t>
            </w:r>
            <w:r>
              <w:rPr>
                <w:rFonts w:hint="eastAsia"/>
                <w:bCs/>
                <w:color w:val="auto"/>
                <w:kern w:val="0"/>
              </w:rPr>
              <w:t>根排气筒</w:t>
            </w:r>
            <w:r>
              <w:rPr>
                <w:rFonts w:hint="eastAsia"/>
                <w:bCs/>
                <w:color w:val="auto"/>
                <w:kern w:val="0"/>
                <w:lang w:val="en-US" w:eastAsia="zh-CN"/>
              </w:rPr>
              <w:t>3#排放</w:t>
            </w:r>
            <w:r>
              <w:rPr>
                <w:rFonts w:hint="eastAsia"/>
                <w:bCs/>
                <w:color w:val="auto"/>
                <w:kern w:val="0"/>
              </w:rPr>
              <w:t>。根据排气筒设计参数可知，项目废气收集风机风量为</w:t>
            </w:r>
            <w:r>
              <w:rPr>
                <w:rFonts w:hint="eastAsia"/>
                <w:bCs/>
                <w:color w:val="auto"/>
                <w:kern w:val="0"/>
                <w:lang w:val="en-US" w:eastAsia="zh-CN"/>
              </w:rPr>
              <w:t>6500</w:t>
            </w:r>
            <w:r>
              <w:rPr>
                <w:rFonts w:hint="eastAsia"/>
                <w:bCs/>
                <w:color w:val="auto"/>
                <w:kern w:val="0"/>
              </w:rPr>
              <w:t>m</w:t>
            </w:r>
            <w:r>
              <w:rPr>
                <w:rFonts w:hint="eastAsia"/>
                <w:bCs/>
                <w:color w:val="auto"/>
                <w:kern w:val="0"/>
                <w:vertAlign w:val="superscript"/>
              </w:rPr>
              <w:t>3</w:t>
            </w:r>
            <w:r>
              <w:rPr>
                <w:rFonts w:hint="eastAsia"/>
                <w:bCs/>
                <w:color w:val="auto"/>
                <w:kern w:val="0"/>
              </w:rPr>
              <w:t>/h，满足废气合并要求</w:t>
            </w:r>
            <w:r>
              <w:rPr>
                <w:rFonts w:hint="eastAsia"/>
                <w:bCs/>
                <w:color w:val="auto"/>
                <w:kern w:val="0"/>
                <w:lang w:val="zh-CN"/>
              </w:rPr>
              <w:t>，</w:t>
            </w:r>
            <w:r>
              <w:rPr>
                <w:rFonts w:hint="eastAsia"/>
                <w:bCs/>
                <w:color w:val="auto"/>
                <w:kern w:val="0"/>
              </w:rPr>
              <w:t>因此，</w:t>
            </w:r>
            <w:r>
              <w:rPr>
                <w:bCs/>
                <w:color w:val="auto"/>
                <w:kern w:val="0"/>
                <w:lang w:val="zh-CN"/>
              </w:rPr>
              <w:t>排气筒布置时综合考虑了废气合并处理的适宜性、风量大小、排气筒检修对生产装置带来的影响大小等因素。</w:t>
            </w:r>
          </w:p>
          <w:p w14:paraId="3A84FDFF">
            <w:pPr>
              <w:autoSpaceDE w:val="0"/>
              <w:autoSpaceDN w:val="0"/>
              <w:adjustRightInd w:val="0"/>
              <w:snapToGrid w:val="0"/>
              <w:spacing w:line="360" w:lineRule="auto"/>
              <w:ind w:firstLine="422" w:firstLineChars="200"/>
              <w:rPr>
                <w:bCs/>
                <w:color w:val="auto"/>
                <w:kern w:val="0"/>
                <w:lang w:val="zh-CN"/>
              </w:rPr>
            </w:pPr>
            <w:r>
              <w:rPr>
                <w:rFonts w:hint="eastAsia"/>
                <w:b/>
                <w:color w:val="auto"/>
                <w:kern w:val="0"/>
              </w:rPr>
              <w:t>3）</w:t>
            </w:r>
            <w:r>
              <w:rPr>
                <w:b/>
                <w:color w:val="auto"/>
                <w:kern w:val="0"/>
                <w:lang w:val="zh-CN"/>
              </w:rPr>
              <w:t>风量合理性分析</w:t>
            </w:r>
          </w:p>
          <w:p w14:paraId="3A84FE00">
            <w:pPr>
              <w:autoSpaceDE w:val="0"/>
              <w:autoSpaceDN w:val="0"/>
              <w:adjustRightInd w:val="0"/>
              <w:snapToGrid w:val="0"/>
              <w:spacing w:line="360" w:lineRule="auto"/>
              <w:ind w:firstLine="420" w:firstLineChars="200"/>
              <w:rPr>
                <w:bCs/>
                <w:color w:val="auto"/>
                <w:kern w:val="0"/>
                <w:lang w:val="zh-CN"/>
              </w:rPr>
            </w:pPr>
            <w:r>
              <w:rPr>
                <w:bCs/>
                <w:color w:val="auto"/>
                <w:kern w:val="0"/>
                <w:lang w:val="zh-CN"/>
              </w:rPr>
              <w:t>经计算，本项目</w:t>
            </w:r>
            <w:r>
              <w:rPr>
                <w:rFonts w:hint="eastAsia"/>
                <w:bCs/>
                <w:color w:val="auto"/>
                <w:kern w:val="0"/>
                <w:lang w:val="en-US" w:eastAsia="zh-CN"/>
              </w:rPr>
              <w:t>3#</w:t>
            </w:r>
            <w:r>
              <w:rPr>
                <w:bCs/>
                <w:color w:val="auto"/>
                <w:kern w:val="0"/>
                <w:lang w:val="zh-CN"/>
              </w:rPr>
              <w:t>排气筒烟气排放速度为</w:t>
            </w:r>
            <w:r>
              <w:rPr>
                <w:rFonts w:hint="eastAsia"/>
                <w:bCs/>
                <w:color w:val="auto"/>
                <w:kern w:val="0"/>
                <w:lang w:val="en-US" w:eastAsia="zh-CN"/>
              </w:rPr>
              <w:t>9.2</w:t>
            </w:r>
            <w:r>
              <w:rPr>
                <w:bCs/>
                <w:color w:val="auto"/>
                <w:kern w:val="0"/>
                <w:lang w:val="zh-CN"/>
              </w:rPr>
              <w:t>m/s</w:t>
            </w:r>
            <w:r>
              <w:rPr>
                <w:rFonts w:hint="eastAsia"/>
                <w:bCs/>
                <w:color w:val="auto"/>
                <w:kern w:val="0"/>
              </w:rPr>
              <w:t>，</w:t>
            </w:r>
            <w:r>
              <w:rPr>
                <w:bCs/>
                <w:color w:val="auto"/>
                <w:kern w:val="0"/>
                <w:lang w:val="zh-CN"/>
              </w:rPr>
              <w:t>在15m/s左右，满足《大气污染治理工程技术导则》（HJ2000-2010）第5.3.5节</w:t>
            </w:r>
            <w:r>
              <w:rPr>
                <w:rFonts w:hint="eastAsia"/>
                <w:bCs/>
                <w:color w:val="auto"/>
                <w:kern w:val="0"/>
                <w:lang w:val="zh-CN"/>
              </w:rPr>
              <w:t>“</w:t>
            </w:r>
            <w:r>
              <w:rPr>
                <w:bCs/>
                <w:color w:val="auto"/>
                <w:kern w:val="0"/>
                <w:lang w:val="zh-CN"/>
              </w:rPr>
              <w:t>排气筒的出口直径应根据出口流速确定，流速宜取15m/s左右</w:t>
            </w:r>
            <w:r>
              <w:rPr>
                <w:rFonts w:hint="eastAsia"/>
                <w:bCs/>
                <w:color w:val="auto"/>
                <w:kern w:val="0"/>
                <w:lang w:val="zh-CN"/>
              </w:rPr>
              <w:t>”</w:t>
            </w:r>
            <w:r>
              <w:rPr>
                <w:bCs/>
                <w:color w:val="auto"/>
                <w:kern w:val="0"/>
                <w:lang w:val="zh-CN"/>
              </w:rPr>
              <w:t>的通用技术要求。</w:t>
            </w:r>
          </w:p>
          <w:p w14:paraId="3A84FE01">
            <w:pPr>
              <w:adjustRightInd w:val="0"/>
              <w:snapToGrid w:val="0"/>
              <w:spacing w:line="360" w:lineRule="auto"/>
              <w:ind w:firstLine="420" w:firstLineChars="200"/>
              <w:rPr>
                <w:bCs/>
                <w:color w:val="auto"/>
                <w:kern w:val="0"/>
                <w:lang w:val="zh-CN"/>
              </w:rPr>
            </w:pPr>
            <w:r>
              <w:rPr>
                <w:bCs/>
                <w:color w:val="auto"/>
                <w:kern w:val="0"/>
                <w:lang w:val="zh-CN"/>
              </w:rPr>
              <w:t>综上所述，建设项目排气筒设置是合理的。</w:t>
            </w:r>
          </w:p>
          <w:p w14:paraId="3A84FE02">
            <w:pPr>
              <w:pStyle w:val="5"/>
              <w:adjustRightInd w:val="0"/>
              <w:snapToGrid w:val="0"/>
              <w:spacing w:line="360" w:lineRule="auto"/>
              <w:ind w:firstLine="422" w:firstLineChars="200"/>
              <w:rPr>
                <w:b/>
                <w:color w:val="auto"/>
                <w:kern w:val="0"/>
                <w:szCs w:val="21"/>
              </w:rPr>
            </w:pPr>
            <w:r>
              <w:rPr>
                <w:rFonts w:hint="eastAsia"/>
                <w:b/>
                <w:color w:val="auto"/>
                <w:kern w:val="0"/>
                <w:szCs w:val="21"/>
              </w:rPr>
              <w:t>（5）废气达标判定</w:t>
            </w:r>
          </w:p>
          <w:p w14:paraId="3A84FE03">
            <w:pPr>
              <w:pStyle w:val="5"/>
              <w:ind w:firstLine="0"/>
              <w:jc w:val="center"/>
              <w:rPr>
                <w:b/>
                <w:bCs/>
                <w:color w:val="auto"/>
                <w:kern w:val="0"/>
                <w:szCs w:val="21"/>
              </w:rPr>
            </w:pPr>
            <w:r>
              <w:rPr>
                <w:b/>
                <w:bCs/>
                <w:color w:val="auto"/>
                <w:kern w:val="0"/>
                <w:szCs w:val="21"/>
              </w:rPr>
              <w:t>表4-</w:t>
            </w:r>
            <w:r>
              <w:rPr>
                <w:rFonts w:hint="eastAsia"/>
                <w:b/>
                <w:bCs/>
                <w:color w:val="auto"/>
                <w:kern w:val="0"/>
                <w:szCs w:val="21"/>
                <w:lang w:val="en-US" w:eastAsia="zh-CN"/>
              </w:rPr>
              <w:t>5</w:t>
            </w:r>
            <w:r>
              <w:rPr>
                <w:rFonts w:hint="eastAsia"/>
                <w:b/>
                <w:bCs/>
                <w:color w:val="auto"/>
                <w:kern w:val="0"/>
                <w:szCs w:val="21"/>
              </w:rPr>
              <w:t xml:space="preserve">   </w:t>
            </w:r>
            <w:r>
              <w:rPr>
                <w:b/>
                <w:bCs/>
                <w:color w:val="auto"/>
                <w:kern w:val="0"/>
                <w:szCs w:val="21"/>
              </w:rPr>
              <w:t>项目废气达标排放情况</w:t>
            </w:r>
          </w:p>
          <w:tbl>
            <w:tblPr>
              <w:tblStyle w:val="59"/>
              <w:tblW w:w="4993"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680"/>
              <w:gridCol w:w="791"/>
              <w:gridCol w:w="1365"/>
              <w:gridCol w:w="1065"/>
              <w:gridCol w:w="1065"/>
              <w:gridCol w:w="907"/>
              <w:gridCol w:w="908"/>
              <w:gridCol w:w="2324"/>
              <w:gridCol w:w="478"/>
            </w:tblGrid>
            <w:tr w14:paraId="3A84FE0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354" w:type="pct"/>
                  <w:vMerge w:val="restart"/>
                  <w:tcBorders>
                    <w:tl2br w:val="nil"/>
                    <w:tr2bl w:val="nil"/>
                  </w:tcBorders>
                  <w:tcMar>
                    <w:left w:w="0" w:type="dxa"/>
                    <w:right w:w="0" w:type="dxa"/>
                  </w:tcMar>
                  <w:vAlign w:val="center"/>
                </w:tcPr>
                <w:p w14:paraId="3A84FE05">
                  <w:pPr>
                    <w:snapToGrid w:val="0"/>
                    <w:jc w:val="center"/>
                    <w:rPr>
                      <w:b/>
                      <w:bCs/>
                      <w:color w:val="auto"/>
                      <w:kern w:val="0"/>
                      <w:sz w:val="21"/>
                      <w:szCs w:val="21"/>
                    </w:rPr>
                  </w:pPr>
                  <w:r>
                    <w:rPr>
                      <w:b/>
                      <w:bCs/>
                      <w:color w:val="auto"/>
                      <w:kern w:val="0"/>
                      <w:sz w:val="21"/>
                      <w:szCs w:val="21"/>
                    </w:rPr>
                    <w:t>排气筒编号</w:t>
                  </w:r>
                </w:p>
              </w:tc>
              <w:tc>
                <w:tcPr>
                  <w:tcW w:w="412" w:type="pct"/>
                  <w:vMerge w:val="restart"/>
                  <w:tcBorders>
                    <w:tl2br w:val="nil"/>
                    <w:tr2bl w:val="nil"/>
                  </w:tcBorders>
                  <w:tcMar>
                    <w:left w:w="0" w:type="dxa"/>
                    <w:right w:w="0" w:type="dxa"/>
                  </w:tcMar>
                  <w:vAlign w:val="center"/>
                </w:tcPr>
                <w:p w14:paraId="3A84FE07">
                  <w:pPr>
                    <w:snapToGrid w:val="0"/>
                    <w:jc w:val="center"/>
                    <w:rPr>
                      <w:b/>
                      <w:bCs/>
                      <w:color w:val="auto"/>
                      <w:kern w:val="0"/>
                      <w:sz w:val="21"/>
                      <w:szCs w:val="21"/>
                    </w:rPr>
                  </w:pPr>
                  <w:r>
                    <w:rPr>
                      <w:b/>
                      <w:bCs/>
                      <w:color w:val="auto"/>
                      <w:kern w:val="0"/>
                      <w:sz w:val="21"/>
                      <w:szCs w:val="21"/>
                    </w:rPr>
                    <w:t>排气量m</w:t>
                  </w:r>
                  <w:r>
                    <w:rPr>
                      <w:b/>
                      <w:bCs/>
                      <w:color w:val="auto"/>
                      <w:kern w:val="0"/>
                      <w:sz w:val="21"/>
                      <w:szCs w:val="21"/>
                      <w:vertAlign w:val="superscript"/>
                    </w:rPr>
                    <w:t>3</w:t>
                  </w:r>
                  <w:r>
                    <w:rPr>
                      <w:b/>
                      <w:bCs/>
                      <w:color w:val="auto"/>
                      <w:kern w:val="0"/>
                      <w:sz w:val="21"/>
                      <w:szCs w:val="21"/>
                    </w:rPr>
                    <w:t>/h</w:t>
                  </w:r>
                </w:p>
              </w:tc>
              <w:tc>
                <w:tcPr>
                  <w:tcW w:w="712" w:type="pct"/>
                  <w:vMerge w:val="restart"/>
                  <w:tcBorders>
                    <w:tl2br w:val="nil"/>
                    <w:tr2bl w:val="nil"/>
                  </w:tcBorders>
                  <w:tcMar>
                    <w:left w:w="0" w:type="dxa"/>
                    <w:right w:w="0" w:type="dxa"/>
                  </w:tcMar>
                  <w:vAlign w:val="center"/>
                </w:tcPr>
                <w:p w14:paraId="3A84FE08">
                  <w:pPr>
                    <w:snapToGrid w:val="0"/>
                    <w:jc w:val="center"/>
                    <w:rPr>
                      <w:b/>
                      <w:bCs/>
                      <w:color w:val="auto"/>
                      <w:kern w:val="0"/>
                      <w:sz w:val="21"/>
                      <w:szCs w:val="21"/>
                    </w:rPr>
                  </w:pPr>
                  <w:r>
                    <w:rPr>
                      <w:b/>
                      <w:bCs/>
                      <w:color w:val="auto"/>
                      <w:kern w:val="0"/>
                      <w:sz w:val="21"/>
                      <w:szCs w:val="21"/>
                    </w:rPr>
                    <w:t>污染物名称</w:t>
                  </w:r>
                </w:p>
              </w:tc>
              <w:tc>
                <w:tcPr>
                  <w:tcW w:w="1111" w:type="pct"/>
                  <w:gridSpan w:val="2"/>
                  <w:tcBorders>
                    <w:tl2br w:val="nil"/>
                    <w:tr2bl w:val="nil"/>
                  </w:tcBorders>
                  <w:tcMar>
                    <w:left w:w="0" w:type="dxa"/>
                    <w:right w:w="0" w:type="dxa"/>
                  </w:tcMar>
                  <w:vAlign w:val="center"/>
                </w:tcPr>
                <w:p w14:paraId="3A84FE09">
                  <w:pPr>
                    <w:snapToGrid w:val="0"/>
                    <w:jc w:val="center"/>
                    <w:rPr>
                      <w:b/>
                      <w:bCs/>
                      <w:color w:val="auto"/>
                      <w:kern w:val="0"/>
                      <w:sz w:val="21"/>
                      <w:szCs w:val="21"/>
                    </w:rPr>
                  </w:pPr>
                  <w:r>
                    <w:rPr>
                      <w:b/>
                      <w:bCs/>
                      <w:color w:val="auto"/>
                      <w:kern w:val="0"/>
                      <w:sz w:val="21"/>
                      <w:szCs w:val="21"/>
                    </w:rPr>
                    <w:t>排放情况</w:t>
                  </w:r>
                </w:p>
              </w:tc>
              <w:tc>
                <w:tcPr>
                  <w:tcW w:w="946" w:type="pct"/>
                  <w:gridSpan w:val="2"/>
                  <w:tcBorders>
                    <w:tl2br w:val="nil"/>
                    <w:tr2bl w:val="nil"/>
                  </w:tcBorders>
                  <w:tcMar>
                    <w:left w:w="0" w:type="dxa"/>
                    <w:right w:w="0" w:type="dxa"/>
                  </w:tcMar>
                  <w:vAlign w:val="center"/>
                </w:tcPr>
                <w:p w14:paraId="3A84FE0A">
                  <w:pPr>
                    <w:snapToGrid w:val="0"/>
                    <w:jc w:val="center"/>
                    <w:rPr>
                      <w:b/>
                      <w:bCs/>
                      <w:color w:val="auto"/>
                      <w:kern w:val="0"/>
                      <w:sz w:val="21"/>
                      <w:szCs w:val="21"/>
                    </w:rPr>
                  </w:pPr>
                  <w:r>
                    <w:rPr>
                      <w:b/>
                      <w:bCs/>
                      <w:color w:val="auto"/>
                      <w:kern w:val="0"/>
                      <w:sz w:val="21"/>
                      <w:szCs w:val="21"/>
                    </w:rPr>
                    <w:t>执行标准</w:t>
                  </w:r>
                </w:p>
              </w:tc>
              <w:tc>
                <w:tcPr>
                  <w:tcW w:w="1212" w:type="pct"/>
                  <w:vMerge w:val="restart"/>
                  <w:tcBorders>
                    <w:tl2br w:val="nil"/>
                    <w:tr2bl w:val="nil"/>
                  </w:tcBorders>
                  <w:vAlign w:val="center"/>
                </w:tcPr>
                <w:p w14:paraId="3A84FE0B">
                  <w:pPr>
                    <w:snapToGrid w:val="0"/>
                    <w:jc w:val="center"/>
                    <w:rPr>
                      <w:b/>
                      <w:bCs/>
                      <w:color w:val="auto"/>
                      <w:kern w:val="0"/>
                      <w:sz w:val="21"/>
                      <w:szCs w:val="21"/>
                    </w:rPr>
                  </w:pPr>
                  <w:r>
                    <w:rPr>
                      <w:b/>
                      <w:bCs/>
                      <w:color w:val="auto"/>
                      <w:kern w:val="0"/>
                      <w:sz w:val="21"/>
                      <w:szCs w:val="21"/>
                    </w:rPr>
                    <w:t>标准名称</w:t>
                  </w:r>
                </w:p>
              </w:tc>
              <w:tc>
                <w:tcPr>
                  <w:tcW w:w="249" w:type="pct"/>
                  <w:vMerge w:val="restart"/>
                  <w:tcBorders>
                    <w:tl2br w:val="nil"/>
                    <w:tr2bl w:val="nil"/>
                  </w:tcBorders>
                  <w:tcMar>
                    <w:left w:w="0" w:type="dxa"/>
                    <w:right w:w="0" w:type="dxa"/>
                  </w:tcMar>
                  <w:vAlign w:val="center"/>
                </w:tcPr>
                <w:p w14:paraId="3A84FE0C">
                  <w:pPr>
                    <w:snapToGrid w:val="0"/>
                    <w:jc w:val="center"/>
                    <w:rPr>
                      <w:b/>
                      <w:bCs/>
                      <w:color w:val="auto"/>
                      <w:kern w:val="0"/>
                      <w:sz w:val="21"/>
                      <w:szCs w:val="21"/>
                    </w:rPr>
                  </w:pPr>
                  <w:r>
                    <w:rPr>
                      <w:b/>
                      <w:bCs/>
                      <w:color w:val="auto"/>
                      <w:kern w:val="0"/>
                      <w:sz w:val="21"/>
                      <w:szCs w:val="21"/>
                    </w:rPr>
                    <w:t>达标判定</w:t>
                  </w:r>
                </w:p>
              </w:tc>
            </w:tr>
            <w:tr w14:paraId="3A84FE1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354" w:type="pct"/>
                  <w:vMerge w:val="continue"/>
                  <w:tcBorders>
                    <w:tl2br w:val="nil"/>
                    <w:tr2bl w:val="nil"/>
                  </w:tcBorders>
                  <w:tcMar>
                    <w:left w:w="0" w:type="dxa"/>
                    <w:right w:w="0" w:type="dxa"/>
                  </w:tcMar>
                  <w:vAlign w:val="center"/>
                </w:tcPr>
                <w:p w14:paraId="3A84FE0E">
                  <w:pPr>
                    <w:snapToGrid w:val="0"/>
                    <w:jc w:val="center"/>
                    <w:rPr>
                      <w:b/>
                      <w:bCs/>
                      <w:color w:val="auto"/>
                      <w:kern w:val="0"/>
                      <w:sz w:val="21"/>
                      <w:szCs w:val="21"/>
                    </w:rPr>
                  </w:pPr>
                </w:p>
              </w:tc>
              <w:tc>
                <w:tcPr>
                  <w:tcW w:w="412" w:type="pct"/>
                  <w:vMerge w:val="continue"/>
                  <w:tcBorders>
                    <w:tl2br w:val="nil"/>
                    <w:tr2bl w:val="nil"/>
                  </w:tcBorders>
                  <w:tcMar>
                    <w:left w:w="0" w:type="dxa"/>
                    <w:right w:w="0" w:type="dxa"/>
                  </w:tcMar>
                  <w:vAlign w:val="center"/>
                </w:tcPr>
                <w:p w14:paraId="3A84FE0F">
                  <w:pPr>
                    <w:snapToGrid w:val="0"/>
                    <w:jc w:val="center"/>
                    <w:rPr>
                      <w:b/>
                      <w:bCs/>
                      <w:color w:val="auto"/>
                      <w:kern w:val="0"/>
                      <w:sz w:val="21"/>
                      <w:szCs w:val="21"/>
                    </w:rPr>
                  </w:pPr>
                </w:p>
              </w:tc>
              <w:tc>
                <w:tcPr>
                  <w:tcW w:w="712" w:type="pct"/>
                  <w:vMerge w:val="continue"/>
                  <w:tcBorders>
                    <w:tl2br w:val="nil"/>
                    <w:tr2bl w:val="nil"/>
                  </w:tcBorders>
                  <w:tcMar>
                    <w:left w:w="0" w:type="dxa"/>
                    <w:right w:w="0" w:type="dxa"/>
                  </w:tcMar>
                  <w:vAlign w:val="center"/>
                </w:tcPr>
                <w:p w14:paraId="3A84FE10">
                  <w:pPr>
                    <w:snapToGrid w:val="0"/>
                    <w:jc w:val="center"/>
                    <w:rPr>
                      <w:b/>
                      <w:bCs/>
                      <w:color w:val="auto"/>
                      <w:kern w:val="0"/>
                      <w:sz w:val="21"/>
                      <w:szCs w:val="21"/>
                    </w:rPr>
                  </w:pPr>
                </w:p>
              </w:tc>
              <w:tc>
                <w:tcPr>
                  <w:tcW w:w="555" w:type="pct"/>
                  <w:tcBorders>
                    <w:tl2br w:val="nil"/>
                    <w:tr2bl w:val="nil"/>
                  </w:tcBorders>
                  <w:tcMar>
                    <w:left w:w="0" w:type="dxa"/>
                    <w:right w:w="0" w:type="dxa"/>
                  </w:tcMar>
                  <w:vAlign w:val="center"/>
                </w:tcPr>
                <w:p w14:paraId="3A84FE12">
                  <w:pPr>
                    <w:snapToGrid w:val="0"/>
                    <w:jc w:val="center"/>
                    <w:rPr>
                      <w:b/>
                      <w:bCs/>
                      <w:color w:val="auto"/>
                      <w:kern w:val="0"/>
                      <w:sz w:val="21"/>
                      <w:szCs w:val="21"/>
                    </w:rPr>
                  </w:pPr>
                  <w:r>
                    <w:rPr>
                      <w:b/>
                      <w:bCs/>
                      <w:color w:val="auto"/>
                      <w:kern w:val="0"/>
                      <w:sz w:val="21"/>
                      <w:szCs w:val="21"/>
                    </w:rPr>
                    <w:t>浓度mg/m</w:t>
                  </w:r>
                  <w:r>
                    <w:rPr>
                      <w:b/>
                      <w:bCs/>
                      <w:color w:val="auto"/>
                      <w:kern w:val="0"/>
                      <w:sz w:val="21"/>
                      <w:szCs w:val="21"/>
                      <w:vertAlign w:val="superscript"/>
                    </w:rPr>
                    <w:t>3</w:t>
                  </w:r>
                </w:p>
              </w:tc>
              <w:tc>
                <w:tcPr>
                  <w:tcW w:w="555" w:type="pct"/>
                  <w:tcBorders>
                    <w:tl2br w:val="nil"/>
                    <w:tr2bl w:val="nil"/>
                  </w:tcBorders>
                  <w:tcMar>
                    <w:left w:w="0" w:type="dxa"/>
                    <w:right w:w="0" w:type="dxa"/>
                  </w:tcMar>
                  <w:vAlign w:val="center"/>
                </w:tcPr>
                <w:p w14:paraId="3A84FE14">
                  <w:pPr>
                    <w:snapToGrid w:val="0"/>
                    <w:jc w:val="center"/>
                    <w:rPr>
                      <w:b/>
                      <w:bCs/>
                      <w:color w:val="auto"/>
                      <w:kern w:val="0"/>
                      <w:sz w:val="21"/>
                      <w:szCs w:val="21"/>
                    </w:rPr>
                  </w:pPr>
                  <w:r>
                    <w:rPr>
                      <w:b/>
                      <w:bCs/>
                      <w:color w:val="auto"/>
                      <w:kern w:val="0"/>
                      <w:sz w:val="21"/>
                      <w:szCs w:val="21"/>
                    </w:rPr>
                    <w:t>速率kg/h</w:t>
                  </w:r>
                </w:p>
              </w:tc>
              <w:tc>
                <w:tcPr>
                  <w:tcW w:w="473" w:type="pct"/>
                  <w:tcBorders>
                    <w:tl2br w:val="nil"/>
                    <w:tr2bl w:val="nil"/>
                  </w:tcBorders>
                  <w:tcMar>
                    <w:left w:w="0" w:type="dxa"/>
                    <w:right w:w="0" w:type="dxa"/>
                  </w:tcMar>
                  <w:vAlign w:val="center"/>
                </w:tcPr>
                <w:p w14:paraId="3A84FE15">
                  <w:pPr>
                    <w:snapToGrid w:val="0"/>
                    <w:jc w:val="center"/>
                    <w:rPr>
                      <w:b/>
                      <w:bCs/>
                      <w:color w:val="auto"/>
                      <w:kern w:val="0"/>
                      <w:sz w:val="21"/>
                      <w:szCs w:val="21"/>
                    </w:rPr>
                  </w:pPr>
                  <w:r>
                    <w:rPr>
                      <w:b/>
                      <w:bCs/>
                      <w:color w:val="auto"/>
                      <w:kern w:val="0"/>
                      <w:sz w:val="21"/>
                      <w:szCs w:val="21"/>
                    </w:rPr>
                    <w:t>浓度mg/m</w:t>
                  </w:r>
                  <w:r>
                    <w:rPr>
                      <w:b/>
                      <w:bCs/>
                      <w:color w:val="auto"/>
                      <w:kern w:val="0"/>
                      <w:sz w:val="21"/>
                      <w:szCs w:val="21"/>
                      <w:vertAlign w:val="superscript"/>
                    </w:rPr>
                    <w:t>3</w:t>
                  </w:r>
                </w:p>
              </w:tc>
              <w:tc>
                <w:tcPr>
                  <w:tcW w:w="473" w:type="pct"/>
                  <w:tcBorders>
                    <w:tl2br w:val="nil"/>
                    <w:tr2bl w:val="nil"/>
                  </w:tcBorders>
                  <w:tcMar>
                    <w:left w:w="0" w:type="dxa"/>
                    <w:right w:w="0" w:type="dxa"/>
                  </w:tcMar>
                  <w:vAlign w:val="center"/>
                </w:tcPr>
                <w:p w14:paraId="3A84FE17">
                  <w:pPr>
                    <w:snapToGrid w:val="0"/>
                    <w:jc w:val="center"/>
                    <w:rPr>
                      <w:b/>
                      <w:bCs/>
                      <w:color w:val="auto"/>
                      <w:kern w:val="0"/>
                      <w:sz w:val="21"/>
                      <w:szCs w:val="21"/>
                    </w:rPr>
                  </w:pPr>
                  <w:r>
                    <w:rPr>
                      <w:b/>
                      <w:bCs/>
                      <w:color w:val="auto"/>
                      <w:kern w:val="0"/>
                      <w:sz w:val="21"/>
                      <w:szCs w:val="21"/>
                    </w:rPr>
                    <w:t>速率kg/h</w:t>
                  </w:r>
                </w:p>
              </w:tc>
              <w:tc>
                <w:tcPr>
                  <w:tcW w:w="1212" w:type="pct"/>
                  <w:vMerge w:val="continue"/>
                  <w:tcBorders>
                    <w:tl2br w:val="nil"/>
                    <w:tr2bl w:val="nil"/>
                  </w:tcBorders>
                  <w:vAlign w:val="center"/>
                </w:tcPr>
                <w:p w14:paraId="3A84FE18">
                  <w:pPr>
                    <w:snapToGrid w:val="0"/>
                    <w:jc w:val="center"/>
                    <w:rPr>
                      <w:b/>
                      <w:bCs/>
                      <w:color w:val="auto"/>
                      <w:kern w:val="0"/>
                      <w:sz w:val="21"/>
                      <w:szCs w:val="21"/>
                    </w:rPr>
                  </w:pPr>
                </w:p>
              </w:tc>
              <w:tc>
                <w:tcPr>
                  <w:tcW w:w="249" w:type="pct"/>
                  <w:vMerge w:val="continue"/>
                  <w:tcBorders>
                    <w:tl2br w:val="nil"/>
                    <w:tr2bl w:val="nil"/>
                  </w:tcBorders>
                  <w:tcMar>
                    <w:left w:w="0" w:type="dxa"/>
                    <w:right w:w="0" w:type="dxa"/>
                  </w:tcMar>
                  <w:vAlign w:val="center"/>
                </w:tcPr>
                <w:p w14:paraId="3A84FE19">
                  <w:pPr>
                    <w:snapToGrid w:val="0"/>
                    <w:jc w:val="center"/>
                    <w:rPr>
                      <w:b/>
                      <w:bCs/>
                      <w:color w:val="auto"/>
                      <w:kern w:val="0"/>
                      <w:sz w:val="21"/>
                      <w:szCs w:val="21"/>
                    </w:rPr>
                  </w:pPr>
                </w:p>
              </w:tc>
            </w:tr>
            <w:tr w14:paraId="3A84FE2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354" w:type="pct"/>
                  <w:vMerge w:val="restart"/>
                  <w:tcBorders>
                    <w:tl2br w:val="nil"/>
                    <w:tr2bl w:val="nil"/>
                  </w:tcBorders>
                  <w:tcMar>
                    <w:left w:w="0" w:type="dxa"/>
                    <w:right w:w="0" w:type="dxa"/>
                  </w:tcMar>
                  <w:vAlign w:val="center"/>
                </w:tcPr>
                <w:p w14:paraId="3A84FE1B">
                  <w:pPr>
                    <w:jc w:val="center"/>
                    <w:textAlignment w:val="bottom"/>
                    <w:rPr>
                      <w:rFonts w:hint="default" w:eastAsia="宋体"/>
                      <w:color w:val="auto"/>
                      <w:kern w:val="0"/>
                      <w:sz w:val="21"/>
                      <w:szCs w:val="21"/>
                      <w:lang w:val="en-US" w:eastAsia="zh-CN"/>
                    </w:rPr>
                  </w:pPr>
                  <w:r>
                    <w:rPr>
                      <w:rFonts w:hint="eastAsia"/>
                      <w:color w:val="auto"/>
                      <w:kern w:val="0"/>
                      <w:sz w:val="21"/>
                      <w:szCs w:val="21"/>
                      <w:lang w:val="en-US" w:eastAsia="zh-CN"/>
                    </w:rPr>
                    <w:t>3#</w:t>
                  </w:r>
                </w:p>
              </w:tc>
              <w:tc>
                <w:tcPr>
                  <w:tcW w:w="412" w:type="pct"/>
                  <w:vMerge w:val="restart"/>
                  <w:tcBorders>
                    <w:tl2br w:val="nil"/>
                    <w:tr2bl w:val="nil"/>
                  </w:tcBorders>
                  <w:tcMar>
                    <w:left w:w="0" w:type="dxa"/>
                    <w:right w:w="0" w:type="dxa"/>
                  </w:tcMar>
                  <w:vAlign w:val="center"/>
                </w:tcPr>
                <w:p w14:paraId="3A84FE1C">
                  <w:pPr>
                    <w:jc w:val="center"/>
                    <w:textAlignment w:val="bottom"/>
                    <w:rPr>
                      <w:rFonts w:hint="default" w:eastAsia="宋体"/>
                      <w:color w:val="auto"/>
                      <w:kern w:val="0"/>
                      <w:sz w:val="21"/>
                      <w:szCs w:val="21"/>
                      <w:lang w:val="en-US" w:eastAsia="zh-CN"/>
                    </w:rPr>
                  </w:pPr>
                  <w:r>
                    <w:rPr>
                      <w:rFonts w:hint="eastAsia"/>
                      <w:color w:val="auto"/>
                      <w:kern w:val="0"/>
                      <w:sz w:val="21"/>
                      <w:szCs w:val="21"/>
                      <w:lang w:val="en-US" w:eastAsia="zh-CN"/>
                    </w:rPr>
                    <w:t>6500</w:t>
                  </w:r>
                </w:p>
              </w:tc>
              <w:tc>
                <w:tcPr>
                  <w:tcW w:w="712" w:type="pct"/>
                  <w:vMerge w:val="restart"/>
                  <w:tcBorders>
                    <w:tl2br w:val="nil"/>
                    <w:tr2bl w:val="nil"/>
                  </w:tcBorders>
                  <w:tcMar>
                    <w:left w:w="0" w:type="dxa"/>
                    <w:right w:w="0" w:type="dxa"/>
                  </w:tcMar>
                  <w:vAlign w:val="center"/>
                </w:tcPr>
                <w:p w14:paraId="3A84FE1D">
                  <w:pPr>
                    <w:pStyle w:val="656"/>
                    <w:snapToGrid w:val="0"/>
                    <w:rPr>
                      <w:color w:val="auto"/>
                      <w:kern w:val="0"/>
                      <w:sz w:val="21"/>
                      <w:szCs w:val="21"/>
                    </w:rPr>
                  </w:pPr>
                  <w:r>
                    <w:rPr>
                      <w:rFonts w:hint="eastAsia" w:eastAsia="宋体"/>
                      <w:color w:val="auto"/>
                      <w:sz w:val="21"/>
                      <w:szCs w:val="21"/>
                      <w:lang w:val="en-US" w:eastAsia="zh-CN"/>
                    </w:rPr>
                    <w:t>颗粒物</w:t>
                  </w:r>
                </w:p>
              </w:tc>
              <w:tc>
                <w:tcPr>
                  <w:tcW w:w="555" w:type="pct"/>
                  <w:vMerge w:val="restart"/>
                  <w:tcBorders>
                    <w:tl2br w:val="nil"/>
                    <w:tr2bl w:val="nil"/>
                  </w:tcBorders>
                  <w:tcMar>
                    <w:left w:w="0" w:type="dxa"/>
                    <w:right w:w="0" w:type="dxa"/>
                  </w:tcMar>
                  <w:vAlign w:val="center"/>
                </w:tcPr>
                <w:p w14:paraId="3A84FE1E">
                  <w:pPr>
                    <w:pStyle w:val="656"/>
                    <w:snapToGrid w:val="0"/>
                    <w:rPr>
                      <w:rFonts w:eastAsia="宋体"/>
                      <w:color w:val="auto"/>
                      <w:kern w:val="0"/>
                      <w:sz w:val="21"/>
                      <w:szCs w:val="21"/>
                    </w:rPr>
                  </w:pPr>
                  <w:r>
                    <w:rPr>
                      <w:rFonts w:hint="eastAsia" w:eastAsia="宋体"/>
                      <w:color w:val="auto"/>
                      <w:sz w:val="21"/>
                      <w:szCs w:val="21"/>
                      <w:lang w:val="en-US" w:eastAsia="zh-CN"/>
                    </w:rPr>
                    <w:t>1.27</w:t>
                  </w:r>
                </w:p>
              </w:tc>
              <w:tc>
                <w:tcPr>
                  <w:tcW w:w="555" w:type="pct"/>
                  <w:vMerge w:val="restart"/>
                  <w:tcBorders>
                    <w:tl2br w:val="nil"/>
                    <w:tr2bl w:val="nil"/>
                  </w:tcBorders>
                  <w:tcMar>
                    <w:left w:w="0" w:type="dxa"/>
                    <w:right w:w="0" w:type="dxa"/>
                  </w:tcMar>
                  <w:vAlign w:val="center"/>
                </w:tcPr>
                <w:p w14:paraId="3A84FE1F">
                  <w:pPr>
                    <w:pStyle w:val="656"/>
                    <w:snapToGrid w:val="0"/>
                    <w:rPr>
                      <w:rFonts w:hint="default" w:eastAsia="宋体"/>
                      <w:color w:val="auto"/>
                      <w:kern w:val="0"/>
                      <w:sz w:val="21"/>
                      <w:szCs w:val="21"/>
                      <w:lang w:val="en-US"/>
                    </w:rPr>
                  </w:pPr>
                  <w:r>
                    <w:rPr>
                      <w:rFonts w:hint="eastAsia" w:eastAsia="宋体"/>
                      <w:color w:val="auto"/>
                      <w:sz w:val="21"/>
                      <w:szCs w:val="21"/>
                      <w:lang w:val="en-US" w:eastAsia="zh-CN"/>
                    </w:rPr>
                    <w:t>0.00825</w:t>
                  </w:r>
                </w:p>
              </w:tc>
              <w:tc>
                <w:tcPr>
                  <w:tcW w:w="473" w:type="pct"/>
                  <w:tcBorders>
                    <w:tl2br w:val="nil"/>
                    <w:tr2bl w:val="nil"/>
                  </w:tcBorders>
                  <w:tcMar>
                    <w:left w:w="0" w:type="dxa"/>
                    <w:right w:w="0" w:type="dxa"/>
                  </w:tcMar>
                  <w:vAlign w:val="center"/>
                </w:tcPr>
                <w:p w14:paraId="3A84FE20">
                  <w:pPr>
                    <w:jc w:val="center"/>
                    <w:rPr>
                      <w:rFonts w:hint="default" w:eastAsia="宋体"/>
                      <w:color w:val="auto"/>
                      <w:kern w:val="0"/>
                      <w:sz w:val="21"/>
                      <w:szCs w:val="21"/>
                      <w:lang w:val="en-US" w:eastAsia="zh-CN"/>
                    </w:rPr>
                  </w:pPr>
                  <w:r>
                    <w:rPr>
                      <w:rFonts w:hint="eastAsia"/>
                      <w:color w:val="auto"/>
                      <w:kern w:val="0"/>
                      <w:sz w:val="21"/>
                      <w:szCs w:val="21"/>
                      <w:lang w:val="en-US" w:eastAsia="zh-CN"/>
                    </w:rPr>
                    <w:t>30</w:t>
                  </w:r>
                </w:p>
              </w:tc>
              <w:tc>
                <w:tcPr>
                  <w:tcW w:w="473" w:type="pct"/>
                  <w:tcBorders>
                    <w:tl2br w:val="nil"/>
                    <w:tr2bl w:val="nil"/>
                  </w:tcBorders>
                  <w:tcMar>
                    <w:left w:w="0" w:type="dxa"/>
                    <w:right w:w="0" w:type="dxa"/>
                  </w:tcMar>
                  <w:vAlign w:val="center"/>
                </w:tcPr>
                <w:p w14:paraId="3A84FE21">
                  <w:pPr>
                    <w:jc w:val="center"/>
                    <w:rPr>
                      <w:rFonts w:hint="default" w:eastAsia="宋体"/>
                      <w:color w:val="auto"/>
                      <w:kern w:val="0"/>
                      <w:sz w:val="21"/>
                      <w:szCs w:val="21"/>
                      <w:lang w:val="en-US" w:eastAsia="zh-CN"/>
                    </w:rPr>
                  </w:pPr>
                  <w:r>
                    <w:rPr>
                      <w:rFonts w:hint="eastAsia"/>
                      <w:color w:val="auto"/>
                      <w:kern w:val="0"/>
                      <w:sz w:val="21"/>
                      <w:szCs w:val="21"/>
                      <w:lang w:val="en-US" w:eastAsia="zh-CN"/>
                    </w:rPr>
                    <w:t>--</w:t>
                  </w:r>
                </w:p>
              </w:tc>
              <w:tc>
                <w:tcPr>
                  <w:tcW w:w="1212" w:type="pct"/>
                  <w:vMerge w:val="restart"/>
                  <w:tcBorders>
                    <w:tl2br w:val="nil"/>
                    <w:tr2bl w:val="nil"/>
                  </w:tcBorders>
                  <w:vAlign w:val="center"/>
                </w:tcPr>
                <w:p w14:paraId="3A84FE22">
                  <w:pPr>
                    <w:jc w:val="center"/>
                    <w:rPr>
                      <w:rFonts w:hint="default" w:eastAsia="宋体"/>
                      <w:color w:val="auto"/>
                      <w:kern w:val="0"/>
                      <w:sz w:val="21"/>
                      <w:szCs w:val="21"/>
                      <w:lang w:val="en-US" w:eastAsia="zh-CN"/>
                    </w:rPr>
                  </w:pPr>
                  <w:r>
                    <w:rPr>
                      <w:rFonts w:hint="eastAsia"/>
                      <w:color w:val="auto"/>
                      <w:kern w:val="0"/>
                      <w:sz w:val="21"/>
                      <w:szCs w:val="21"/>
                    </w:rPr>
                    <w:t>《危险废物焚烧污染控制标准》（GB 18484-2020）</w:t>
                  </w:r>
                  <w:r>
                    <w:rPr>
                      <w:rFonts w:hint="eastAsia"/>
                      <w:color w:val="auto"/>
                      <w:kern w:val="0"/>
                      <w:sz w:val="21"/>
                      <w:szCs w:val="21"/>
                      <w:lang w:val="en-US" w:eastAsia="zh-CN"/>
                    </w:rPr>
                    <w:t>表3</w:t>
                  </w:r>
                </w:p>
              </w:tc>
              <w:tc>
                <w:tcPr>
                  <w:tcW w:w="249" w:type="pct"/>
                  <w:vMerge w:val="restart"/>
                  <w:tcBorders>
                    <w:tl2br w:val="nil"/>
                    <w:tr2bl w:val="nil"/>
                  </w:tcBorders>
                  <w:tcMar>
                    <w:left w:w="0" w:type="dxa"/>
                    <w:right w:w="0" w:type="dxa"/>
                  </w:tcMar>
                  <w:vAlign w:val="center"/>
                </w:tcPr>
                <w:p w14:paraId="3A84FE23">
                  <w:pPr>
                    <w:jc w:val="center"/>
                    <w:rPr>
                      <w:color w:val="auto"/>
                      <w:kern w:val="0"/>
                      <w:sz w:val="21"/>
                      <w:szCs w:val="21"/>
                    </w:rPr>
                  </w:pPr>
                  <w:r>
                    <w:rPr>
                      <w:color w:val="auto"/>
                      <w:kern w:val="0"/>
                      <w:sz w:val="21"/>
                      <w:szCs w:val="21"/>
                    </w:rPr>
                    <w:t>达标</w:t>
                  </w:r>
                </w:p>
              </w:tc>
            </w:tr>
            <w:tr w14:paraId="23204AE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354" w:type="pct"/>
                  <w:vMerge w:val="continue"/>
                  <w:tcBorders>
                    <w:tl2br w:val="nil"/>
                    <w:tr2bl w:val="nil"/>
                  </w:tcBorders>
                  <w:tcMar>
                    <w:left w:w="0" w:type="dxa"/>
                    <w:right w:w="0" w:type="dxa"/>
                  </w:tcMar>
                  <w:vAlign w:val="center"/>
                </w:tcPr>
                <w:p w14:paraId="4A65E4D9">
                  <w:pPr>
                    <w:jc w:val="center"/>
                    <w:textAlignment w:val="bottom"/>
                    <w:rPr>
                      <w:rFonts w:hint="eastAsia"/>
                      <w:color w:val="auto"/>
                      <w:kern w:val="0"/>
                      <w:sz w:val="21"/>
                      <w:szCs w:val="21"/>
                      <w:lang w:val="en-US" w:eastAsia="zh-CN"/>
                    </w:rPr>
                  </w:pPr>
                </w:p>
              </w:tc>
              <w:tc>
                <w:tcPr>
                  <w:tcW w:w="412" w:type="pct"/>
                  <w:vMerge w:val="continue"/>
                  <w:tcBorders>
                    <w:tl2br w:val="nil"/>
                    <w:tr2bl w:val="nil"/>
                  </w:tcBorders>
                  <w:tcMar>
                    <w:left w:w="0" w:type="dxa"/>
                    <w:right w:w="0" w:type="dxa"/>
                  </w:tcMar>
                  <w:vAlign w:val="center"/>
                </w:tcPr>
                <w:p w14:paraId="41CCE496">
                  <w:pPr>
                    <w:jc w:val="center"/>
                    <w:textAlignment w:val="bottom"/>
                    <w:rPr>
                      <w:rFonts w:hint="eastAsia"/>
                      <w:color w:val="auto"/>
                      <w:kern w:val="0"/>
                      <w:sz w:val="21"/>
                      <w:szCs w:val="21"/>
                      <w:lang w:val="en-US" w:eastAsia="zh-CN"/>
                    </w:rPr>
                  </w:pPr>
                </w:p>
              </w:tc>
              <w:tc>
                <w:tcPr>
                  <w:tcW w:w="712" w:type="pct"/>
                  <w:vMerge w:val="continue"/>
                  <w:tcBorders>
                    <w:tl2br w:val="nil"/>
                    <w:tr2bl w:val="nil"/>
                  </w:tcBorders>
                  <w:tcMar>
                    <w:left w:w="0" w:type="dxa"/>
                    <w:right w:w="0" w:type="dxa"/>
                  </w:tcMar>
                  <w:vAlign w:val="center"/>
                </w:tcPr>
                <w:p w14:paraId="0183983F">
                  <w:pPr>
                    <w:pStyle w:val="656"/>
                    <w:snapToGrid w:val="0"/>
                    <w:rPr>
                      <w:rFonts w:hint="eastAsia" w:eastAsia="宋体"/>
                      <w:color w:val="auto"/>
                      <w:sz w:val="21"/>
                      <w:szCs w:val="21"/>
                      <w:lang w:val="en-US" w:eastAsia="zh-CN"/>
                    </w:rPr>
                  </w:pPr>
                </w:p>
              </w:tc>
              <w:tc>
                <w:tcPr>
                  <w:tcW w:w="555" w:type="pct"/>
                  <w:vMerge w:val="continue"/>
                  <w:tcBorders>
                    <w:tl2br w:val="nil"/>
                    <w:tr2bl w:val="nil"/>
                  </w:tcBorders>
                  <w:tcMar>
                    <w:left w:w="0" w:type="dxa"/>
                    <w:right w:w="0" w:type="dxa"/>
                  </w:tcMar>
                  <w:vAlign w:val="center"/>
                </w:tcPr>
                <w:p w14:paraId="7207CBB8">
                  <w:pPr>
                    <w:pStyle w:val="656"/>
                    <w:snapToGrid w:val="0"/>
                    <w:rPr>
                      <w:rFonts w:hint="eastAsia" w:eastAsia="宋体"/>
                      <w:color w:val="auto"/>
                      <w:sz w:val="21"/>
                      <w:szCs w:val="21"/>
                      <w:lang w:val="en-US" w:eastAsia="zh-CN"/>
                    </w:rPr>
                  </w:pPr>
                </w:p>
              </w:tc>
              <w:tc>
                <w:tcPr>
                  <w:tcW w:w="555" w:type="pct"/>
                  <w:vMerge w:val="continue"/>
                  <w:tcBorders>
                    <w:tl2br w:val="nil"/>
                    <w:tr2bl w:val="nil"/>
                  </w:tcBorders>
                  <w:tcMar>
                    <w:left w:w="0" w:type="dxa"/>
                    <w:right w:w="0" w:type="dxa"/>
                  </w:tcMar>
                  <w:vAlign w:val="center"/>
                </w:tcPr>
                <w:p w14:paraId="3CA63D72">
                  <w:pPr>
                    <w:pStyle w:val="656"/>
                    <w:snapToGrid w:val="0"/>
                    <w:rPr>
                      <w:rFonts w:hint="eastAsia" w:eastAsia="宋体"/>
                      <w:color w:val="auto"/>
                      <w:sz w:val="21"/>
                      <w:szCs w:val="21"/>
                      <w:lang w:val="en-US" w:eastAsia="zh-CN"/>
                    </w:rPr>
                  </w:pPr>
                </w:p>
              </w:tc>
              <w:tc>
                <w:tcPr>
                  <w:tcW w:w="473" w:type="pct"/>
                  <w:tcBorders>
                    <w:tl2br w:val="nil"/>
                    <w:tr2bl w:val="nil"/>
                  </w:tcBorders>
                  <w:tcMar>
                    <w:left w:w="0" w:type="dxa"/>
                    <w:right w:w="0" w:type="dxa"/>
                  </w:tcMar>
                  <w:vAlign w:val="center"/>
                </w:tcPr>
                <w:p w14:paraId="5FBB0E9E">
                  <w:pPr>
                    <w:jc w:val="center"/>
                    <w:rPr>
                      <w:rFonts w:hint="default" w:eastAsia="宋体"/>
                      <w:color w:val="auto"/>
                      <w:kern w:val="0"/>
                      <w:sz w:val="21"/>
                      <w:szCs w:val="21"/>
                      <w:lang w:val="en-US" w:eastAsia="zh-CN"/>
                    </w:rPr>
                  </w:pPr>
                  <w:r>
                    <w:rPr>
                      <w:rFonts w:hint="eastAsia"/>
                      <w:color w:val="auto"/>
                      <w:kern w:val="0"/>
                      <w:sz w:val="21"/>
                      <w:szCs w:val="21"/>
                      <w:lang w:val="en-US" w:eastAsia="zh-CN"/>
                    </w:rPr>
                    <w:t>20</w:t>
                  </w:r>
                </w:p>
              </w:tc>
              <w:tc>
                <w:tcPr>
                  <w:tcW w:w="473" w:type="pct"/>
                  <w:tcBorders>
                    <w:tl2br w:val="nil"/>
                    <w:tr2bl w:val="nil"/>
                  </w:tcBorders>
                  <w:tcMar>
                    <w:left w:w="0" w:type="dxa"/>
                    <w:right w:w="0" w:type="dxa"/>
                  </w:tcMar>
                  <w:vAlign w:val="center"/>
                </w:tcPr>
                <w:p w14:paraId="314E9528">
                  <w:pPr>
                    <w:jc w:val="center"/>
                    <w:rPr>
                      <w:rFonts w:hint="eastAsia" w:eastAsia="宋体"/>
                      <w:color w:val="auto"/>
                      <w:kern w:val="0"/>
                      <w:sz w:val="21"/>
                      <w:szCs w:val="21"/>
                      <w:lang w:val="en-US" w:eastAsia="zh-CN"/>
                    </w:rPr>
                  </w:pPr>
                  <w:r>
                    <w:rPr>
                      <w:rFonts w:hint="eastAsia"/>
                      <w:color w:val="auto"/>
                      <w:kern w:val="0"/>
                      <w:sz w:val="21"/>
                      <w:szCs w:val="21"/>
                      <w:lang w:val="en-US" w:eastAsia="zh-CN"/>
                    </w:rPr>
                    <w:t>--</w:t>
                  </w:r>
                </w:p>
              </w:tc>
              <w:tc>
                <w:tcPr>
                  <w:tcW w:w="1212" w:type="pct"/>
                  <w:vMerge w:val="continue"/>
                  <w:tcBorders>
                    <w:tl2br w:val="nil"/>
                    <w:tr2bl w:val="nil"/>
                  </w:tcBorders>
                  <w:vAlign w:val="center"/>
                </w:tcPr>
                <w:p w14:paraId="5E6F3FB7">
                  <w:pPr>
                    <w:jc w:val="center"/>
                    <w:rPr>
                      <w:color w:val="auto"/>
                      <w:kern w:val="0"/>
                      <w:sz w:val="21"/>
                      <w:szCs w:val="21"/>
                    </w:rPr>
                  </w:pPr>
                </w:p>
              </w:tc>
              <w:tc>
                <w:tcPr>
                  <w:tcW w:w="249" w:type="pct"/>
                  <w:vMerge w:val="continue"/>
                  <w:tcBorders>
                    <w:tl2br w:val="nil"/>
                    <w:tr2bl w:val="nil"/>
                  </w:tcBorders>
                  <w:tcMar>
                    <w:left w:w="0" w:type="dxa"/>
                    <w:right w:w="0" w:type="dxa"/>
                  </w:tcMar>
                  <w:vAlign w:val="center"/>
                </w:tcPr>
                <w:p w14:paraId="73077517">
                  <w:pPr>
                    <w:jc w:val="center"/>
                    <w:rPr>
                      <w:color w:val="auto"/>
                      <w:kern w:val="0"/>
                      <w:sz w:val="21"/>
                      <w:szCs w:val="21"/>
                    </w:rPr>
                  </w:pPr>
                </w:p>
              </w:tc>
            </w:tr>
            <w:tr w14:paraId="1F2BACA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354" w:type="pct"/>
                  <w:vMerge w:val="continue"/>
                  <w:tcBorders>
                    <w:tl2br w:val="nil"/>
                    <w:tr2bl w:val="nil"/>
                  </w:tcBorders>
                  <w:tcMar>
                    <w:left w:w="0" w:type="dxa"/>
                    <w:right w:w="0" w:type="dxa"/>
                  </w:tcMar>
                  <w:vAlign w:val="center"/>
                </w:tcPr>
                <w:p w14:paraId="66F26DB3">
                  <w:pPr>
                    <w:jc w:val="center"/>
                    <w:textAlignment w:val="bottom"/>
                    <w:rPr>
                      <w:rFonts w:hint="eastAsia"/>
                      <w:color w:val="auto"/>
                      <w:kern w:val="0"/>
                      <w:sz w:val="21"/>
                      <w:szCs w:val="21"/>
                    </w:rPr>
                  </w:pPr>
                </w:p>
              </w:tc>
              <w:tc>
                <w:tcPr>
                  <w:tcW w:w="412" w:type="pct"/>
                  <w:vMerge w:val="continue"/>
                  <w:tcBorders>
                    <w:tl2br w:val="nil"/>
                    <w:tr2bl w:val="nil"/>
                  </w:tcBorders>
                  <w:tcMar>
                    <w:left w:w="0" w:type="dxa"/>
                    <w:right w:w="0" w:type="dxa"/>
                  </w:tcMar>
                  <w:vAlign w:val="center"/>
                </w:tcPr>
                <w:p w14:paraId="313510B9">
                  <w:pPr>
                    <w:jc w:val="center"/>
                    <w:textAlignment w:val="bottom"/>
                    <w:rPr>
                      <w:rFonts w:hint="eastAsia"/>
                      <w:color w:val="auto"/>
                      <w:kern w:val="0"/>
                      <w:sz w:val="21"/>
                      <w:szCs w:val="21"/>
                    </w:rPr>
                  </w:pPr>
                </w:p>
              </w:tc>
              <w:tc>
                <w:tcPr>
                  <w:tcW w:w="712" w:type="pct"/>
                  <w:vMerge w:val="restart"/>
                  <w:tcBorders>
                    <w:tl2br w:val="nil"/>
                    <w:tr2bl w:val="nil"/>
                  </w:tcBorders>
                  <w:tcMar>
                    <w:left w:w="0" w:type="dxa"/>
                    <w:right w:w="0" w:type="dxa"/>
                  </w:tcMar>
                  <w:vAlign w:val="center"/>
                </w:tcPr>
                <w:p w14:paraId="7E4B0E43">
                  <w:pPr>
                    <w:pStyle w:val="656"/>
                    <w:snapToGrid w:val="0"/>
                    <w:rPr>
                      <w:rFonts w:hint="eastAsia"/>
                      <w:bCs/>
                      <w:color w:val="auto"/>
                      <w:kern w:val="0"/>
                      <w:sz w:val="21"/>
                      <w:szCs w:val="21"/>
                    </w:rPr>
                  </w:pPr>
                  <w:r>
                    <w:rPr>
                      <w:rFonts w:hint="eastAsia" w:eastAsia="宋体"/>
                      <w:color w:val="auto"/>
                      <w:sz w:val="21"/>
                      <w:szCs w:val="21"/>
                      <w:lang w:val="en-US" w:eastAsia="zh-CN"/>
                    </w:rPr>
                    <w:t>SO</w:t>
                  </w:r>
                  <w:r>
                    <w:rPr>
                      <w:rFonts w:hint="eastAsia" w:eastAsia="宋体"/>
                      <w:color w:val="auto"/>
                      <w:sz w:val="21"/>
                      <w:szCs w:val="21"/>
                      <w:vertAlign w:val="subscript"/>
                      <w:lang w:val="en-US" w:eastAsia="zh-CN"/>
                    </w:rPr>
                    <w:t>2</w:t>
                  </w:r>
                </w:p>
              </w:tc>
              <w:tc>
                <w:tcPr>
                  <w:tcW w:w="555" w:type="pct"/>
                  <w:vMerge w:val="restart"/>
                  <w:tcBorders>
                    <w:tl2br w:val="nil"/>
                    <w:tr2bl w:val="nil"/>
                  </w:tcBorders>
                  <w:tcMar>
                    <w:left w:w="0" w:type="dxa"/>
                    <w:right w:w="0" w:type="dxa"/>
                  </w:tcMar>
                  <w:vAlign w:val="center"/>
                </w:tcPr>
                <w:p w14:paraId="3AE7B1BE">
                  <w:pPr>
                    <w:pStyle w:val="656"/>
                    <w:snapToGrid w:val="0"/>
                    <w:rPr>
                      <w:rFonts w:hint="eastAsia" w:eastAsia="宋体"/>
                      <w:color w:val="auto"/>
                      <w:sz w:val="21"/>
                      <w:szCs w:val="21"/>
                    </w:rPr>
                  </w:pPr>
                  <w:r>
                    <w:rPr>
                      <w:rFonts w:hint="eastAsia" w:eastAsia="宋体"/>
                      <w:color w:val="auto"/>
                      <w:sz w:val="21"/>
                      <w:szCs w:val="21"/>
                      <w:lang w:val="en-US" w:eastAsia="zh-CN"/>
                    </w:rPr>
                    <w:t>1.23</w:t>
                  </w:r>
                </w:p>
              </w:tc>
              <w:tc>
                <w:tcPr>
                  <w:tcW w:w="555" w:type="pct"/>
                  <w:vMerge w:val="restart"/>
                  <w:tcBorders>
                    <w:tl2br w:val="nil"/>
                    <w:tr2bl w:val="nil"/>
                  </w:tcBorders>
                  <w:tcMar>
                    <w:left w:w="0" w:type="dxa"/>
                    <w:right w:w="0" w:type="dxa"/>
                  </w:tcMar>
                  <w:vAlign w:val="center"/>
                </w:tcPr>
                <w:p w14:paraId="0DCE6744">
                  <w:pPr>
                    <w:pStyle w:val="656"/>
                    <w:snapToGrid w:val="0"/>
                    <w:rPr>
                      <w:rFonts w:hint="eastAsia" w:eastAsia="宋体"/>
                      <w:color w:val="auto"/>
                      <w:sz w:val="21"/>
                      <w:szCs w:val="21"/>
                    </w:rPr>
                  </w:pPr>
                  <w:r>
                    <w:rPr>
                      <w:rFonts w:hint="eastAsia" w:eastAsia="宋体"/>
                      <w:color w:val="auto"/>
                      <w:sz w:val="21"/>
                      <w:szCs w:val="21"/>
                      <w:lang w:val="en-US" w:eastAsia="zh-CN"/>
                    </w:rPr>
                    <w:t>0.008</w:t>
                  </w:r>
                </w:p>
              </w:tc>
              <w:tc>
                <w:tcPr>
                  <w:tcW w:w="473" w:type="pct"/>
                  <w:tcBorders>
                    <w:tl2br w:val="nil"/>
                    <w:tr2bl w:val="nil"/>
                  </w:tcBorders>
                  <w:tcMar>
                    <w:left w:w="0" w:type="dxa"/>
                    <w:right w:w="0" w:type="dxa"/>
                  </w:tcMar>
                  <w:vAlign w:val="center"/>
                </w:tcPr>
                <w:p w14:paraId="4C8A3C5E">
                  <w:pPr>
                    <w:jc w:val="center"/>
                    <w:rPr>
                      <w:rFonts w:hint="default" w:eastAsia="宋体"/>
                      <w:color w:val="auto"/>
                      <w:kern w:val="0"/>
                      <w:sz w:val="21"/>
                      <w:szCs w:val="21"/>
                      <w:lang w:val="en-US" w:eastAsia="zh-CN"/>
                    </w:rPr>
                  </w:pPr>
                  <w:r>
                    <w:rPr>
                      <w:rFonts w:hint="eastAsia"/>
                      <w:color w:val="auto"/>
                      <w:kern w:val="0"/>
                      <w:sz w:val="21"/>
                      <w:szCs w:val="21"/>
                      <w:lang w:val="en-US" w:eastAsia="zh-CN"/>
                    </w:rPr>
                    <w:t>100</w:t>
                  </w:r>
                </w:p>
              </w:tc>
              <w:tc>
                <w:tcPr>
                  <w:tcW w:w="473" w:type="pct"/>
                  <w:tcBorders>
                    <w:tl2br w:val="nil"/>
                    <w:tr2bl w:val="nil"/>
                  </w:tcBorders>
                  <w:tcMar>
                    <w:left w:w="0" w:type="dxa"/>
                    <w:right w:w="0" w:type="dxa"/>
                  </w:tcMar>
                  <w:vAlign w:val="center"/>
                </w:tcPr>
                <w:p w14:paraId="049A3663">
                  <w:pPr>
                    <w:jc w:val="center"/>
                    <w:rPr>
                      <w:rFonts w:hint="eastAsia" w:eastAsia="宋体"/>
                      <w:color w:val="auto"/>
                      <w:kern w:val="0"/>
                      <w:sz w:val="21"/>
                      <w:szCs w:val="21"/>
                      <w:lang w:val="en-US" w:eastAsia="zh-CN"/>
                    </w:rPr>
                  </w:pPr>
                  <w:r>
                    <w:rPr>
                      <w:rFonts w:hint="eastAsia"/>
                      <w:color w:val="auto"/>
                      <w:kern w:val="0"/>
                      <w:sz w:val="21"/>
                      <w:szCs w:val="21"/>
                      <w:lang w:val="en-US" w:eastAsia="zh-CN"/>
                    </w:rPr>
                    <w:t>--</w:t>
                  </w:r>
                </w:p>
              </w:tc>
              <w:tc>
                <w:tcPr>
                  <w:tcW w:w="1212" w:type="pct"/>
                  <w:vMerge w:val="continue"/>
                  <w:tcBorders>
                    <w:tl2br w:val="nil"/>
                    <w:tr2bl w:val="nil"/>
                  </w:tcBorders>
                  <w:vAlign w:val="center"/>
                </w:tcPr>
                <w:p w14:paraId="5A41293F">
                  <w:pPr>
                    <w:jc w:val="center"/>
                    <w:rPr>
                      <w:rFonts w:hint="eastAsia"/>
                      <w:bCs/>
                      <w:color w:val="auto"/>
                      <w:kern w:val="0"/>
                      <w:sz w:val="21"/>
                      <w:szCs w:val="21"/>
                    </w:rPr>
                  </w:pPr>
                </w:p>
              </w:tc>
              <w:tc>
                <w:tcPr>
                  <w:tcW w:w="249" w:type="pct"/>
                  <w:vMerge w:val="restart"/>
                  <w:tcBorders>
                    <w:tl2br w:val="nil"/>
                    <w:tr2bl w:val="nil"/>
                  </w:tcBorders>
                  <w:tcMar>
                    <w:left w:w="0" w:type="dxa"/>
                    <w:right w:w="0" w:type="dxa"/>
                  </w:tcMar>
                  <w:vAlign w:val="center"/>
                </w:tcPr>
                <w:p w14:paraId="2981FF09">
                  <w:pPr>
                    <w:jc w:val="center"/>
                    <w:rPr>
                      <w:color w:val="auto"/>
                      <w:kern w:val="0"/>
                      <w:sz w:val="21"/>
                      <w:szCs w:val="21"/>
                    </w:rPr>
                  </w:pPr>
                  <w:r>
                    <w:rPr>
                      <w:color w:val="auto"/>
                      <w:kern w:val="0"/>
                      <w:sz w:val="21"/>
                      <w:szCs w:val="21"/>
                    </w:rPr>
                    <w:t>达标</w:t>
                  </w:r>
                </w:p>
                <w:p w14:paraId="5336FFCA">
                  <w:pPr>
                    <w:jc w:val="center"/>
                    <w:rPr>
                      <w:color w:val="auto"/>
                      <w:kern w:val="0"/>
                      <w:sz w:val="21"/>
                      <w:szCs w:val="21"/>
                    </w:rPr>
                  </w:pPr>
                  <w:r>
                    <w:rPr>
                      <w:color w:val="auto"/>
                      <w:kern w:val="0"/>
                      <w:sz w:val="21"/>
                      <w:szCs w:val="21"/>
                    </w:rPr>
                    <w:t>达标</w:t>
                  </w:r>
                </w:p>
              </w:tc>
            </w:tr>
            <w:tr w14:paraId="7A56E4F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354" w:type="pct"/>
                  <w:vMerge w:val="continue"/>
                  <w:tcBorders>
                    <w:tl2br w:val="nil"/>
                    <w:tr2bl w:val="nil"/>
                  </w:tcBorders>
                  <w:tcMar>
                    <w:left w:w="0" w:type="dxa"/>
                    <w:right w:w="0" w:type="dxa"/>
                  </w:tcMar>
                  <w:vAlign w:val="center"/>
                </w:tcPr>
                <w:p w14:paraId="686A2A81">
                  <w:pPr>
                    <w:jc w:val="center"/>
                    <w:textAlignment w:val="bottom"/>
                    <w:rPr>
                      <w:rFonts w:hint="eastAsia"/>
                      <w:color w:val="auto"/>
                      <w:kern w:val="0"/>
                      <w:sz w:val="21"/>
                      <w:szCs w:val="21"/>
                    </w:rPr>
                  </w:pPr>
                </w:p>
              </w:tc>
              <w:tc>
                <w:tcPr>
                  <w:tcW w:w="412" w:type="pct"/>
                  <w:vMerge w:val="continue"/>
                  <w:tcBorders>
                    <w:tl2br w:val="nil"/>
                    <w:tr2bl w:val="nil"/>
                  </w:tcBorders>
                  <w:tcMar>
                    <w:left w:w="0" w:type="dxa"/>
                    <w:right w:w="0" w:type="dxa"/>
                  </w:tcMar>
                  <w:vAlign w:val="center"/>
                </w:tcPr>
                <w:p w14:paraId="0CA29CD3">
                  <w:pPr>
                    <w:jc w:val="center"/>
                    <w:textAlignment w:val="bottom"/>
                    <w:rPr>
                      <w:rFonts w:hint="eastAsia"/>
                      <w:color w:val="auto"/>
                      <w:kern w:val="0"/>
                      <w:sz w:val="21"/>
                      <w:szCs w:val="21"/>
                    </w:rPr>
                  </w:pPr>
                </w:p>
              </w:tc>
              <w:tc>
                <w:tcPr>
                  <w:tcW w:w="712" w:type="pct"/>
                  <w:vMerge w:val="continue"/>
                  <w:tcBorders>
                    <w:tl2br w:val="nil"/>
                    <w:tr2bl w:val="nil"/>
                  </w:tcBorders>
                  <w:tcMar>
                    <w:left w:w="0" w:type="dxa"/>
                    <w:right w:w="0" w:type="dxa"/>
                  </w:tcMar>
                  <w:vAlign w:val="center"/>
                </w:tcPr>
                <w:p w14:paraId="1B611684">
                  <w:pPr>
                    <w:pStyle w:val="656"/>
                    <w:snapToGrid w:val="0"/>
                    <w:rPr>
                      <w:rFonts w:hint="eastAsia" w:eastAsia="宋体"/>
                      <w:color w:val="auto"/>
                      <w:sz w:val="21"/>
                      <w:szCs w:val="21"/>
                      <w:lang w:val="en-US" w:eastAsia="zh-CN"/>
                    </w:rPr>
                  </w:pPr>
                </w:p>
              </w:tc>
              <w:tc>
                <w:tcPr>
                  <w:tcW w:w="555" w:type="pct"/>
                  <w:vMerge w:val="continue"/>
                  <w:tcBorders>
                    <w:tl2br w:val="nil"/>
                    <w:tr2bl w:val="nil"/>
                  </w:tcBorders>
                  <w:tcMar>
                    <w:left w:w="0" w:type="dxa"/>
                    <w:right w:w="0" w:type="dxa"/>
                  </w:tcMar>
                  <w:vAlign w:val="center"/>
                </w:tcPr>
                <w:p w14:paraId="0F0640E6">
                  <w:pPr>
                    <w:pStyle w:val="656"/>
                    <w:snapToGrid w:val="0"/>
                    <w:rPr>
                      <w:rFonts w:hint="eastAsia" w:eastAsia="宋体"/>
                      <w:color w:val="auto"/>
                      <w:sz w:val="21"/>
                      <w:szCs w:val="21"/>
                      <w:lang w:val="en-US" w:eastAsia="zh-CN"/>
                    </w:rPr>
                  </w:pPr>
                </w:p>
              </w:tc>
              <w:tc>
                <w:tcPr>
                  <w:tcW w:w="555" w:type="pct"/>
                  <w:vMerge w:val="continue"/>
                  <w:tcBorders>
                    <w:tl2br w:val="nil"/>
                    <w:tr2bl w:val="nil"/>
                  </w:tcBorders>
                  <w:tcMar>
                    <w:left w:w="0" w:type="dxa"/>
                    <w:right w:w="0" w:type="dxa"/>
                  </w:tcMar>
                  <w:vAlign w:val="center"/>
                </w:tcPr>
                <w:p w14:paraId="3A042A98">
                  <w:pPr>
                    <w:pStyle w:val="656"/>
                    <w:snapToGrid w:val="0"/>
                    <w:rPr>
                      <w:rFonts w:hint="eastAsia" w:eastAsia="宋体"/>
                      <w:color w:val="auto"/>
                      <w:sz w:val="21"/>
                      <w:szCs w:val="21"/>
                      <w:lang w:val="en-US" w:eastAsia="zh-CN"/>
                    </w:rPr>
                  </w:pPr>
                </w:p>
              </w:tc>
              <w:tc>
                <w:tcPr>
                  <w:tcW w:w="473" w:type="pct"/>
                  <w:tcBorders>
                    <w:tl2br w:val="nil"/>
                    <w:tr2bl w:val="nil"/>
                  </w:tcBorders>
                  <w:tcMar>
                    <w:left w:w="0" w:type="dxa"/>
                    <w:right w:w="0" w:type="dxa"/>
                  </w:tcMar>
                  <w:vAlign w:val="center"/>
                </w:tcPr>
                <w:p w14:paraId="6DD7B89F">
                  <w:pPr>
                    <w:jc w:val="center"/>
                    <w:rPr>
                      <w:rFonts w:hint="default" w:eastAsia="宋体"/>
                      <w:color w:val="auto"/>
                      <w:kern w:val="0"/>
                      <w:sz w:val="21"/>
                      <w:szCs w:val="21"/>
                      <w:lang w:val="en-US" w:eastAsia="zh-CN"/>
                    </w:rPr>
                  </w:pPr>
                  <w:r>
                    <w:rPr>
                      <w:rFonts w:hint="eastAsia"/>
                      <w:color w:val="auto"/>
                      <w:kern w:val="0"/>
                      <w:sz w:val="21"/>
                      <w:szCs w:val="21"/>
                      <w:lang w:val="en-US" w:eastAsia="zh-CN"/>
                    </w:rPr>
                    <w:t>80</w:t>
                  </w:r>
                </w:p>
              </w:tc>
              <w:tc>
                <w:tcPr>
                  <w:tcW w:w="473" w:type="pct"/>
                  <w:tcBorders>
                    <w:tl2br w:val="nil"/>
                    <w:tr2bl w:val="nil"/>
                  </w:tcBorders>
                  <w:tcMar>
                    <w:left w:w="0" w:type="dxa"/>
                    <w:right w:w="0" w:type="dxa"/>
                  </w:tcMar>
                  <w:vAlign w:val="center"/>
                </w:tcPr>
                <w:p w14:paraId="736BD2D7">
                  <w:pPr>
                    <w:jc w:val="center"/>
                    <w:rPr>
                      <w:rFonts w:hint="eastAsia" w:eastAsia="宋体"/>
                      <w:color w:val="auto"/>
                      <w:kern w:val="0"/>
                      <w:sz w:val="21"/>
                      <w:szCs w:val="21"/>
                      <w:lang w:val="en-US" w:eastAsia="zh-CN"/>
                    </w:rPr>
                  </w:pPr>
                  <w:r>
                    <w:rPr>
                      <w:rFonts w:hint="eastAsia"/>
                      <w:color w:val="auto"/>
                      <w:kern w:val="0"/>
                      <w:sz w:val="21"/>
                      <w:szCs w:val="21"/>
                      <w:lang w:val="en-US" w:eastAsia="zh-CN"/>
                    </w:rPr>
                    <w:t>--</w:t>
                  </w:r>
                </w:p>
              </w:tc>
              <w:tc>
                <w:tcPr>
                  <w:tcW w:w="1212" w:type="pct"/>
                  <w:vMerge w:val="continue"/>
                  <w:tcBorders>
                    <w:tl2br w:val="nil"/>
                    <w:tr2bl w:val="nil"/>
                  </w:tcBorders>
                  <w:vAlign w:val="center"/>
                </w:tcPr>
                <w:p w14:paraId="61F7ABA7">
                  <w:pPr>
                    <w:jc w:val="center"/>
                    <w:rPr>
                      <w:rFonts w:hint="eastAsia"/>
                      <w:bCs/>
                      <w:color w:val="auto"/>
                      <w:kern w:val="0"/>
                      <w:sz w:val="21"/>
                      <w:szCs w:val="21"/>
                    </w:rPr>
                  </w:pPr>
                </w:p>
              </w:tc>
              <w:tc>
                <w:tcPr>
                  <w:tcW w:w="249" w:type="pct"/>
                  <w:vMerge w:val="continue"/>
                  <w:tcBorders>
                    <w:tl2br w:val="nil"/>
                    <w:tr2bl w:val="nil"/>
                  </w:tcBorders>
                  <w:tcMar>
                    <w:left w:w="0" w:type="dxa"/>
                    <w:right w:w="0" w:type="dxa"/>
                  </w:tcMar>
                  <w:vAlign w:val="center"/>
                </w:tcPr>
                <w:p w14:paraId="10D13FDD">
                  <w:pPr>
                    <w:jc w:val="center"/>
                    <w:rPr>
                      <w:color w:val="auto"/>
                      <w:kern w:val="0"/>
                      <w:sz w:val="21"/>
                      <w:szCs w:val="21"/>
                    </w:rPr>
                  </w:pPr>
                </w:p>
              </w:tc>
            </w:tr>
            <w:tr w14:paraId="05FD88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354" w:type="pct"/>
                  <w:vMerge w:val="continue"/>
                  <w:tcBorders>
                    <w:tl2br w:val="nil"/>
                    <w:tr2bl w:val="nil"/>
                  </w:tcBorders>
                  <w:tcMar>
                    <w:left w:w="0" w:type="dxa"/>
                    <w:right w:w="0" w:type="dxa"/>
                  </w:tcMar>
                  <w:vAlign w:val="center"/>
                </w:tcPr>
                <w:p w14:paraId="5E5C260D">
                  <w:pPr>
                    <w:jc w:val="center"/>
                    <w:textAlignment w:val="bottom"/>
                    <w:rPr>
                      <w:rFonts w:hint="eastAsia"/>
                      <w:color w:val="auto"/>
                      <w:kern w:val="0"/>
                      <w:sz w:val="21"/>
                      <w:szCs w:val="21"/>
                    </w:rPr>
                  </w:pPr>
                </w:p>
              </w:tc>
              <w:tc>
                <w:tcPr>
                  <w:tcW w:w="412" w:type="pct"/>
                  <w:vMerge w:val="continue"/>
                  <w:tcBorders>
                    <w:tl2br w:val="nil"/>
                    <w:tr2bl w:val="nil"/>
                  </w:tcBorders>
                  <w:tcMar>
                    <w:left w:w="0" w:type="dxa"/>
                    <w:right w:w="0" w:type="dxa"/>
                  </w:tcMar>
                  <w:vAlign w:val="center"/>
                </w:tcPr>
                <w:p w14:paraId="6FE2CEDD">
                  <w:pPr>
                    <w:jc w:val="center"/>
                    <w:textAlignment w:val="bottom"/>
                    <w:rPr>
                      <w:rFonts w:hint="eastAsia"/>
                      <w:color w:val="auto"/>
                      <w:kern w:val="0"/>
                      <w:sz w:val="21"/>
                      <w:szCs w:val="21"/>
                    </w:rPr>
                  </w:pPr>
                </w:p>
              </w:tc>
              <w:tc>
                <w:tcPr>
                  <w:tcW w:w="712" w:type="pct"/>
                  <w:vMerge w:val="restart"/>
                  <w:tcBorders>
                    <w:tl2br w:val="nil"/>
                    <w:tr2bl w:val="nil"/>
                  </w:tcBorders>
                  <w:tcMar>
                    <w:left w:w="0" w:type="dxa"/>
                    <w:right w:w="0" w:type="dxa"/>
                  </w:tcMar>
                  <w:vAlign w:val="center"/>
                </w:tcPr>
                <w:p w14:paraId="15850656">
                  <w:pPr>
                    <w:pStyle w:val="656"/>
                    <w:snapToGrid w:val="0"/>
                    <w:rPr>
                      <w:rFonts w:hint="eastAsia"/>
                      <w:bCs/>
                      <w:color w:val="auto"/>
                      <w:kern w:val="0"/>
                      <w:sz w:val="21"/>
                      <w:szCs w:val="21"/>
                    </w:rPr>
                  </w:pPr>
                  <w:r>
                    <w:rPr>
                      <w:rFonts w:hint="eastAsia" w:eastAsia="宋体"/>
                      <w:color w:val="auto"/>
                      <w:sz w:val="21"/>
                      <w:szCs w:val="21"/>
                      <w:lang w:val="en-US" w:eastAsia="zh-CN"/>
                    </w:rPr>
                    <w:t>NOx</w:t>
                  </w:r>
                </w:p>
              </w:tc>
              <w:tc>
                <w:tcPr>
                  <w:tcW w:w="555" w:type="pct"/>
                  <w:vMerge w:val="restart"/>
                  <w:tcBorders>
                    <w:tl2br w:val="nil"/>
                    <w:tr2bl w:val="nil"/>
                  </w:tcBorders>
                  <w:tcMar>
                    <w:left w:w="0" w:type="dxa"/>
                    <w:right w:w="0" w:type="dxa"/>
                  </w:tcMar>
                  <w:vAlign w:val="center"/>
                </w:tcPr>
                <w:p w14:paraId="2A574410">
                  <w:pPr>
                    <w:pStyle w:val="656"/>
                    <w:snapToGrid w:val="0"/>
                    <w:rPr>
                      <w:rFonts w:hint="default" w:eastAsia="宋体"/>
                      <w:color w:val="auto"/>
                      <w:sz w:val="21"/>
                      <w:szCs w:val="21"/>
                      <w:lang w:val="en-US"/>
                    </w:rPr>
                  </w:pPr>
                  <w:r>
                    <w:rPr>
                      <w:rFonts w:hint="eastAsia" w:eastAsia="宋体"/>
                      <w:color w:val="auto"/>
                      <w:sz w:val="21"/>
                      <w:szCs w:val="21"/>
                      <w:lang w:val="en-US" w:eastAsia="zh-CN"/>
                    </w:rPr>
                    <w:t>3.85</w:t>
                  </w:r>
                </w:p>
              </w:tc>
              <w:tc>
                <w:tcPr>
                  <w:tcW w:w="555" w:type="pct"/>
                  <w:vMerge w:val="restart"/>
                  <w:tcBorders>
                    <w:tl2br w:val="nil"/>
                    <w:tr2bl w:val="nil"/>
                  </w:tcBorders>
                  <w:tcMar>
                    <w:left w:w="0" w:type="dxa"/>
                    <w:right w:w="0" w:type="dxa"/>
                  </w:tcMar>
                  <w:vAlign w:val="center"/>
                </w:tcPr>
                <w:p w14:paraId="3220C4E5">
                  <w:pPr>
                    <w:pStyle w:val="656"/>
                    <w:snapToGrid w:val="0"/>
                    <w:rPr>
                      <w:rFonts w:hint="default" w:eastAsia="宋体"/>
                      <w:color w:val="auto"/>
                      <w:sz w:val="21"/>
                      <w:szCs w:val="21"/>
                      <w:lang w:val="en-US"/>
                    </w:rPr>
                  </w:pPr>
                  <w:r>
                    <w:rPr>
                      <w:rFonts w:hint="eastAsia" w:eastAsia="宋体"/>
                      <w:color w:val="auto"/>
                      <w:sz w:val="21"/>
                      <w:szCs w:val="21"/>
                      <w:lang w:val="en-US" w:eastAsia="zh-CN"/>
                    </w:rPr>
                    <w:t>0.025</w:t>
                  </w:r>
                </w:p>
              </w:tc>
              <w:tc>
                <w:tcPr>
                  <w:tcW w:w="473" w:type="pct"/>
                  <w:tcBorders>
                    <w:tl2br w:val="nil"/>
                    <w:tr2bl w:val="nil"/>
                  </w:tcBorders>
                  <w:tcMar>
                    <w:left w:w="0" w:type="dxa"/>
                    <w:right w:w="0" w:type="dxa"/>
                  </w:tcMar>
                  <w:vAlign w:val="center"/>
                </w:tcPr>
                <w:p w14:paraId="616280F1">
                  <w:pPr>
                    <w:jc w:val="center"/>
                    <w:rPr>
                      <w:rFonts w:hint="default" w:eastAsia="宋体"/>
                      <w:color w:val="auto"/>
                      <w:kern w:val="0"/>
                      <w:sz w:val="21"/>
                      <w:szCs w:val="21"/>
                      <w:lang w:val="en-US" w:eastAsia="zh-CN"/>
                    </w:rPr>
                  </w:pPr>
                  <w:r>
                    <w:rPr>
                      <w:rFonts w:hint="eastAsia"/>
                      <w:color w:val="auto"/>
                      <w:kern w:val="0"/>
                      <w:sz w:val="21"/>
                      <w:szCs w:val="21"/>
                      <w:lang w:val="en-US" w:eastAsia="zh-CN"/>
                    </w:rPr>
                    <w:t>300</w:t>
                  </w:r>
                </w:p>
              </w:tc>
              <w:tc>
                <w:tcPr>
                  <w:tcW w:w="473" w:type="pct"/>
                  <w:tcBorders>
                    <w:tl2br w:val="nil"/>
                    <w:tr2bl w:val="nil"/>
                  </w:tcBorders>
                  <w:tcMar>
                    <w:left w:w="0" w:type="dxa"/>
                    <w:right w:w="0" w:type="dxa"/>
                  </w:tcMar>
                  <w:vAlign w:val="center"/>
                </w:tcPr>
                <w:p w14:paraId="53A90DE7">
                  <w:pPr>
                    <w:jc w:val="center"/>
                    <w:rPr>
                      <w:rFonts w:hint="eastAsia" w:eastAsia="宋体"/>
                      <w:color w:val="auto"/>
                      <w:kern w:val="0"/>
                      <w:sz w:val="21"/>
                      <w:szCs w:val="21"/>
                      <w:lang w:val="en-US" w:eastAsia="zh-CN"/>
                    </w:rPr>
                  </w:pPr>
                  <w:r>
                    <w:rPr>
                      <w:rFonts w:hint="eastAsia"/>
                      <w:color w:val="auto"/>
                      <w:kern w:val="0"/>
                      <w:sz w:val="21"/>
                      <w:szCs w:val="21"/>
                      <w:lang w:val="en-US" w:eastAsia="zh-CN"/>
                    </w:rPr>
                    <w:t>--</w:t>
                  </w:r>
                </w:p>
              </w:tc>
              <w:tc>
                <w:tcPr>
                  <w:tcW w:w="1212" w:type="pct"/>
                  <w:vMerge w:val="continue"/>
                  <w:tcBorders>
                    <w:tl2br w:val="nil"/>
                    <w:tr2bl w:val="nil"/>
                  </w:tcBorders>
                  <w:vAlign w:val="center"/>
                </w:tcPr>
                <w:p w14:paraId="1C91C001">
                  <w:pPr>
                    <w:jc w:val="center"/>
                    <w:rPr>
                      <w:rFonts w:hint="eastAsia"/>
                      <w:bCs/>
                      <w:color w:val="auto"/>
                      <w:kern w:val="0"/>
                      <w:sz w:val="21"/>
                      <w:szCs w:val="21"/>
                    </w:rPr>
                  </w:pPr>
                </w:p>
              </w:tc>
              <w:tc>
                <w:tcPr>
                  <w:tcW w:w="249" w:type="pct"/>
                  <w:vMerge w:val="restart"/>
                  <w:tcBorders>
                    <w:tl2br w:val="nil"/>
                    <w:tr2bl w:val="nil"/>
                  </w:tcBorders>
                  <w:tcMar>
                    <w:left w:w="0" w:type="dxa"/>
                    <w:right w:w="0" w:type="dxa"/>
                  </w:tcMar>
                  <w:vAlign w:val="center"/>
                </w:tcPr>
                <w:p w14:paraId="4F1897F5">
                  <w:pPr>
                    <w:jc w:val="center"/>
                    <w:rPr>
                      <w:color w:val="auto"/>
                      <w:kern w:val="0"/>
                      <w:sz w:val="21"/>
                      <w:szCs w:val="21"/>
                    </w:rPr>
                  </w:pPr>
                  <w:r>
                    <w:rPr>
                      <w:color w:val="auto"/>
                      <w:kern w:val="0"/>
                      <w:sz w:val="21"/>
                      <w:szCs w:val="21"/>
                    </w:rPr>
                    <w:t>达标</w:t>
                  </w:r>
                </w:p>
                <w:p w14:paraId="790B74CC">
                  <w:pPr>
                    <w:jc w:val="center"/>
                    <w:rPr>
                      <w:color w:val="auto"/>
                      <w:kern w:val="0"/>
                      <w:sz w:val="21"/>
                      <w:szCs w:val="21"/>
                    </w:rPr>
                  </w:pPr>
                  <w:r>
                    <w:rPr>
                      <w:color w:val="auto"/>
                      <w:kern w:val="0"/>
                      <w:sz w:val="21"/>
                      <w:szCs w:val="21"/>
                    </w:rPr>
                    <w:t>达标</w:t>
                  </w:r>
                </w:p>
              </w:tc>
            </w:tr>
            <w:tr w14:paraId="7523F8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354" w:type="pct"/>
                  <w:vMerge w:val="continue"/>
                  <w:tcBorders>
                    <w:tl2br w:val="nil"/>
                    <w:tr2bl w:val="nil"/>
                  </w:tcBorders>
                  <w:tcMar>
                    <w:left w:w="0" w:type="dxa"/>
                    <w:right w:w="0" w:type="dxa"/>
                  </w:tcMar>
                  <w:vAlign w:val="center"/>
                </w:tcPr>
                <w:p w14:paraId="44161C6D">
                  <w:pPr>
                    <w:jc w:val="center"/>
                    <w:textAlignment w:val="bottom"/>
                    <w:rPr>
                      <w:rFonts w:hint="eastAsia"/>
                      <w:color w:val="auto"/>
                      <w:kern w:val="0"/>
                      <w:sz w:val="21"/>
                      <w:szCs w:val="21"/>
                    </w:rPr>
                  </w:pPr>
                </w:p>
              </w:tc>
              <w:tc>
                <w:tcPr>
                  <w:tcW w:w="412" w:type="pct"/>
                  <w:vMerge w:val="continue"/>
                  <w:tcBorders>
                    <w:tl2br w:val="nil"/>
                    <w:tr2bl w:val="nil"/>
                  </w:tcBorders>
                  <w:tcMar>
                    <w:left w:w="0" w:type="dxa"/>
                    <w:right w:w="0" w:type="dxa"/>
                  </w:tcMar>
                  <w:vAlign w:val="center"/>
                </w:tcPr>
                <w:p w14:paraId="0662E94C">
                  <w:pPr>
                    <w:jc w:val="center"/>
                    <w:textAlignment w:val="bottom"/>
                    <w:rPr>
                      <w:rFonts w:hint="eastAsia"/>
                      <w:color w:val="auto"/>
                      <w:kern w:val="0"/>
                      <w:sz w:val="21"/>
                      <w:szCs w:val="21"/>
                    </w:rPr>
                  </w:pPr>
                </w:p>
              </w:tc>
              <w:tc>
                <w:tcPr>
                  <w:tcW w:w="712" w:type="pct"/>
                  <w:vMerge w:val="continue"/>
                  <w:tcBorders>
                    <w:tl2br w:val="nil"/>
                    <w:tr2bl w:val="nil"/>
                  </w:tcBorders>
                  <w:tcMar>
                    <w:left w:w="0" w:type="dxa"/>
                    <w:right w:w="0" w:type="dxa"/>
                  </w:tcMar>
                  <w:vAlign w:val="center"/>
                </w:tcPr>
                <w:p w14:paraId="6E6A907F">
                  <w:pPr>
                    <w:pStyle w:val="656"/>
                    <w:snapToGrid w:val="0"/>
                    <w:rPr>
                      <w:rFonts w:hint="eastAsia" w:eastAsia="宋体"/>
                      <w:color w:val="auto"/>
                      <w:sz w:val="21"/>
                      <w:szCs w:val="21"/>
                      <w:lang w:val="en-US" w:eastAsia="zh-CN"/>
                    </w:rPr>
                  </w:pPr>
                </w:p>
              </w:tc>
              <w:tc>
                <w:tcPr>
                  <w:tcW w:w="555" w:type="pct"/>
                  <w:vMerge w:val="continue"/>
                  <w:tcBorders>
                    <w:tl2br w:val="nil"/>
                    <w:tr2bl w:val="nil"/>
                  </w:tcBorders>
                  <w:tcMar>
                    <w:left w:w="0" w:type="dxa"/>
                    <w:right w:w="0" w:type="dxa"/>
                  </w:tcMar>
                  <w:vAlign w:val="center"/>
                </w:tcPr>
                <w:p w14:paraId="3388809A">
                  <w:pPr>
                    <w:pStyle w:val="656"/>
                    <w:snapToGrid w:val="0"/>
                    <w:rPr>
                      <w:rFonts w:hint="eastAsia" w:eastAsia="宋体"/>
                      <w:color w:val="auto"/>
                      <w:sz w:val="21"/>
                      <w:szCs w:val="21"/>
                      <w:lang w:val="en-US" w:eastAsia="zh-CN"/>
                    </w:rPr>
                  </w:pPr>
                </w:p>
              </w:tc>
              <w:tc>
                <w:tcPr>
                  <w:tcW w:w="555" w:type="pct"/>
                  <w:vMerge w:val="continue"/>
                  <w:tcBorders>
                    <w:tl2br w:val="nil"/>
                    <w:tr2bl w:val="nil"/>
                  </w:tcBorders>
                  <w:tcMar>
                    <w:left w:w="0" w:type="dxa"/>
                    <w:right w:w="0" w:type="dxa"/>
                  </w:tcMar>
                  <w:vAlign w:val="center"/>
                </w:tcPr>
                <w:p w14:paraId="591A2AA4">
                  <w:pPr>
                    <w:pStyle w:val="656"/>
                    <w:snapToGrid w:val="0"/>
                    <w:rPr>
                      <w:rFonts w:hint="eastAsia" w:eastAsia="宋体"/>
                      <w:color w:val="auto"/>
                      <w:sz w:val="21"/>
                      <w:szCs w:val="21"/>
                      <w:lang w:val="en-US" w:eastAsia="zh-CN"/>
                    </w:rPr>
                  </w:pPr>
                </w:p>
              </w:tc>
              <w:tc>
                <w:tcPr>
                  <w:tcW w:w="473" w:type="pct"/>
                  <w:tcBorders>
                    <w:tl2br w:val="nil"/>
                    <w:tr2bl w:val="nil"/>
                  </w:tcBorders>
                  <w:tcMar>
                    <w:left w:w="0" w:type="dxa"/>
                    <w:right w:w="0" w:type="dxa"/>
                  </w:tcMar>
                  <w:vAlign w:val="center"/>
                </w:tcPr>
                <w:p w14:paraId="5F17F7EC">
                  <w:pPr>
                    <w:jc w:val="center"/>
                    <w:rPr>
                      <w:rFonts w:hint="default" w:eastAsia="宋体"/>
                      <w:color w:val="auto"/>
                      <w:kern w:val="0"/>
                      <w:sz w:val="21"/>
                      <w:szCs w:val="21"/>
                      <w:lang w:val="en-US" w:eastAsia="zh-CN"/>
                    </w:rPr>
                  </w:pPr>
                  <w:r>
                    <w:rPr>
                      <w:rFonts w:hint="eastAsia"/>
                      <w:color w:val="auto"/>
                      <w:kern w:val="0"/>
                      <w:sz w:val="21"/>
                      <w:szCs w:val="21"/>
                      <w:lang w:val="en-US" w:eastAsia="zh-CN"/>
                    </w:rPr>
                    <w:t>250</w:t>
                  </w:r>
                </w:p>
              </w:tc>
              <w:tc>
                <w:tcPr>
                  <w:tcW w:w="473" w:type="pct"/>
                  <w:tcBorders>
                    <w:tl2br w:val="nil"/>
                    <w:tr2bl w:val="nil"/>
                  </w:tcBorders>
                  <w:tcMar>
                    <w:left w:w="0" w:type="dxa"/>
                    <w:right w:w="0" w:type="dxa"/>
                  </w:tcMar>
                  <w:vAlign w:val="center"/>
                </w:tcPr>
                <w:p w14:paraId="18876055">
                  <w:pPr>
                    <w:jc w:val="center"/>
                    <w:rPr>
                      <w:rFonts w:hint="eastAsia" w:eastAsia="宋体"/>
                      <w:color w:val="auto"/>
                      <w:kern w:val="0"/>
                      <w:sz w:val="21"/>
                      <w:szCs w:val="21"/>
                      <w:lang w:val="en-US" w:eastAsia="zh-CN"/>
                    </w:rPr>
                  </w:pPr>
                  <w:r>
                    <w:rPr>
                      <w:rFonts w:hint="eastAsia"/>
                      <w:color w:val="auto"/>
                      <w:kern w:val="0"/>
                      <w:sz w:val="21"/>
                      <w:szCs w:val="21"/>
                      <w:lang w:val="en-US" w:eastAsia="zh-CN"/>
                    </w:rPr>
                    <w:t>--</w:t>
                  </w:r>
                </w:p>
              </w:tc>
              <w:tc>
                <w:tcPr>
                  <w:tcW w:w="1212" w:type="pct"/>
                  <w:vMerge w:val="continue"/>
                  <w:tcBorders>
                    <w:tl2br w:val="nil"/>
                    <w:tr2bl w:val="nil"/>
                  </w:tcBorders>
                  <w:vAlign w:val="center"/>
                </w:tcPr>
                <w:p w14:paraId="12367BC8">
                  <w:pPr>
                    <w:jc w:val="center"/>
                    <w:rPr>
                      <w:rFonts w:hint="eastAsia"/>
                      <w:bCs/>
                      <w:color w:val="auto"/>
                      <w:kern w:val="0"/>
                      <w:sz w:val="21"/>
                      <w:szCs w:val="21"/>
                    </w:rPr>
                  </w:pPr>
                </w:p>
              </w:tc>
              <w:tc>
                <w:tcPr>
                  <w:tcW w:w="249" w:type="pct"/>
                  <w:vMerge w:val="continue"/>
                  <w:tcBorders>
                    <w:tl2br w:val="nil"/>
                    <w:tr2bl w:val="nil"/>
                  </w:tcBorders>
                  <w:tcMar>
                    <w:left w:w="0" w:type="dxa"/>
                    <w:right w:w="0" w:type="dxa"/>
                  </w:tcMar>
                  <w:vAlign w:val="center"/>
                </w:tcPr>
                <w:p w14:paraId="5069601F">
                  <w:pPr>
                    <w:jc w:val="center"/>
                    <w:rPr>
                      <w:color w:val="auto"/>
                      <w:kern w:val="0"/>
                      <w:sz w:val="21"/>
                      <w:szCs w:val="21"/>
                    </w:rPr>
                  </w:pPr>
                </w:p>
              </w:tc>
            </w:tr>
            <w:tr w14:paraId="55C49C8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354" w:type="pct"/>
                  <w:vMerge w:val="continue"/>
                  <w:tcBorders>
                    <w:tl2br w:val="nil"/>
                    <w:tr2bl w:val="nil"/>
                  </w:tcBorders>
                  <w:tcMar>
                    <w:left w:w="0" w:type="dxa"/>
                    <w:right w:w="0" w:type="dxa"/>
                  </w:tcMar>
                  <w:vAlign w:val="center"/>
                </w:tcPr>
                <w:p w14:paraId="5B546705">
                  <w:pPr>
                    <w:jc w:val="center"/>
                    <w:textAlignment w:val="bottom"/>
                    <w:rPr>
                      <w:rFonts w:hint="eastAsia"/>
                      <w:color w:val="auto"/>
                      <w:kern w:val="0"/>
                      <w:sz w:val="21"/>
                      <w:szCs w:val="21"/>
                    </w:rPr>
                  </w:pPr>
                </w:p>
              </w:tc>
              <w:tc>
                <w:tcPr>
                  <w:tcW w:w="412" w:type="pct"/>
                  <w:vMerge w:val="continue"/>
                  <w:tcBorders>
                    <w:tl2br w:val="nil"/>
                    <w:tr2bl w:val="nil"/>
                  </w:tcBorders>
                  <w:tcMar>
                    <w:left w:w="0" w:type="dxa"/>
                    <w:right w:w="0" w:type="dxa"/>
                  </w:tcMar>
                  <w:vAlign w:val="center"/>
                </w:tcPr>
                <w:p w14:paraId="64E0F520">
                  <w:pPr>
                    <w:jc w:val="center"/>
                    <w:textAlignment w:val="bottom"/>
                    <w:rPr>
                      <w:rFonts w:hint="eastAsia"/>
                      <w:color w:val="auto"/>
                      <w:kern w:val="0"/>
                      <w:sz w:val="21"/>
                      <w:szCs w:val="21"/>
                    </w:rPr>
                  </w:pPr>
                </w:p>
              </w:tc>
              <w:tc>
                <w:tcPr>
                  <w:tcW w:w="712" w:type="pct"/>
                  <w:vMerge w:val="restart"/>
                  <w:tcBorders>
                    <w:tl2br w:val="nil"/>
                    <w:tr2bl w:val="nil"/>
                  </w:tcBorders>
                  <w:tcMar>
                    <w:left w:w="0" w:type="dxa"/>
                    <w:right w:w="0" w:type="dxa"/>
                  </w:tcMar>
                  <w:vAlign w:val="center"/>
                </w:tcPr>
                <w:p w14:paraId="34487AA8">
                  <w:pPr>
                    <w:pStyle w:val="656"/>
                    <w:snapToGrid w:val="0"/>
                    <w:rPr>
                      <w:rFonts w:hint="eastAsia"/>
                      <w:bCs/>
                      <w:color w:val="auto"/>
                      <w:kern w:val="0"/>
                      <w:sz w:val="21"/>
                      <w:szCs w:val="21"/>
                    </w:rPr>
                  </w:pPr>
                  <w:r>
                    <w:rPr>
                      <w:rFonts w:hint="eastAsia" w:eastAsia="宋体"/>
                      <w:color w:val="auto"/>
                      <w:sz w:val="21"/>
                      <w:szCs w:val="21"/>
                      <w:lang w:val="en-US" w:eastAsia="zh-CN"/>
                    </w:rPr>
                    <w:t>CO</w:t>
                  </w:r>
                </w:p>
              </w:tc>
              <w:tc>
                <w:tcPr>
                  <w:tcW w:w="555" w:type="pct"/>
                  <w:vMerge w:val="restart"/>
                  <w:tcBorders>
                    <w:tl2br w:val="nil"/>
                    <w:tr2bl w:val="nil"/>
                  </w:tcBorders>
                  <w:tcMar>
                    <w:left w:w="0" w:type="dxa"/>
                    <w:right w:w="0" w:type="dxa"/>
                  </w:tcMar>
                  <w:vAlign w:val="center"/>
                </w:tcPr>
                <w:p w14:paraId="11F1CD61">
                  <w:pPr>
                    <w:pStyle w:val="656"/>
                    <w:snapToGrid w:val="0"/>
                    <w:rPr>
                      <w:rFonts w:hint="eastAsia" w:eastAsia="宋体"/>
                      <w:color w:val="auto"/>
                      <w:sz w:val="21"/>
                      <w:szCs w:val="21"/>
                    </w:rPr>
                  </w:pPr>
                  <w:r>
                    <w:rPr>
                      <w:rFonts w:hint="eastAsia" w:eastAsia="宋体"/>
                      <w:color w:val="auto"/>
                      <w:sz w:val="21"/>
                      <w:szCs w:val="21"/>
                      <w:lang w:val="en-US" w:eastAsia="zh-CN"/>
                    </w:rPr>
                    <w:t>1.2</w:t>
                  </w:r>
                </w:p>
              </w:tc>
              <w:tc>
                <w:tcPr>
                  <w:tcW w:w="555" w:type="pct"/>
                  <w:vMerge w:val="restart"/>
                  <w:tcBorders>
                    <w:tl2br w:val="nil"/>
                    <w:tr2bl w:val="nil"/>
                  </w:tcBorders>
                  <w:tcMar>
                    <w:left w:w="0" w:type="dxa"/>
                    <w:right w:w="0" w:type="dxa"/>
                  </w:tcMar>
                  <w:vAlign w:val="center"/>
                </w:tcPr>
                <w:p w14:paraId="14898E0D">
                  <w:pPr>
                    <w:pStyle w:val="656"/>
                    <w:snapToGrid w:val="0"/>
                    <w:rPr>
                      <w:rFonts w:hint="default" w:eastAsia="宋体"/>
                      <w:color w:val="auto"/>
                      <w:sz w:val="21"/>
                      <w:szCs w:val="21"/>
                      <w:lang w:val="en-US"/>
                    </w:rPr>
                  </w:pPr>
                  <w:r>
                    <w:rPr>
                      <w:rFonts w:hint="eastAsia" w:eastAsia="宋体"/>
                      <w:color w:val="auto"/>
                      <w:sz w:val="21"/>
                      <w:szCs w:val="21"/>
                      <w:lang w:val="en-US" w:eastAsia="zh-CN"/>
                    </w:rPr>
                    <w:t>0.008</w:t>
                  </w:r>
                </w:p>
              </w:tc>
              <w:tc>
                <w:tcPr>
                  <w:tcW w:w="473" w:type="pct"/>
                  <w:tcBorders>
                    <w:tl2br w:val="nil"/>
                    <w:tr2bl w:val="nil"/>
                  </w:tcBorders>
                  <w:tcMar>
                    <w:left w:w="0" w:type="dxa"/>
                    <w:right w:w="0" w:type="dxa"/>
                  </w:tcMar>
                  <w:vAlign w:val="center"/>
                </w:tcPr>
                <w:p w14:paraId="78EBD9D5">
                  <w:pPr>
                    <w:jc w:val="center"/>
                    <w:rPr>
                      <w:rFonts w:hint="default" w:eastAsia="宋体"/>
                      <w:color w:val="auto"/>
                      <w:kern w:val="0"/>
                      <w:sz w:val="21"/>
                      <w:szCs w:val="21"/>
                      <w:lang w:val="en-US" w:eastAsia="zh-CN"/>
                    </w:rPr>
                  </w:pPr>
                  <w:r>
                    <w:rPr>
                      <w:rFonts w:hint="eastAsia"/>
                      <w:color w:val="auto"/>
                      <w:kern w:val="0"/>
                      <w:sz w:val="21"/>
                      <w:szCs w:val="21"/>
                      <w:lang w:val="en-US" w:eastAsia="zh-CN"/>
                    </w:rPr>
                    <w:t>100</w:t>
                  </w:r>
                </w:p>
              </w:tc>
              <w:tc>
                <w:tcPr>
                  <w:tcW w:w="473" w:type="pct"/>
                  <w:tcBorders>
                    <w:tl2br w:val="nil"/>
                    <w:tr2bl w:val="nil"/>
                  </w:tcBorders>
                  <w:tcMar>
                    <w:left w:w="0" w:type="dxa"/>
                    <w:right w:w="0" w:type="dxa"/>
                  </w:tcMar>
                  <w:vAlign w:val="center"/>
                </w:tcPr>
                <w:p w14:paraId="72762F37">
                  <w:pPr>
                    <w:jc w:val="center"/>
                    <w:rPr>
                      <w:rFonts w:hint="eastAsia" w:eastAsia="宋体"/>
                      <w:color w:val="auto"/>
                      <w:kern w:val="0"/>
                      <w:sz w:val="21"/>
                      <w:szCs w:val="21"/>
                      <w:lang w:val="en-US" w:eastAsia="zh-CN"/>
                    </w:rPr>
                  </w:pPr>
                  <w:r>
                    <w:rPr>
                      <w:rFonts w:hint="eastAsia"/>
                      <w:color w:val="auto"/>
                      <w:kern w:val="0"/>
                      <w:sz w:val="21"/>
                      <w:szCs w:val="21"/>
                      <w:lang w:val="en-US" w:eastAsia="zh-CN"/>
                    </w:rPr>
                    <w:t>--</w:t>
                  </w:r>
                </w:p>
              </w:tc>
              <w:tc>
                <w:tcPr>
                  <w:tcW w:w="1212" w:type="pct"/>
                  <w:vMerge w:val="continue"/>
                  <w:tcBorders>
                    <w:tl2br w:val="nil"/>
                    <w:tr2bl w:val="nil"/>
                  </w:tcBorders>
                  <w:vAlign w:val="center"/>
                </w:tcPr>
                <w:p w14:paraId="2DE6D508">
                  <w:pPr>
                    <w:jc w:val="center"/>
                    <w:rPr>
                      <w:rFonts w:hint="eastAsia"/>
                      <w:bCs/>
                      <w:color w:val="auto"/>
                      <w:kern w:val="0"/>
                      <w:sz w:val="21"/>
                      <w:szCs w:val="21"/>
                    </w:rPr>
                  </w:pPr>
                </w:p>
              </w:tc>
              <w:tc>
                <w:tcPr>
                  <w:tcW w:w="249" w:type="pct"/>
                  <w:vMerge w:val="restart"/>
                  <w:tcBorders>
                    <w:tl2br w:val="nil"/>
                    <w:tr2bl w:val="nil"/>
                  </w:tcBorders>
                  <w:tcMar>
                    <w:left w:w="0" w:type="dxa"/>
                    <w:right w:w="0" w:type="dxa"/>
                  </w:tcMar>
                  <w:vAlign w:val="center"/>
                </w:tcPr>
                <w:p w14:paraId="714C9CEE">
                  <w:pPr>
                    <w:jc w:val="center"/>
                    <w:rPr>
                      <w:color w:val="auto"/>
                      <w:kern w:val="0"/>
                      <w:sz w:val="21"/>
                      <w:szCs w:val="21"/>
                    </w:rPr>
                  </w:pPr>
                  <w:r>
                    <w:rPr>
                      <w:color w:val="auto"/>
                      <w:kern w:val="0"/>
                      <w:sz w:val="21"/>
                      <w:szCs w:val="21"/>
                    </w:rPr>
                    <w:t>达标</w:t>
                  </w:r>
                </w:p>
                <w:p w14:paraId="46BC1AC7">
                  <w:pPr>
                    <w:jc w:val="center"/>
                    <w:rPr>
                      <w:color w:val="auto"/>
                      <w:kern w:val="0"/>
                      <w:sz w:val="21"/>
                      <w:szCs w:val="21"/>
                    </w:rPr>
                  </w:pPr>
                  <w:r>
                    <w:rPr>
                      <w:color w:val="auto"/>
                      <w:kern w:val="0"/>
                      <w:sz w:val="21"/>
                      <w:szCs w:val="21"/>
                    </w:rPr>
                    <w:t>达标</w:t>
                  </w:r>
                </w:p>
              </w:tc>
            </w:tr>
            <w:tr w14:paraId="34FADB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354" w:type="pct"/>
                  <w:vMerge w:val="continue"/>
                  <w:tcBorders>
                    <w:tl2br w:val="nil"/>
                    <w:tr2bl w:val="nil"/>
                  </w:tcBorders>
                  <w:tcMar>
                    <w:left w:w="0" w:type="dxa"/>
                    <w:right w:w="0" w:type="dxa"/>
                  </w:tcMar>
                  <w:vAlign w:val="center"/>
                </w:tcPr>
                <w:p w14:paraId="164607CA">
                  <w:pPr>
                    <w:jc w:val="center"/>
                    <w:textAlignment w:val="bottom"/>
                    <w:rPr>
                      <w:rFonts w:hint="eastAsia"/>
                      <w:color w:val="auto"/>
                      <w:kern w:val="0"/>
                      <w:sz w:val="21"/>
                      <w:szCs w:val="21"/>
                    </w:rPr>
                  </w:pPr>
                </w:p>
              </w:tc>
              <w:tc>
                <w:tcPr>
                  <w:tcW w:w="412" w:type="pct"/>
                  <w:vMerge w:val="continue"/>
                  <w:tcBorders>
                    <w:tl2br w:val="nil"/>
                    <w:tr2bl w:val="nil"/>
                  </w:tcBorders>
                  <w:tcMar>
                    <w:left w:w="0" w:type="dxa"/>
                    <w:right w:w="0" w:type="dxa"/>
                  </w:tcMar>
                  <w:vAlign w:val="center"/>
                </w:tcPr>
                <w:p w14:paraId="04BB999A">
                  <w:pPr>
                    <w:jc w:val="center"/>
                    <w:textAlignment w:val="bottom"/>
                    <w:rPr>
                      <w:rFonts w:hint="eastAsia"/>
                      <w:color w:val="auto"/>
                      <w:kern w:val="0"/>
                      <w:sz w:val="21"/>
                      <w:szCs w:val="21"/>
                    </w:rPr>
                  </w:pPr>
                </w:p>
              </w:tc>
              <w:tc>
                <w:tcPr>
                  <w:tcW w:w="712" w:type="pct"/>
                  <w:vMerge w:val="continue"/>
                  <w:tcBorders>
                    <w:tl2br w:val="nil"/>
                    <w:tr2bl w:val="nil"/>
                  </w:tcBorders>
                  <w:tcMar>
                    <w:left w:w="0" w:type="dxa"/>
                    <w:right w:w="0" w:type="dxa"/>
                  </w:tcMar>
                  <w:vAlign w:val="center"/>
                </w:tcPr>
                <w:p w14:paraId="06C72CEC">
                  <w:pPr>
                    <w:pStyle w:val="656"/>
                    <w:snapToGrid w:val="0"/>
                    <w:rPr>
                      <w:rFonts w:hint="eastAsia" w:eastAsia="宋体"/>
                      <w:color w:val="auto"/>
                      <w:sz w:val="21"/>
                      <w:szCs w:val="21"/>
                      <w:lang w:val="en-US" w:eastAsia="zh-CN"/>
                    </w:rPr>
                  </w:pPr>
                </w:p>
              </w:tc>
              <w:tc>
                <w:tcPr>
                  <w:tcW w:w="555" w:type="pct"/>
                  <w:vMerge w:val="continue"/>
                  <w:tcBorders>
                    <w:tl2br w:val="nil"/>
                    <w:tr2bl w:val="nil"/>
                  </w:tcBorders>
                  <w:tcMar>
                    <w:left w:w="0" w:type="dxa"/>
                    <w:right w:w="0" w:type="dxa"/>
                  </w:tcMar>
                  <w:vAlign w:val="center"/>
                </w:tcPr>
                <w:p w14:paraId="548E7443">
                  <w:pPr>
                    <w:pStyle w:val="656"/>
                    <w:snapToGrid w:val="0"/>
                    <w:rPr>
                      <w:rFonts w:hint="eastAsia" w:eastAsia="宋体"/>
                      <w:color w:val="auto"/>
                      <w:sz w:val="21"/>
                      <w:szCs w:val="21"/>
                      <w:lang w:val="en-US" w:eastAsia="zh-CN"/>
                    </w:rPr>
                  </w:pPr>
                </w:p>
              </w:tc>
              <w:tc>
                <w:tcPr>
                  <w:tcW w:w="555" w:type="pct"/>
                  <w:vMerge w:val="continue"/>
                  <w:tcBorders>
                    <w:tl2br w:val="nil"/>
                    <w:tr2bl w:val="nil"/>
                  </w:tcBorders>
                  <w:tcMar>
                    <w:left w:w="0" w:type="dxa"/>
                    <w:right w:w="0" w:type="dxa"/>
                  </w:tcMar>
                  <w:vAlign w:val="center"/>
                </w:tcPr>
                <w:p w14:paraId="63AB34B1">
                  <w:pPr>
                    <w:pStyle w:val="656"/>
                    <w:snapToGrid w:val="0"/>
                    <w:rPr>
                      <w:rFonts w:hint="eastAsia" w:eastAsia="宋体"/>
                      <w:color w:val="auto"/>
                      <w:sz w:val="21"/>
                      <w:szCs w:val="21"/>
                      <w:lang w:val="en-US" w:eastAsia="zh-CN"/>
                    </w:rPr>
                  </w:pPr>
                </w:p>
              </w:tc>
              <w:tc>
                <w:tcPr>
                  <w:tcW w:w="473" w:type="pct"/>
                  <w:tcBorders>
                    <w:tl2br w:val="nil"/>
                    <w:tr2bl w:val="nil"/>
                  </w:tcBorders>
                  <w:tcMar>
                    <w:left w:w="0" w:type="dxa"/>
                    <w:right w:w="0" w:type="dxa"/>
                  </w:tcMar>
                  <w:vAlign w:val="center"/>
                </w:tcPr>
                <w:p w14:paraId="6C11E660">
                  <w:pPr>
                    <w:jc w:val="center"/>
                    <w:rPr>
                      <w:rFonts w:hint="default" w:eastAsia="宋体"/>
                      <w:color w:val="auto"/>
                      <w:kern w:val="0"/>
                      <w:sz w:val="21"/>
                      <w:szCs w:val="21"/>
                      <w:lang w:val="en-US" w:eastAsia="zh-CN"/>
                    </w:rPr>
                  </w:pPr>
                  <w:r>
                    <w:rPr>
                      <w:rFonts w:hint="eastAsia"/>
                      <w:color w:val="auto"/>
                      <w:kern w:val="0"/>
                      <w:sz w:val="21"/>
                      <w:szCs w:val="21"/>
                      <w:lang w:val="en-US" w:eastAsia="zh-CN"/>
                    </w:rPr>
                    <w:t>80</w:t>
                  </w:r>
                </w:p>
              </w:tc>
              <w:tc>
                <w:tcPr>
                  <w:tcW w:w="473" w:type="pct"/>
                  <w:tcBorders>
                    <w:tl2br w:val="nil"/>
                    <w:tr2bl w:val="nil"/>
                  </w:tcBorders>
                  <w:tcMar>
                    <w:left w:w="0" w:type="dxa"/>
                    <w:right w:w="0" w:type="dxa"/>
                  </w:tcMar>
                  <w:vAlign w:val="center"/>
                </w:tcPr>
                <w:p w14:paraId="7B92D1EA">
                  <w:pPr>
                    <w:jc w:val="center"/>
                    <w:rPr>
                      <w:rFonts w:hint="eastAsia" w:eastAsia="宋体"/>
                      <w:color w:val="auto"/>
                      <w:kern w:val="0"/>
                      <w:sz w:val="21"/>
                      <w:szCs w:val="21"/>
                      <w:lang w:val="en-US" w:eastAsia="zh-CN"/>
                    </w:rPr>
                  </w:pPr>
                  <w:r>
                    <w:rPr>
                      <w:rFonts w:hint="eastAsia"/>
                      <w:color w:val="auto"/>
                      <w:kern w:val="0"/>
                      <w:sz w:val="21"/>
                      <w:szCs w:val="21"/>
                      <w:lang w:val="en-US" w:eastAsia="zh-CN"/>
                    </w:rPr>
                    <w:t>--</w:t>
                  </w:r>
                </w:p>
              </w:tc>
              <w:tc>
                <w:tcPr>
                  <w:tcW w:w="1212" w:type="pct"/>
                  <w:vMerge w:val="continue"/>
                  <w:tcBorders>
                    <w:tl2br w:val="nil"/>
                    <w:tr2bl w:val="nil"/>
                  </w:tcBorders>
                  <w:vAlign w:val="center"/>
                </w:tcPr>
                <w:p w14:paraId="088709AE">
                  <w:pPr>
                    <w:jc w:val="center"/>
                    <w:rPr>
                      <w:rFonts w:hint="eastAsia"/>
                      <w:bCs/>
                      <w:color w:val="auto"/>
                      <w:kern w:val="0"/>
                      <w:sz w:val="21"/>
                      <w:szCs w:val="21"/>
                    </w:rPr>
                  </w:pPr>
                </w:p>
              </w:tc>
              <w:tc>
                <w:tcPr>
                  <w:tcW w:w="249" w:type="pct"/>
                  <w:vMerge w:val="continue"/>
                  <w:tcBorders>
                    <w:tl2br w:val="nil"/>
                    <w:tr2bl w:val="nil"/>
                  </w:tcBorders>
                  <w:tcMar>
                    <w:left w:w="0" w:type="dxa"/>
                    <w:right w:w="0" w:type="dxa"/>
                  </w:tcMar>
                  <w:vAlign w:val="center"/>
                </w:tcPr>
                <w:p w14:paraId="16B3FEAB">
                  <w:pPr>
                    <w:jc w:val="center"/>
                    <w:rPr>
                      <w:color w:val="auto"/>
                      <w:kern w:val="0"/>
                      <w:sz w:val="21"/>
                      <w:szCs w:val="21"/>
                    </w:rPr>
                  </w:pPr>
                </w:p>
              </w:tc>
            </w:tr>
            <w:tr w14:paraId="7A6872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354" w:type="pct"/>
                  <w:vMerge w:val="continue"/>
                  <w:tcBorders>
                    <w:tl2br w:val="nil"/>
                    <w:tr2bl w:val="nil"/>
                  </w:tcBorders>
                  <w:tcMar>
                    <w:left w:w="0" w:type="dxa"/>
                    <w:right w:w="0" w:type="dxa"/>
                  </w:tcMar>
                  <w:vAlign w:val="center"/>
                </w:tcPr>
                <w:p w14:paraId="070866AA">
                  <w:pPr>
                    <w:jc w:val="center"/>
                    <w:textAlignment w:val="bottom"/>
                    <w:rPr>
                      <w:rFonts w:hint="eastAsia"/>
                      <w:color w:val="auto"/>
                      <w:kern w:val="0"/>
                      <w:sz w:val="21"/>
                      <w:szCs w:val="21"/>
                    </w:rPr>
                  </w:pPr>
                </w:p>
              </w:tc>
              <w:tc>
                <w:tcPr>
                  <w:tcW w:w="412" w:type="pct"/>
                  <w:vMerge w:val="continue"/>
                  <w:tcBorders>
                    <w:tl2br w:val="nil"/>
                    <w:tr2bl w:val="nil"/>
                  </w:tcBorders>
                  <w:tcMar>
                    <w:left w:w="0" w:type="dxa"/>
                    <w:right w:w="0" w:type="dxa"/>
                  </w:tcMar>
                  <w:vAlign w:val="center"/>
                </w:tcPr>
                <w:p w14:paraId="4D041C17">
                  <w:pPr>
                    <w:jc w:val="center"/>
                    <w:textAlignment w:val="bottom"/>
                    <w:rPr>
                      <w:rFonts w:hint="eastAsia"/>
                      <w:color w:val="auto"/>
                      <w:kern w:val="0"/>
                      <w:sz w:val="21"/>
                      <w:szCs w:val="21"/>
                    </w:rPr>
                  </w:pPr>
                </w:p>
              </w:tc>
              <w:tc>
                <w:tcPr>
                  <w:tcW w:w="712" w:type="pct"/>
                  <w:vMerge w:val="restart"/>
                  <w:tcBorders>
                    <w:tl2br w:val="nil"/>
                    <w:tr2bl w:val="nil"/>
                  </w:tcBorders>
                  <w:tcMar>
                    <w:left w:w="0" w:type="dxa"/>
                    <w:right w:w="0" w:type="dxa"/>
                  </w:tcMar>
                  <w:vAlign w:val="center"/>
                </w:tcPr>
                <w:p w14:paraId="023F9F13">
                  <w:pPr>
                    <w:pStyle w:val="656"/>
                    <w:snapToGrid w:val="0"/>
                    <w:rPr>
                      <w:rFonts w:hint="eastAsia"/>
                      <w:bCs/>
                      <w:color w:val="auto"/>
                      <w:kern w:val="0"/>
                      <w:sz w:val="21"/>
                      <w:szCs w:val="21"/>
                    </w:rPr>
                  </w:pPr>
                  <w:r>
                    <w:rPr>
                      <w:rFonts w:hint="eastAsia" w:eastAsia="宋体"/>
                      <w:color w:val="auto"/>
                      <w:sz w:val="21"/>
                      <w:szCs w:val="21"/>
                      <w:lang w:val="en-US" w:eastAsia="zh-CN"/>
                    </w:rPr>
                    <w:t>HCl</w:t>
                  </w:r>
                </w:p>
              </w:tc>
              <w:tc>
                <w:tcPr>
                  <w:tcW w:w="555" w:type="pct"/>
                  <w:vMerge w:val="restart"/>
                  <w:tcBorders>
                    <w:tl2br w:val="nil"/>
                    <w:tr2bl w:val="nil"/>
                  </w:tcBorders>
                  <w:tcMar>
                    <w:left w:w="0" w:type="dxa"/>
                    <w:right w:w="0" w:type="dxa"/>
                  </w:tcMar>
                  <w:vAlign w:val="center"/>
                </w:tcPr>
                <w:p w14:paraId="22A698CC">
                  <w:pPr>
                    <w:pStyle w:val="656"/>
                    <w:snapToGrid w:val="0"/>
                    <w:rPr>
                      <w:rFonts w:hint="eastAsia" w:eastAsia="宋体"/>
                      <w:color w:val="auto"/>
                      <w:sz w:val="21"/>
                      <w:szCs w:val="21"/>
                    </w:rPr>
                  </w:pPr>
                  <w:r>
                    <w:rPr>
                      <w:rFonts w:hint="eastAsia" w:eastAsia="宋体"/>
                      <w:color w:val="auto"/>
                      <w:sz w:val="21"/>
                      <w:szCs w:val="21"/>
                      <w:lang w:val="en-US" w:eastAsia="zh-CN"/>
                    </w:rPr>
                    <w:t>0.82</w:t>
                  </w:r>
                </w:p>
              </w:tc>
              <w:tc>
                <w:tcPr>
                  <w:tcW w:w="555" w:type="pct"/>
                  <w:vMerge w:val="restart"/>
                  <w:tcBorders>
                    <w:tl2br w:val="nil"/>
                    <w:tr2bl w:val="nil"/>
                  </w:tcBorders>
                  <w:tcMar>
                    <w:left w:w="0" w:type="dxa"/>
                    <w:right w:w="0" w:type="dxa"/>
                  </w:tcMar>
                  <w:vAlign w:val="center"/>
                </w:tcPr>
                <w:p w14:paraId="140A81F9">
                  <w:pPr>
                    <w:pStyle w:val="656"/>
                    <w:snapToGrid w:val="0"/>
                    <w:rPr>
                      <w:rFonts w:hint="eastAsia" w:eastAsia="宋体"/>
                      <w:color w:val="auto"/>
                      <w:sz w:val="21"/>
                      <w:szCs w:val="21"/>
                    </w:rPr>
                  </w:pPr>
                  <w:r>
                    <w:rPr>
                      <w:rFonts w:hint="eastAsia" w:eastAsia="宋体"/>
                      <w:color w:val="auto"/>
                      <w:sz w:val="21"/>
                      <w:szCs w:val="21"/>
                      <w:lang w:val="en-US" w:eastAsia="zh-CN"/>
                    </w:rPr>
                    <w:t>0.0053</w:t>
                  </w:r>
                </w:p>
              </w:tc>
              <w:tc>
                <w:tcPr>
                  <w:tcW w:w="473" w:type="pct"/>
                  <w:tcBorders>
                    <w:tl2br w:val="nil"/>
                    <w:tr2bl w:val="nil"/>
                  </w:tcBorders>
                  <w:tcMar>
                    <w:left w:w="0" w:type="dxa"/>
                    <w:right w:w="0" w:type="dxa"/>
                  </w:tcMar>
                  <w:vAlign w:val="center"/>
                </w:tcPr>
                <w:p w14:paraId="0A0AB524">
                  <w:pPr>
                    <w:jc w:val="center"/>
                    <w:rPr>
                      <w:rFonts w:hint="default" w:eastAsia="宋体"/>
                      <w:color w:val="auto"/>
                      <w:kern w:val="0"/>
                      <w:sz w:val="21"/>
                      <w:szCs w:val="21"/>
                      <w:lang w:val="en-US" w:eastAsia="zh-CN"/>
                    </w:rPr>
                  </w:pPr>
                  <w:r>
                    <w:rPr>
                      <w:rFonts w:hint="eastAsia"/>
                      <w:color w:val="auto"/>
                      <w:kern w:val="0"/>
                      <w:sz w:val="21"/>
                      <w:szCs w:val="21"/>
                      <w:lang w:val="en-US" w:eastAsia="zh-CN"/>
                    </w:rPr>
                    <w:t>60</w:t>
                  </w:r>
                </w:p>
              </w:tc>
              <w:tc>
                <w:tcPr>
                  <w:tcW w:w="473" w:type="pct"/>
                  <w:tcBorders>
                    <w:tl2br w:val="nil"/>
                    <w:tr2bl w:val="nil"/>
                  </w:tcBorders>
                  <w:tcMar>
                    <w:left w:w="0" w:type="dxa"/>
                    <w:right w:w="0" w:type="dxa"/>
                  </w:tcMar>
                  <w:vAlign w:val="center"/>
                </w:tcPr>
                <w:p w14:paraId="0DDE977D">
                  <w:pPr>
                    <w:jc w:val="center"/>
                    <w:rPr>
                      <w:rFonts w:hint="eastAsia"/>
                      <w:color w:val="auto"/>
                      <w:kern w:val="0"/>
                      <w:sz w:val="21"/>
                      <w:szCs w:val="21"/>
                    </w:rPr>
                  </w:pPr>
                  <w:r>
                    <w:rPr>
                      <w:rFonts w:hint="eastAsia"/>
                      <w:color w:val="auto"/>
                      <w:kern w:val="0"/>
                      <w:sz w:val="21"/>
                      <w:szCs w:val="21"/>
                      <w:lang w:val="en-US" w:eastAsia="zh-CN"/>
                    </w:rPr>
                    <w:t>--</w:t>
                  </w:r>
                </w:p>
              </w:tc>
              <w:tc>
                <w:tcPr>
                  <w:tcW w:w="1212" w:type="pct"/>
                  <w:vMerge w:val="continue"/>
                  <w:tcBorders>
                    <w:tl2br w:val="nil"/>
                    <w:tr2bl w:val="nil"/>
                  </w:tcBorders>
                  <w:vAlign w:val="center"/>
                </w:tcPr>
                <w:p w14:paraId="57FA7E46">
                  <w:pPr>
                    <w:jc w:val="center"/>
                    <w:rPr>
                      <w:rFonts w:hint="eastAsia"/>
                      <w:bCs/>
                      <w:color w:val="auto"/>
                      <w:kern w:val="0"/>
                      <w:sz w:val="21"/>
                      <w:szCs w:val="21"/>
                    </w:rPr>
                  </w:pPr>
                </w:p>
              </w:tc>
              <w:tc>
                <w:tcPr>
                  <w:tcW w:w="249" w:type="pct"/>
                  <w:vMerge w:val="restart"/>
                  <w:tcBorders>
                    <w:tl2br w:val="nil"/>
                    <w:tr2bl w:val="nil"/>
                  </w:tcBorders>
                  <w:tcMar>
                    <w:left w:w="0" w:type="dxa"/>
                    <w:right w:w="0" w:type="dxa"/>
                  </w:tcMar>
                  <w:vAlign w:val="center"/>
                </w:tcPr>
                <w:p w14:paraId="0C4A6744">
                  <w:pPr>
                    <w:jc w:val="center"/>
                    <w:rPr>
                      <w:color w:val="auto"/>
                      <w:kern w:val="0"/>
                      <w:sz w:val="21"/>
                      <w:szCs w:val="21"/>
                    </w:rPr>
                  </w:pPr>
                  <w:r>
                    <w:rPr>
                      <w:color w:val="auto"/>
                      <w:kern w:val="0"/>
                      <w:sz w:val="21"/>
                      <w:szCs w:val="21"/>
                    </w:rPr>
                    <w:t>达标</w:t>
                  </w:r>
                </w:p>
                <w:p w14:paraId="1F5C04AF">
                  <w:pPr>
                    <w:jc w:val="center"/>
                    <w:rPr>
                      <w:color w:val="auto"/>
                      <w:kern w:val="0"/>
                      <w:sz w:val="21"/>
                      <w:szCs w:val="21"/>
                    </w:rPr>
                  </w:pPr>
                  <w:r>
                    <w:rPr>
                      <w:color w:val="auto"/>
                      <w:kern w:val="0"/>
                      <w:sz w:val="21"/>
                      <w:szCs w:val="21"/>
                    </w:rPr>
                    <w:t>达标</w:t>
                  </w:r>
                </w:p>
              </w:tc>
            </w:tr>
            <w:tr w14:paraId="42B3FB2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354" w:type="pct"/>
                  <w:vMerge w:val="continue"/>
                  <w:tcBorders>
                    <w:tl2br w:val="nil"/>
                    <w:tr2bl w:val="nil"/>
                  </w:tcBorders>
                  <w:tcMar>
                    <w:left w:w="0" w:type="dxa"/>
                    <w:right w:w="0" w:type="dxa"/>
                  </w:tcMar>
                  <w:vAlign w:val="center"/>
                </w:tcPr>
                <w:p w14:paraId="3632037C">
                  <w:pPr>
                    <w:jc w:val="center"/>
                    <w:textAlignment w:val="bottom"/>
                    <w:rPr>
                      <w:rFonts w:hint="eastAsia"/>
                      <w:color w:val="auto"/>
                      <w:kern w:val="0"/>
                      <w:sz w:val="21"/>
                      <w:szCs w:val="21"/>
                    </w:rPr>
                  </w:pPr>
                </w:p>
              </w:tc>
              <w:tc>
                <w:tcPr>
                  <w:tcW w:w="412" w:type="pct"/>
                  <w:vMerge w:val="continue"/>
                  <w:tcBorders>
                    <w:tl2br w:val="nil"/>
                    <w:tr2bl w:val="nil"/>
                  </w:tcBorders>
                  <w:tcMar>
                    <w:left w:w="0" w:type="dxa"/>
                    <w:right w:w="0" w:type="dxa"/>
                  </w:tcMar>
                  <w:vAlign w:val="center"/>
                </w:tcPr>
                <w:p w14:paraId="7F22B820">
                  <w:pPr>
                    <w:jc w:val="center"/>
                    <w:textAlignment w:val="bottom"/>
                    <w:rPr>
                      <w:rFonts w:hint="eastAsia"/>
                      <w:color w:val="auto"/>
                      <w:kern w:val="0"/>
                      <w:sz w:val="21"/>
                      <w:szCs w:val="21"/>
                    </w:rPr>
                  </w:pPr>
                </w:p>
              </w:tc>
              <w:tc>
                <w:tcPr>
                  <w:tcW w:w="712" w:type="pct"/>
                  <w:vMerge w:val="continue"/>
                  <w:tcBorders>
                    <w:tl2br w:val="nil"/>
                    <w:tr2bl w:val="nil"/>
                  </w:tcBorders>
                  <w:tcMar>
                    <w:left w:w="0" w:type="dxa"/>
                    <w:right w:w="0" w:type="dxa"/>
                  </w:tcMar>
                  <w:vAlign w:val="center"/>
                </w:tcPr>
                <w:p w14:paraId="08A26CBF">
                  <w:pPr>
                    <w:pStyle w:val="656"/>
                    <w:snapToGrid w:val="0"/>
                    <w:rPr>
                      <w:rFonts w:hint="eastAsia" w:eastAsia="宋体"/>
                      <w:color w:val="auto"/>
                      <w:sz w:val="21"/>
                      <w:szCs w:val="21"/>
                      <w:lang w:val="en-US" w:eastAsia="zh-CN"/>
                    </w:rPr>
                  </w:pPr>
                </w:p>
              </w:tc>
              <w:tc>
                <w:tcPr>
                  <w:tcW w:w="555" w:type="pct"/>
                  <w:vMerge w:val="continue"/>
                  <w:tcBorders>
                    <w:tl2br w:val="nil"/>
                    <w:tr2bl w:val="nil"/>
                  </w:tcBorders>
                  <w:tcMar>
                    <w:left w:w="0" w:type="dxa"/>
                    <w:right w:w="0" w:type="dxa"/>
                  </w:tcMar>
                  <w:vAlign w:val="center"/>
                </w:tcPr>
                <w:p w14:paraId="529206BF">
                  <w:pPr>
                    <w:pStyle w:val="656"/>
                    <w:snapToGrid w:val="0"/>
                    <w:rPr>
                      <w:rFonts w:hint="eastAsia" w:eastAsia="宋体"/>
                      <w:color w:val="auto"/>
                      <w:sz w:val="21"/>
                      <w:szCs w:val="21"/>
                      <w:lang w:val="en-US" w:eastAsia="zh-CN"/>
                    </w:rPr>
                  </w:pPr>
                </w:p>
              </w:tc>
              <w:tc>
                <w:tcPr>
                  <w:tcW w:w="555" w:type="pct"/>
                  <w:vMerge w:val="continue"/>
                  <w:tcBorders>
                    <w:tl2br w:val="nil"/>
                    <w:tr2bl w:val="nil"/>
                  </w:tcBorders>
                  <w:tcMar>
                    <w:left w:w="0" w:type="dxa"/>
                    <w:right w:w="0" w:type="dxa"/>
                  </w:tcMar>
                  <w:vAlign w:val="center"/>
                </w:tcPr>
                <w:p w14:paraId="1EE3B8A8">
                  <w:pPr>
                    <w:pStyle w:val="656"/>
                    <w:snapToGrid w:val="0"/>
                    <w:rPr>
                      <w:rFonts w:hint="eastAsia" w:eastAsia="宋体"/>
                      <w:color w:val="auto"/>
                      <w:sz w:val="21"/>
                      <w:szCs w:val="21"/>
                      <w:lang w:val="en-US" w:eastAsia="zh-CN"/>
                    </w:rPr>
                  </w:pPr>
                </w:p>
              </w:tc>
              <w:tc>
                <w:tcPr>
                  <w:tcW w:w="473" w:type="pct"/>
                  <w:tcBorders>
                    <w:tl2br w:val="nil"/>
                    <w:tr2bl w:val="nil"/>
                  </w:tcBorders>
                  <w:tcMar>
                    <w:left w:w="0" w:type="dxa"/>
                    <w:right w:w="0" w:type="dxa"/>
                  </w:tcMar>
                  <w:vAlign w:val="center"/>
                </w:tcPr>
                <w:p w14:paraId="39CA18F3">
                  <w:pPr>
                    <w:jc w:val="center"/>
                    <w:rPr>
                      <w:rFonts w:hint="default" w:eastAsia="宋体"/>
                      <w:color w:val="auto"/>
                      <w:kern w:val="0"/>
                      <w:sz w:val="21"/>
                      <w:szCs w:val="21"/>
                      <w:lang w:val="en-US" w:eastAsia="zh-CN"/>
                    </w:rPr>
                  </w:pPr>
                  <w:r>
                    <w:rPr>
                      <w:rFonts w:hint="eastAsia"/>
                      <w:color w:val="auto"/>
                      <w:kern w:val="0"/>
                      <w:sz w:val="21"/>
                      <w:szCs w:val="21"/>
                      <w:lang w:val="en-US" w:eastAsia="zh-CN"/>
                    </w:rPr>
                    <w:t>50</w:t>
                  </w:r>
                </w:p>
              </w:tc>
              <w:tc>
                <w:tcPr>
                  <w:tcW w:w="473" w:type="pct"/>
                  <w:tcBorders>
                    <w:tl2br w:val="nil"/>
                    <w:tr2bl w:val="nil"/>
                  </w:tcBorders>
                  <w:tcMar>
                    <w:left w:w="0" w:type="dxa"/>
                    <w:right w:w="0" w:type="dxa"/>
                  </w:tcMar>
                  <w:vAlign w:val="center"/>
                </w:tcPr>
                <w:p w14:paraId="3F5955B3">
                  <w:pPr>
                    <w:jc w:val="center"/>
                    <w:rPr>
                      <w:rFonts w:hint="eastAsia"/>
                      <w:color w:val="auto"/>
                      <w:kern w:val="0"/>
                      <w:sz w:val="21"/>
                      <w:szCs w:val="21"/>
                    </w:rPr>
                  </w:pPr>
                  <w:r>
                    <w:rPr>
                      <w:rFonts w:hint="eastAsia"/>
                      <w:color w:val="auto"/>
                      <w:kern w:val="0"/>
                      <w:sz w:val="21"/>
                      <w:szCs w:val="21"/>
                      <w:lang w:val="en-US" w:eastAsia="zh-CN"/>
                    </w:rPr>
                    <w:t>--</w:t>
                  </w:r>
                </w:p>
              </w:tc>
              <w:tc>
                <w:tcPr>
                  <w:tcW w:w="1212" w:type="pct"/>
                  <w:vMerge w:val="continue"/>
                  <w:tcBorders>
                    <w:tl2br w:val="nil"/>
                    <w:tr2bl w:val="nil"/>
                  </w:tcBorders>
                  <w:vAlign w:val="center"/>
                </w:tcPr>
                <w:p w14:paraId="0CCD01A0">
                  <w:pPr>
                    <w:jc w:val="center"/>
                    <w:rPr>
                      <w:rFonts w:hint="eastAsia"/>
                      <w:bCs/>
                      <w:color w:val="auto"/>
                      <w:kern w:val="0"/>
                      <w:sz w:val="21"/>
                      <w:szCs w:val="21"/>
                    </w:rPr>
                  </w:pPr>
                </w:p>
              </w:tc>
              <w:tc>
                <w:tcPr>
                  <w:tcW w:w="249" w:type="pct"/>
                  <w:vMerge w:val="continue"/>
                  <w:tcBorders>
                    <w:tl2br w:val="nil"/>
                    <w:tr2bl w:val="nil"/>
                  </w:tcBorders>
                  <w:tcMar>
                    <w:left w:w="0" w:type="dxa"/>
                    <w:right w:w="0" w:type="dxa"/>
                  </w:tcMar>
                  <w:vAlign w:val="center"/>
                </w:tcPr>
                <w:p w14:paraId="071586DA">
                  <w:pPr>
                    <w:jc w:val="center"/>
                    <w:rPr>
                      <w:color w:val="auto"/>
                      <w:kern w:val="0"/>
                      <w:sz w:val="21"/>
                      <w:szCs w:val="21"/>
                    </w:rPr>
                  </w:pPr>
                </w:p>
              </w:tc>
            </w:tr>
            <w:tr w14:paraId="469494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354" w:type="pct"/>
                  <w:vMerge w:val="continue"/>
                  <w:tcBorders>
                    <w:tl2br w:val="nil"/>
                    <w:tr2bl w:val="nil"/>
                  </w:tcBorders>
                  <w:tcMar>
                    <w:left w:w="0" w:type="dxa"/>
                    <w:right w:w="0" w:type="dxa"/>
                  </w:tcMar>
                  <w:vAlign w:val="center"/>
                </w:tcPr>
                <w:p w14:paraId="7ABEC871">
                  <w:pPr>
                    <w:jc w:val="center"/>
                    <w:textAlignment w:val="bottom"/>
                    <w:rPr>
                      <w:rFonts w:hint="eastAsia"/>
                      <w:color w:val="auto"/>
                      <w:kern w:val="0"/>
                      <w:sz w:val="21"/>
                      <w:szCs w:val="21"/>
                    </w:rPr>
                  </w:pPr>
                </w:p>
              </w:tc>
              <w:tc>
                <w:tcPr>
                  <w:tcW w:w="412" w:type="pct"/>
                  <w:vMerge w:val="continue"/>
                  <w:tcBorders>
                    <w:tl2br w:val="nil"/>
                    <w:tr2bl w:val="nil"/>
                  </w:tcBorders>
                  <w:tcMar>
                    <w:left w:w="0" w:type="dxa"/>
                    <w:right w:w="0" w:type="dxa"/>
                  </w:tcMar>
                  <w:vAlign w:val="center"/>
                </w:tcPr>
                <w:p w14:paraId="65D02334">
                  <w:pPr>
                    <w:jc w:val="center"/>
                    <w:textAlignment w:val="bottom"/>
                    <w:rPr>
                      <w:rFonts w:hint="eastAsia"/>
                      <w:color w:val="auto"/>
                      <w:kern w:val="0"/>
                      <w:sz w:val="21"/>
                      <w:szCs w:val="21"/>
                    </w:rPr>
                  </w:pPr>
                </w:p>
              </w:tc>
              <w:tc>
                <w:tcPr>
                  <w:tcW w:w="712" w:type="pct"/>
                  <w:tcBorders>
                    <w:tl2br w:val="nil"/>
                    <w:tr2bl w:val="nil"/>
                  </w:tcBorders>
                  <w:tcMar>
                    <w:left w:w="0" w:type="dxa"/>
                    <w:right w:w="0" w:type="dxa"/>
                  </w:tcMar>
                  <w:vAlign w:val="center"/>
                </w:tcPr>
                <w:p w14:paraId="41FB8FDB">
                  <w:pPr>
                    <w:pStyle w:val="656"/>
                    <w:snapToGrid w:val="0"/>
                    <w:rPr>
                      <w:rFonts w:hint="eastAsia"/>
                      <w:bCs/>
                      <w:color w:val="auto"/>
                      <w:kern w:val="0"/>
                      <w:sz w:val="21"/>
                      <w:szCs w:val="21"/>
                    </w:rPr>
                  </w:pPr>
                  <w:r>
                    <w:rPr>
                      <w:rFonts w:hint="eastAsia" w:eastAsia="宋体"/>
                      <w:color w:val="auto"/>
                      <w:sz w:val="21"/>
                      <w:szCs w:val="21"/>
                      <w:lang w:val="en-US" w:eastAsia="zh-CN"/>
                    </w:rPr>
                    <w:t>铜及其化合物（以Cu计）</w:t>
                  </w:r>
                </w:p>
              </w:tc>
              <w:tc>
                <w:tcPr>
                  <w:tcW w:w="555" w:type="pct"/>
                  <w:tcBorders>
                    <w:tl2br w:val="nil"/>
                    <w:tr2bl w:val="nil"/>
                  </w:tcBorders>
                  <w:tcMar>
                    <w:left w:w="0" w:type="dxa"/>
                    <w:right w:w="0" w:type="dxa"/>
                  </w:tcMar>
                  <w:vAlign w:val="center"/>
                </w:tcPr>
                <w:p w14:paraId="215DC3B8">
                  <w:pPr>
                    <w:pStyle w:val="656"/>
                    <w:snapToGrid w:val="0"/>
                    <w:rPr>
                      <w:rFonts w:hint="eastAsia" w:eastAsia="宋体"/>
                      <w:color w:val="auto"/>
                      <w:sz w:val="21"/>
                      <w:szCs w:val="21"/>
                    </w:rPr>
                  </w:pPr>
                  <w:r>
                    <w:rPr>
                      <w:rFonts w:hint="eastAsia" w:eastAsia="宋体"/>
                      <w:color w:val="auto"/>
                      <w:sz w:val="21"/>
                      <w:szCs w:val="21"/>
                      <w:lang w:val="en-US" w:eastAsia="zh-CN"/>
                    </w:rPr>
                    <w:t>0.17</w:t>
                  </w:r>
                </w:p>
              </w:tc>
              <w:tc>
                <w:tcPr>
                  <w:tcW w:w="555" w:type="pct"/>
                  <w:tcBorders>
                    <w:tl2br w:val="nil"/>
                    <w:tr2bl w:val="nil"/>
                  </w:tcBorders>
                  <w:tcMar>
                    <w:left w:w="0" w:type="dxa"/>
                    <w:right w:w="0" w:type="dxa"/>
                  </w:tcMar>
                  <w:vAlign w:val="center"/>
                </w:tcPr>
                <w:p w14:paraId="4855665A">
                  <w:pPr>
                    <w:pStyle w:val="656"/>
                    <w:snapToGrid w:val="0"/>
                    <w:rPr>
                      <w:rFonts w:hint="eastAsia" w:eastAsia="宋体"/>
                      <w:color w:val="auto"/>
                      <w:sz w:val="21"/>
                      <w:szCs w:val="21"/>
                    </w:rPr>
                  </w:pPr>
                  <w:r>
                    <w:rPr>
                      <w:rFonts w:hint="eastAsia" w:eastAsia="宋体"/>
                      <w:color w:val="auto"/>
                      <w:sz w:val="21"/>
                      <w:szCs w:val="21"/>
                      <w:lang w:val="en-US" w:eastAsia="zh-CN"/>
                    </w:rPr>
                    <w:t>0.00113</w:t>
                  </w:r>
                </w:p>
              </w:tc>
              <w:tc>
                <w:tcPr>
                  <w:tcW w:w="473" w:type="pct"/>
                  <w:tcBorders>
                    <w:tl2br w:val="nil"/>
                    <w:tr2bl w:val="nil"/>
                  </w:tcBorders>
                  <w:tcMar>
                    <w:left w:w="0" w:type="dxa"/>
                    <w:right w:w="0" w:type="dxa"/>
                  </w:tcMar>
                  <w:vAlign w:val="center"/>
                </w:tcPr>
                <w:p w14:paraId="5C52B045">
                  <w:pPr>
                    <w:jc w:val="center"/>
                    <w:rPr>
                      <w:rFonts w:hint="default" w:eastAsia="宋体"/>
                      <w:color w:val="auto"/>
                      <w:kern w:val="0"/>
                      <w:sz w:val="21"/>
                      <w:szCs w:val="21"/>
                      <w:lang w:val="en-US" w:eastAsia="zh-CN"/>
                    </w:rPr>
                  </w:pPr>
                  <w:r>
                    <w:rPr>
                      <w:rFonts w:hint="eastAsia"/>
                      <w:color w:val="auto"/>
                      <w:kern w:val="0"/>
                      <w:sz w:val="21"/>
                      <w:szCs w:val="21"/>
                      <w:lang w:val="en-US" w:eastAsia="zh-CN"/>
                    </w:rPr>
                    <w:t>2.0</w:t>
                  </w:r>
                </w:p>
              </w:tc>
              <w:tc>
                <w:tcPr>
                  <w:tcW w:w="473" w:type="pct"/>
                  <w:tcBorders>
                    <w:tl2br w:val="nil"/>
                    <w:tr2bl w:val="nil"/>
                  </w:tcBorders>
                  <w:tcMar>
                    <w:left w:w="0" w:type="dxa"/>
                    <w:right w:w="0" w:type="dxa"/>
                  </w:tcMar>
                  <w:vAlign w:val="center"/>
                </w:tcPr>
                <w:p w14:paraId="74BE215D">
                  <w:pPr>
                    <w:jc w:val="center"/>
                    <w:rPr>
                      <w:rFonts w:hint="eastAsia"/>
                      <w:color w:val="auto"/>
                      <w:kern w:val="0"/>
                      <w:sz w:val="21"/>
                      <w:szCs w:val="21"/>
                    </w:rPr>
                  </w:pPr>
                  <w:r>
                    <w:rPr>
                      <w:rFonts w:hint="eastAsia"/>
                      <w:color w:val="auto"/>
                      <w:kern w:val="0"/>
                      <w:sz w:val="21"/>
                      <w:szCs w:val="21"/>
                      <w:lang w:val="en-US" w:eastAsia="zh-CN"/>
                    </w:rPr>
                    <w:t>--</w:t>
                  </w:r>
                </w:p>
              </w:tc>
              <w:tc>
                <w:tcPr>
                  <w:tcW w:w="1212" w:type="pct"/>
                  <w:vMerge w:val="continue"/>
                  <w:tcBorders>
                    <w:tl2br w:val="nil"/>
                    <w:tr2bl w:val="nil"/>
                  </w:tcBorders>
                  <w:vAlign w:val="center"/>
                </w:tcPr>
                <w:p w14:paraId="7CE3D5BC">
                  <w:pPr>
                    <w:jc w:val="center"/>
                    <w:rPr>
                      <w:rFonts w:hint="eastAsia"/>
                      <w:bCs/>
                      <w:color w:val="auto"/>
                      <w:kern w:val="0"/>
                      <w:sz w:val="21"/>
                      <w:szCs w:val="21"/>
                    </w:rPr>
                  </w:pPr>
                </w:p>
              </w:tc>
              <w:tc>
                <w:tcPr>
                  <w:tcW w:w="249" w:type="pct"/>
                  <w:tcBorders>
                    <w:tl2br w:val="nil"/>
                    <w:tr2bl w:val="nil"/>
                  </w:tcBorders>
                  <w:tcMar>
                    <w:left w:w="0" w:type="dxa"/>
                    <w:right w:w="0" w:type="dxa"/>
                  </w:tcMar>
                  <w:vAlign w:val="center"/>
                </w:tcPr>
                <w:p w14:paraId="55A7FE66">
                  <w:pPr>
                    <w:jc w:val="center"/>
                    <w:rPr>
                      <w:color w:val="auto"/>
                      <w:kern w:val="0"/>
                      <w:sz w:val="21"/>
                      <w:szCs w:val="21"/>
                    </w:rPr>
                  </w:pPr>
                  <w:r>
                    <w:rPr>
                      <w:color w:val="auto"/>
                      <w:kern w:val="0"/>
                      <w:sz w:val="21"/>
                      <w:szCs w:val="21"/>
                    </w:rPr>
                    <w:t>达标</w:t>
                  </w:r>
                </w:p>
              </w:tc>
            </w:tr>
            <w:tr w14:paraId="495928B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354" w:type="pct"/>
                  <w:vMerge w:val="continue"/>
                  <w:tcBorders>
                    <w:tl2br w:val="nil"/>
                    <w:tr2bl w:val="nil"/>
                  </w:tcBorders>
                  <w:tcMar>
                    <w:left w:w="0" w:type="dxa"/>
                    <w:right w:w="0" w:type="dxa"/>
                  </w:tcMar>
                  <w:vAlign w:val="center"/>
                </w:tcPr>
                <w:p w14:paraId="5C4259B8">
                  <w:pPr>
                    <w:jc w:val="center"/>
                    <w:textAlignment w:val="bottom"/>
                    <w:rPr>
                      <w:rFonts w:hint="eastAsia"/>
                      <w:color w:val="auto"/>
                      <w:kern w:val="0"/>
                      <w:sz w:val="21"/>
                      <w:szCs w:val="21"/>
                    </w:rPr>
                  </w:pPr>
                </w:p>
              </w:tc>
              <w:tc>
                <w:tcPr>
                  <w:tcW w:w="412" w:type="pct"/>
                  <w:vMerge w:val="continue"/>
                  <w:tcBorders>
                    <w:tl2br w:val="nil"/>
                    <w:tr2bl w:val="nil"/>
                  </w:tcBorders>
                  <w:tcMar>
                    <w:left w:w="0" w:type="dxa"/>
                    <w:right w:w="0" w:type="dxa"/>
                  </w:tcMar>
                  <w:vAlign w:val="center"/>
                </w:tcPr>
                <w:p w14:paraId="70D3BD6A">
                  <w:pPr>
                    <w:jc w:val="center"/>
                    <w:textAlignment w:val="bottom"/>
                    <w:rPr>
                      <w:rFonts w:hint="eastAsia"/>
                      <w:color w:val="auto"/>
                      <w:kern w:val="0"/>
                      <w:sz w:val="21"/>
                      <w:szCs w:val="21"/>
                    </w:rPr>
                  </w:pPr>
                </w:p>
              </w:tc>
              <w:tc>
                <w:tcPr>
                  <w:tcW w:w="712" w:type="pct"/>
                  <w:tcBorders>
                    <w:tl2br w:val="nil"/>
                    <w:tr2bl w:val="nil"/>
                  </w:tcBorders>
                  <w:tcMar>
                    <w:left w:w="0" w:type="dxa"/>
                    <w:right w:w="0" w:type="dxa"/>
                  </w:tcMar>
                  <w:vAlign w:val="center"/>
                </w:tcPr>
                <w:p w14:paraId="280339A3">
                  <w:pPr>
                    <w:pStyle w:val="656"/>
                    <w:snapToGrid w:val="0"/>
                    <w:rPr>
                      <w:rFonts w:hint="eastAsia"/>
                      <w:bCs/>
                      <w:color w:val="auto"/>
                      <w:kern w:val="0"/>
                      <w:sz w:val="21"/>
                      <w:szCs w:val="21"/>
                    </w:rPr>
                  </w:pPr>
                  <w:r>
                    <w:rPr>
                      <w:rFonts w:hint="eastAsia" w:eastAsia="宋体"/>
                      <w:color w:val="auto"/>
                      <w:sz w:val="21"/>
                      <w:szCs w:val="21"/>
                      <w:lang w:val="en-US" w:eastAsia="zh-CN"/>
                    </w:rPr>
                    <w:t>二噁英类</w:t>
                  </w:r>
                </w:p>
              </w:tc>
              <w:tc>
                <w:tcPr>
                  <w:tcW w:w="555" w:type="pct"/>
                  <w:tcBorders>
                    <w:tl2br w:val="nil"/>
                    <w:tr2bl w:val="nil"/>
                  </w:tcBorders>
                  <w:tcMar>
                    <w:left w:w="0" w:type="dxa"/>
                    <w:right w:w="0" w:type="dxa"/>
                  </w:tcMar>
                  <w:vAlign w:val="center"/>
                </w:tcPr>
                <w:p w14:paraId="6EBC4891">
                  <w:pPr>
                    <w:pStyle w:val="656"/>
                    <w:snapToGrid w:val="0"/>
                    <w:rPr>
                      <w:rFonts w:hint="eastAsia" w:eastAsia="宋体"/>
                      <w:color w:val="auto"/>
                      <w:sz w:val="21"/>
                      <w:szCs w:val="21"/>
                    </w:rPr>
                  </w:pPr>
                  <w:r>
                    <w:rPr>
                      <w:rFonts w:hint="eastAsia" w:eastAsia="宋体"/>
                      <w:color w:val="auto"/>
                      <w:sz w:val="21"/>
                      <w:szCs w:val="21"/>
                      <w:lang w:val="en-US" w:eastAsia="zh-CN"/>
                    </w:rPr>
                    <w:t>0.025</w:t>
                  </w:r>
                  <w:r>
                    <w:rPr>
                      <w:rFonts w:hint="eastAsia"/>
                      <w:color w:val="auto"/>
                      <w:kern w:val="0"/>
                      <w:sz w:val="21"/>
                      <w:szCs w:val="21"/>
                    </w:rPr>
                    <w:t>ngTEQ/m</w:t>
                  </w:r>
                  <w:r>
                    <w:rPr>
                      <w:rFonts w:hint="eastAsia"/>
                      <w:color w:val="auto"/>
                      <w:kern w:val="0"/>
                      <w:sz w:val="21"/>
                      <w:szCs w:val="21"/>
                      <w:vertAlign w:val="superscript"/>
                    </w:rPr>
                    <w:t>3</w:t>
                  </w:r>
                </w:p>
              </w:tc>
              <w:tc>
                <w:tcPr>
                  <w:tcW w:w="555" w:type="pct"/>
                  <w:tcBorders>
                    <w:tl2br w:val="nil"/>
                    <w:tr2bl w:val="nil"/>
                  </w:tcBorders>
                  <w:tcMar>
                    <w:left w:w="0" w:type="dxa"/>
                    <w:right w:w="0" w:type="dxa"/>
                  </w:tcMar>
                  <w:vAlign w:val="center"/>
                </w:tcPr>
                <w:p w14:paraId="277EADFB">
                  <w:pPr>
                    <w:pStyle w:val="656"/>
                    <w:snapToGrid w:val="0"/>
                    <w:rPr>
                      <w:rFonts w:hint="eastAsia" w:eastAsia="宋体"/>
                      <w:color w:val="auto"/>
                      <w:sz w:val="21"/>
                      <w:szCs w:val="21"/>
                    </w:rPr>
                  </w:pPr>
                  <w:r>
                    <w:rPr>
                      <w:rFonts w:hint="eastAsia"/>
                      <w:color w:val="auto"/>
                      <w:sz w:val="21"/>
                      <w:szCs w:val="21"/>
                      <w:lang w:val="en-US" w:eastAsia="zh-CN"/>
                    </w:rPr>
                    <w:t>0.0001625</w:t>
                  </w:r>
                  <w:r>
                    <w:rPr>
                      <w:rFonts w:hint="eastAsia"/>
                      <w:color w:val="auto"/>
                      <w:kern w:val="0"/>
                      <w:sz w:val="21"/>
                      <w:szCs w:val="21"/>
                    </w:rPr>
                    <w:t>ngTEQ/</w:t>
                  </w:r>
                  <w:r>
                    <w:rPr>
                      <w:rFonts w:hint="eastAsia"/>
                      <w:color w:val="auto"/>
                      <w:kern w:val="0"/>
                      <w:sz w:val="21"/>
                      <w:szCs w:val="21"/>
                      <w:lang w:val="en-US" w:eastAsia="zh-CN"/>
                    </w:rPr>
                    <w:t>h</w:t>
                  </w:r>
                </w:p>
              </w:tc>
              <w:tc>
                <w:tcPr>
                  <w:tcW w:w="473" w:type="pct"/>
                  <w:tcBorders>
                    <w:tl2br w:val="nil"/>
                    <w:tr2bl w:val="nil"/>
                  </w:tcBorders>
                  <w:tcMar>
                    <w:left w:w="0" w:type="dxa"/>
                    <w:right w:w="0" w:type="dxa"/>
                  </w:tcMar>
                  <w:vAlign w:val="center"/>
                </w:tcPr>
                <w:p w14:paraId="067E2A54">
                  <w:pPr>
                    <w:jc w:val="center"/>
                    <w:rPr>
                      <w:rFonts w:hint="default" w:eastAsia="宋体"/>
                      <w:color w:val="auto"/>
                      <w:kern w:val="0"/>
                      <w:sz w:val="21"/>
                      <w:szCs w:val="21"/>
                      <w:lang w:val="en-US" w:eastAsia="zh-CN"/>
                    </w:rPr>
                  </w:pPr>
                  <w:r>
                    <w:rPr>
                      <w:rFonts w:hint="eastAsia"/>
                      <w:color w:val="auto"/>
                      <w:kern w:val="0"/>
                      <w:sz w:val="21"/>
                      <w:szCs w:val="21"/>
                      <w:lang w:val="en-US" w:eastAsia="zh-CN"/>
                    </w:rPr>
                    <w:t>0.5</w:t>
                  </w:r>
                </w:p>
              </w:tc>
              <w:tc>
                <w:tcPr>
                  <w:tcW w:w="473" w:type="pct"/>
                  <w:tcBorders>
                    <w:tl2br w:val="nil"/>
                    <w:tr2bl w:val="nil"/>
                  </w:tcBorders>
                  <w:tcMar>
                    <w:left w:w="0" w:type="dxa"/>
                    <w:right w:w="0" w:type="dxa"/>
                  </w:tcMar>
                  <w:vAlign w:val="center"/>
                </w:tcPr>
                <w:p w14:paraId="594E2728">
                  <w:pPr>
                    <w:jc w:val="center"/>
                    <w:rPr>
                      <w:rFonts w:hint="eastAsia"/>
                      <w:color w:val="auto"/>
                      <w:kern w:val="0"/>
                      <w:sz w:val="21"/>
                      <w:szCs w:val="21"/>
                    </w:rPr>
                  </w:pPr>
                  <w:r>
                    <w:rPr>
                      <w:rFonts w:hint="eastAsia"/>
                      <w:color w:val="auto"/>
                      <w:kern w:val="0"/>
                      <w:sz w:val="21"/>
                      <w:szCs w:val="21"/>
                      <w:lang w:val="en-US" w:eastAsia="zh-CN"/>
                    </w:rPr>
                    <w:t>--</w:t>
                  </w:r>
                </w:p>
              </w:tc>
              <w:tc>
                <w:tcPr>
                  <w:tcW w:w="1212" w:type="pct"/>
                  <w:vMerge w:val="continue"/>
                  <w:tcBorders>
                    <w:tl2br w:val="nil"/>
                    <w:tr2bl w:val="nil"/>
                  </w:tcBorders>
                  <w:vAlign w:val="center"/>
                </w:tcPr>
                <w:p w14:paraId="5A431521">
                  <w:pPr>
                    <w:jc w:val="center"/>
                    <w:rPr>
                      <w:rFonts w:hint="eastAsia"/>
                      <w:bCs/>
                      <w:color w:val="auto"/>
                      <w:kern w:val="0"/>
                      <w:sz w:val="21"/>
                      <w:szCs w:val="21"/>
                    </w:rPr>
                  </w:pPr>
                </w:p>
              </w:tc>
              <w:tc>
                <w:tcPr>
                  <w:tcW w:w="249" w:type="pct"/>
                  <w:tcBorders>
                    <w:tl2br w:val="nil"/>
                    <w:tr2bl w:val="nil"/>
                  </w:tcBorders>
                  <w:tcMar>
                    <w:left w:w="0" w:type="dxa"/>
                    <w:right w:w="0" w:type="dxa"/>
                  </w:tcMar>
                  <w:vAlign w:val="center"/>
                </w:tcPr>
                <w:p w14:paraId="54A98884">
                  <w:pPr>
                    <w:jc w:val="center"/>
                    <w:rPr>
                      <w:color w:val="auto"/>
                      <w:kern w:val="0"/>
                      <w:sz w:val="21"/>
                      <w:szCs w:val="21"/>
                    </w:rPr>
                  </w:pPr>
                  <w:r>
                    <w:rPr>
                      <w:color w:val="auto"/>
                      <w:kern w:val="0"/>
                      <w:sz w:val="21"/>
                      <w:szCs w:val="21"/>
                    </w:rPr>
                    <w:t>达标</w:t>
                  </w:r>
                </w:p>
              </w:tc>
            </w:tr>
            <w:tr w14:paraId="1184482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354" w:type="pct"/>
                  <w:vMerge w:val="continue"/>
                  <w:tcBorders>
                    <w:tl2br w:val="nil"/>
                    <w:tr2bl w:val="nil"/>
                  </w:tcBorders>
                  <w:tcMar>
                    <w:left w:w="0" w:type="dxa"/>
                    <w:right w:w="0" w:type="dxa"/>
                  </w:tcMar>
                  <w:vAlign w:val="center"/>
                </w:tcPr>
                <w:p w14:paraId="499D6365">
                  <w:pPr>
                    <w:jc w:val="center"/>
                    <w:textAlignment w:val="bottom"/>
                    <w:rPr>
                      <w:rFonts w:hint="eastAsia"/>
                      <w:color w:val="auto"/>
                      <w:kern w:val="0"/>
                      <w:sz w:val="21"/>
                      <w:szCs w:val="21"/>
                    </w:rPr>
                  </w:pPr>
                </w:p>
              </w:tc>
              <w:tc>
                <w:tcPr>
                  <w:tcW w:w="412" w:type="pct"/>
                  <w:vMerge w:val="continue"/>
                  <w:tcBorders>
                    <w:tl2br w:val="nil"/>
                    <w:tr2bl w:val="nil"/>
                  </w:tcBorders>
                  <w:tcMar>
                    <w:left w:w="0" w:type="dxa"/>
                    <w:right w:w="0" w:type="dxa"/>
                  </w:tcMar>
                  <w:vAlign w:val="center"/>
                </w:tcPr>
                <w:p w14:paraId="0349A242">
                  <w:pPr>
                    <w:jc w:val="center"/>
                    <w:textAlignment w:val="bottom"/>
                    <w:rPr>
                      <w:rFonts w:hint="eastAsia"/>
                      <w:color w:val="auto"/>
                      <w:kern w:val="0"/>
                      <w:sz w:val="21"/>
                      <w:szCs w:val="21"/>
                    </w:rPr>
                  </w:pPr>
                </w:p>
              </w:tc>
              <w:tc>
                <w:tcPr>
                  <w:tcW w:w="712" w:type="pct"/>
                  <w:tcBorders>
                    <w:tl2br w:val="nil"/>
                    <w:tr2bl w:val="nil"/>
                  </w:tcBorders>
                  <w:tcMar>
                    <w:left w:w="0" w:type="dxa"/>
                    <w:right w:w="0" w:type="dxa"/>
                  </w:tcMar>
                  <w:vAlign w:val="center"/>
                </w:tcPr>
                <w:p w14:paraId="245933C0">
                  <w:pPr>
                    <w:pStyle w:val="656"/>
                    <w:snapToGrid w:val="0"/>
                    <w:rPr>
                      <w:rFonts w:hint="eastAsia" w:eastAsia="宋体"/>
                      <w:color w:val="auto"/>
                      <w:sz w:val="21"/>
                      <w:szCs w:val="21"/>
                      <w:lang w:val="en-US" w:eastAsia="zh-CN"/>
                    </w:rPr>
                  </w:pPr>
                  <w:r>
                    <w:rPr>
                      <w:rFonts w:hint="eastAsia" w:eastAsia="宋体"/>
                      <w:color w:val="auto"/>
                      <w:sz w:val="21"/>
                      <w:szCs w:val="21"/>
                      <w:lang w:val="en-US" w:eastAsia="zh-CN"/>
                    </w:rPr>
                    <w:t>氨</w:t>
                  </w:r>
                </w:p>
              </w:tc>
              <w:tc>
                <w:tcPr>
                  <w:tcW w:w="555" w:type="pct"/>
                  <w:tcBorders>
                    <w:tl2br w:val="nil"/>
                    <w:tr2bl w:val="nil"/>
                  </w:tcBorders>
                  <w:tcMar>
                    <w:left w:w="0" w:type="dxa"/>
                    <w:right w:w="0" w:type="dxa"/>
                  </w:tcMar>
                  <w:vAlign w:val="center"/>
                </w:tcPr>
                <w:p w14:paraId="1F3652CA">
                  <w:pPr>
                    <w:pStyle w:val="656"/>
                    <w:snapToGrid w:val="0"/>
                    <w:rPr>
                      <w:rFonts w:hint="eastAsia"/>
                      <w:color w:val="auto"/>
                      <w:kern w:val="0"/>
                      <w:sz w:val="21"/>
                      <w:szCs w:val="21"/>
                      <w:lang w:val="en-US" w:eastAsia="zh-CN"/>
                    </w:rPr>
                  </w:pPr>
                  <w:r>
                    <w:rPr>
                      <w:rFonts w:hint="eastAsia" w:eastAsia="宋体"/>
                      <w:color w:val="auto"/>
                      <w:sz w:val="21"/>
                      <w:szCs w:val="21"/>
                      <w:lang w:val="en-US" w:eastAsia="zh-CN"/>
                    </w:rPr>
                    <w:t>0.17</w:t>
                  </w:r>
                </w:p>
              </w:tc>
              <w:tc>
                <w:tcPr>
                  <w:tcW w:w="555" w:type="pct"/>
                  <w:tcBorders>
                    <w:tl2br w:val="nil"/>
                    <w:tr2bl w:val="nil"/>
                  </w:tcBorders>
                  <w:tcMar>
                    <w:left w:w="0" w:type="dxa"/>
                    <w:right w:w="0" w:type="dxa"/>
                  </w:tcMar>
                  <w:vAlign w:val="center"/>
                </w:tcPr>
                <w:p w14:paraId="6E2019B2">
                  <w:pPr>
                    <w:pStyle w:val="656"/>
                    <w:snapToGrid w:val="0"/>
                    <w:rPr>
                      <w:rFonts w:hint="eastAsia" w:eastAsia="宋体"/>
                      <w:color w:val="auto"/>
                      <w:sz w:val="21"/>
                      <w:szCs w:val="21"/>
                      <w:lang w:val="en-US" w:eastAsia="zh-CN"/>
                    </w:rPr>
                  </w:pPr>
                  <w:r>
                    <w:rPr>
                      <w:rFonts w:hint="eastAsia" w:eastAsia="宋体"/>
                      <w:color w:val="auto"/>
                      <w:sz w:val="21"/>
                      <w:szCs w:val="21"/>
                      <w:lang w:val="en-US" w:eastAsia="zh-CN"/>
                    </w:rPr>
                    <w:t>0.0011</w:t>
                  </w:r>
                </w:p>
              </w:tc>
              <w:tc>
                <w:tcPr>
                  <w:tcW w:w="473" w:type="pct"/>
                  <w:tcBorders>
                    <w:tl2br w:val="nil"/>
                    <w:tr2bl w:val="nil"/>
                  </w:tcBorders>
                  <w:tcMar>
                    <w:left w:w="0" w:type="dxa"/>
                    <w:right w:w="0" w:type="dxa"/>
                  </w:tcMar>
                  <w:vAlign w:val="center"/>
                </w:tcPr>
                <w:p w14:paraId="64C94A5F">
                  <w:pPr>
                    <w:jc w:val="center"/>
                    <w:rPr>
                      <w:rFonts w:hint="default" w:eastAsia="宋体"/>
                      <w:color w:val="auto"/>
                      <w:kern w:val="0"/>
                      <w:sz w:val="21"/>
                      <w:szCs w:val="21"/>
                      <w:lang w:val="en-US" w:eastAsia="zh-CN"/>
                    </w:rPr>
                  </w:pPr>
                  <w:r>
                    <w:rPr>
                      <w:rFonts w:hint="eastAsia"/>
                      <w:color w:val="auto"/>
                      <w:kern w:val="0"/>
                      <w:sz w:val="21"/>
                      <w:szCs w:val="21"/>
                      <w:lang w:val="en-US" w:eastAsia="zh-CN"/>
                    </w:rPr>
                    <w:t>--</w:t>
                  </w:r>
                </w:p>
              </w:tc>
              <w:tc>
                <w:tcPr>
                  <w:tcW w:w="473" w:type="pct"/>
                  <w:tcBorders>
                    <w:tl2br w:val="nil"/>
                    <w:tr2bl w:val="nil"/>
                  </w:tcBorders>
                  <w:tcMar>
                    <w:left w:w="0" w:type="dxa"/>
                    <w:right w:w="0" w:type="dxa"/>
                  </w:tcMar>
                  <w:vAlign w:val="center"/>
                </w:tcPr>
                <w:p w14:paraId="7FA265F5">
                  <w:pPr>
                    <w:jc w:val="center"/>
                    <w:rPr>
                      <w:rFonts w:hint="default" w:eastAsia="宋体"/>
                      <w:color w:val="auto"/>
                      <w:kern w:val="0"/>
                      <w:sz w:val="21"/>
                      <w:szCs w:val="21"/>
                      <w:lang w:val="en-US" w:eastAsia="zh-CN"/>
                    </w:rPr>
                  </w:pPr>
                  <w:r>
                    <w:rPr>
                      <w:rFonts w:hint="eastAsia"/>
                      <w:color w:val="auto"/>
                      <w:kern w:val="0"/>
                      <w:sz w:val="21"/>
                      <w:szCs w:val="21"/>
                      <w:lang w:val="en-US" w:eastAsia="zh-CN"/>
                    </w:rPr>
                    <w:t>14</w:t>
                  </w:r>
                </w:p>
              </w:tc>
              <w:tc>
                <w:tcPr>
                  <w:tcW w:w="1212" w:type="pct"/>
                  <w:tcBorders>
                    <w:tl2br w:val="nil"/>
                    <w:tr2bl w:val="nil"/>
                  </w:tcBorders>
                  <w:vAlign w:val="center"/>
                </w:tcPr>
                <w:p w14:paraId="5B11E8E8">
                  <w:pPr>
                    <w:jc w:val="center"/>
                    <w:rPr>
                      <w:rFonts w:hint="eastAsia"/>
                      <w:bCs/>
                      <w:color w:val="auto"/>
                      <w:kern w:val="0"/>
                      <w:sz w:val="21"/>
                      <w:szCs w:val="21"/>
                    </w:rPr>
                  </w:pPr>
                  <w:r>
                    <w:rPr>
                      <w:rFonts w:hint="eastAsia"/>
                      <w:bCs/>
                      <w:color w:val="auto"/>
                      <w:kern w:val="0"/>
                      <w:sz w:val="21"/>
                      <w:szCs w:val="21"/>
                    </w:rPr>
                    <w:t>《恶臭污染物排放标准》（GB14554-1993）</w:t>
                  </w:r>
                </w:p>
              </w:tc>
              <w:tc>
                <w:tcPr>
                  <w:tcW w:w="249" w:type="pct"/>
                  <w:tcBorders>
                    <w:tl2br w:val="nil"/>
                    <w:tr2bl w:val="nil"/>
                  </w:tcBorders>
                  <w:tcMar>
                    <w:left w:w="0" w:type="dxa"/>
                    <w:right w:w="0" w:type="dxa"/>
                  </w:tcMar>
                  <w:vAlign w:val="center"/>
                </w:tcPr>
                <w:p w14:paraId="0C09192F">
                  <w:pPr>
                    <w:jc w:val="center"/>
                    <w:rPr>
                      <w:rFonts w:hint="eastAsia" w:eastAsia="宋体"/>
                      <w:color w:val="auto"/>
                      <w:kern w:val="0"/>
                      <w:sz w:val="21"/>
                      <w:szCs w:val="21"/>
                      <w:lang w:val="en-US" w:eastAsia="zh-CN"/>
                    </w:rPr>
                  </w:pPr>
                  <w:r>
                    <w:rPr>
                      <w:rFonts w:hint="eastAsia"/>
                      <w:color w:val="auto"/>
                      <w:kern w:val="0"/>
                      <w:sz w:val="21"/>
                      <w:szCs w:val="21"/>
                      <w:lang w:val="en-US" w:eastAsia="zh-CN"/>
                    </w:rPr>
                    <w:t>达标</w:t>
                  </w:r>
                </w:p>
              </w:tc>
            </w:tr>
            <w:tr w14:paraId="38F7F69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354" w:type="pct"/>
                  <w:vMerge w:val="continue"/>
                  <w:tcBorders>
                    <w:tl2br w:val="nil"/>
                    <w:tr2bl w:val="nil"/>
                  </w:tcBorders>
                  <w:tcMar>
                    <w:left w:w="0" w:type="dxa"/>
                    <w:right w:w="0" w:type="dxa"/>
                  </w:tcMar>
                  <w:vAlign w:val="center"/>
                </w:tcPr>
                <w:p w14:paraId="6379A77E">
                  <w:pPr>
                    <w:jc w:val="center"/>
                    <w:textAlignment w:val="bottom"/>
                    <w:rPr>
                      <w:rFonts w:hint="eastAsia"/>
                      <w:color w:val="auto"/>
                      <w:kern w:val="0"/>
                      <w:sz w:val="21"/>
                      <w:szCs w:val="21"/>
                    </w:rPr>
                  </w:pPr>
                </w:p>
              </w:tc>
              <w:tc>
                <w:tcPr>
                  <w:tcW w:w="412" w:type="pct"/>
                  <w:vMerge w:val="continue"/>
                  <w:tcBorders>
                    <w:tl2br w:val="nil"/>
                    <w:tr2bl w:val="nil"/>
                  </w:tcBorders>
                  <w:tcMar>
                    <w:left w:w="0" w:type="dxa"/>
                    <w:right w:w="0" w:type="dxa"/>
                  </w:tcMar>
                  <w:vAlign w:val="center"/>
                </w:tcPr>
                <w:p w14:paraId="087635F3">
                  <w:pPr>
                    <w:jc w:val="center"/>
                    <w:textAlignment w:val="bottom"/>
                    <w:rPr>
                      <w:rFonts w:hint="eastAsia"/>
                      <w:color w:val="auto"/>
                      <w:kern w:val="0"/>
                      <w:sz w:val="21"/>
                      <w:szCs w:val="21"/>
                    </w:rPr>
                  </w:pPr>
                </w:p>
              </w:tc>
              <w:tc>
                <w:tcPr>
                  <w:tcW w:w="712" w:type="pct"/>
                  <w:tcBorders>
                    <w:tl2br w:val="nil"/>
                    <w:tr2bl w:val="nil"/>
                  </w:tcBorders>
                  <w:shd w:val="clear" w:color="auto" w:fill="auto"/>
                  <w:tcMar>
                    <w:left w:w="0" w:type="dxa"/>
                    <w:right w:w="0" w:type="dxa"/>
                  </w:tcMar>
                  <w:vAlign w:val="center"/>
                </w:tcPr>
                <w:p w14:paraId="44B5A5A5">
                  <w:pPr>
                    <w:pStyle w:val="656"/>
                    <w:snapToGrid w:val="0"/>
                    <w:rPr>
                      <w:rFonts w:hint="eastAsia" w:ascii="Times New Roman" w:hAnsi="Times New Roman" w:eastAsia="仿宋_GB2312" w:cs="Times New Roman"/>
                      <w:bCs/>
                      <w:snapToGrid w:val="0"/>
                      <w:color w:val="auto"/>
                      <w:kern w:val="0"/>
                      <w:sz w:val="21"/>
                      <w:szCs w:val="21"/>
                      <w:lang w:val="en-US" w:eastAsia="zh-CN" w:bidi="ar-SA"/>
                    </w:rPr>
                  </w:pPr>
                  <w:r>
                    <w:rPr>
                      <w:rFonts w:hint="eastAsia" w:eastAsia="宋体"/>
                      <w:color w:val="auto"/>
                      <w:sz w:val="21"/>
                      <w:szCs w:val="21"/>
                      <w:lang w:val="en-US" w:eastAsia="zh-CN"/>
                    </w:rPr>
                    <w:t>非甲烷总烃</w:t>
                  </w:r>
                </w:p>
              </w:tc>
              <w:tc>
                <w:tcPr>
                  <w:tcW w:w="555" w:type="pct"/>
                  <w:tcBorders>
                    <w:tl2br w:val="nil"/>
                    <w:tr2bl w:val="nil"/>
                  </w:tcBorders>
                  <w:shd w:val="clear" w:color="auto" w:fill="auto"/>
                  <w:tcMar>
                    <w:left w:w="0" w:type="dxa"/>
                    <w:right w:w="0" w:type="dxa"/>
                  </w:tcMar>
                  <w:vAlign w:val="center"/>
                </w:tcPr>
                <w:p w14:paraId="46D57BAE">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0.065</w:t>
                  </w:r>
                </w:p>
              </w:tc>
              <w:tc>
                <w:tcPr>
                  <w:tcW w:w="555" w:type="pct"/>
                  <w:tcBorders>
                    <w:tl2br w:val="nil"/>
                    <w:tr2bl w:val="nil"/>
                  </w:tcBorders>
                  <w:shd w:val="clear" w:color="auto" w:fill="auto"/>
                  <w:tcMar>
                    <w:left w:w="0" w:type="dxa"/>
                    <w:right w:w="0" w:type="dxa"/>
                  </w:tcMar>
                  <w:vAlign w:val="center"/>
                </w:tcPr>
                <w:p w14:paraId="46CDBD04">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0.000425</w:t>
                  </w:r>
                </w:p>
              </w:tc>
              <w:tc>
                <w:tcPr>
                  <w:tcW w:w="473" w:type="pct"/>
                  <w:tcBorders>
                    <w:tl2br w:val="nil"/>
                    <w:tr2bl w:val="nil"/>
                  </w:tcBorders>
                  <w:shd w:val="clear" w:color="auto" w:fill="auto"/>
                  <w:tcMar>
                    <w:left w:w="0" w:type="dxa"/>
                    <w:right w:w="0" w:type="dxa"/>
                  </w:tcMar>
                  <w:vAlign w:val="center"/>
                </w:tcPr>
                <w:p w14:paraId="3EBF7E3D">
                  <w:pPr>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sz w:val="21"/>
                      <w:szCs w:val="21"/>
                      <w:lang w:val="en-US" w:eastAsia="zh-CN"/>
                    </w:rPr>
                    <w:t>60</w:t>
                  </w:r>
                </w:p>
              </w:tc>
              <w:tc>
                <w:tcPr>
                  <w:tcW w:w="473" w:type="pct"/>
                  <w:tcBorders>
                    <w:tl2br w:val="nil"/>
                    <w:tr2bl w:val="nil"/>
                  </w:tcBorders>
                  <w:shd w:val="clear" w:color="auto" w:fill="auto"/>
                  <w:tcMar>
                    <w:left w:w="0" w:type="dxa"/>
                    <w:right w:w="0" w:type="dxa"/>
                  </w:tcMar>
                  <w:vAlign w:val="center"/>
                </w:tcPr>
                <w:p w14:paraId="16BD9B35">
                  <w:pPr>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sz w:val="21"/>
                      <w:szCs w:val="21"/>
                      <w:lang w:val="en-US" w:eastAsia="zh-CN"/>
                    </w:rPr>
                    <w:t>3</w:t>
                  </w:r>
                </w:p>
              </w:tc>
              <w:tc>
                <w:tcPr>
                  <w:tcW w:w="1212" w:type="pct"/>
                  <w:tcBorders>
                    <w:tl2br w:val="nil"/>
                    <w:tr2bl w:val="nil"/>
                  </w:tcBorders>
                  <w:shd w:val="clear" w:color="auto" w:fill="auto"/>
                  <w:vAlign w:val="center"/>
                </w:tcPr>
                <w:p w14:paraId="20E492C6">
                  <w:pPr>
                    <w:jc w:val="center"/>
                    <w:rPr>
                      <w:rFonts w:hint="eastAsia" w:ascii="Times New Roman" w:hAnsi="Times New Roman" w:eastAsia="宋体" w:cs="Times New Roman"/>
                      <w:bCs/>
                      <w:snapToGrid w:val="0"/>
                      <w:color w:val="auto"/>
                      <w:kern w:val="0"/>
                      <w:sz w:val="21"/>
                      <w:szCs w:val="21"/>
                      <w:lang w:val="en-US" w:eastAsia="zh-CN" w:bidi="ar-SA"/>
                    </w:rPr>
                  </w:pPr>
                  <w:r>
                    <w:rPr>
                      <w:rFonts w:hint="eastAsia"/>
                      <w:bCs/>
                      <w:color w:val="auto"/>
                      <w:kern w:val="0"/>
                      <w:sz w:val="21"/>
                      <w:szCs w:val="21"/>
                    </w:rPr>
                    <w:t>《大气污染物综合排放标准》（DB32/4041-2021）</w:t>
                  </w:r>
                </w:p>
              </w:tc>
              <w:tc>
                <w:tcPr>
                  <w:tcW w:w="249" w:type="pct"/>
                  <w:tcBorders>
                    <w:tl2br w:val="nil"/>
                    <w:tr2bl w:val="nil"/>
                  </w:tcBorders>
                  <w:tcMar>
                    <w:left w:w="0" w:type="dxa"/>
                    <w:right w:w="0" w:type="dxa"/>
                  </w:tcMar>
                  <w:vAlign w:val="center"/>
                </w:tcPr>
                <w:p w14:paraId="11FFDFFF">
                  <w:pPr>
                    <w:jc w:val="center"/>
                    <w:rPr>
                      <w:rFonts w:hint="eastAsia" w:eastAsia="宋体"/>
                      <w:color w:val="auto"/>
                      <w:kern w:val="0"/>
                      <w:sz w:val="21"/>
                      <w:szCs w:val="21"/>
                      <w:lang w:val="en-US" w:eastAsia="zh-CN"/>
                    </w:rPr>
                  </w:pPr>
                  <w:r>
                    <w:rPr>
                      <w:rFonts w:hint="eastAsia"/>
                      <w:color w:val="auto"/>
                      <w:kern w:val="0"/>
                      <w:sz w:val="21"/>
                      <w:szCs w:val="21"/>
                      <w:lang w:val="en-US" w:eastAsia="zh-CN"/>
                    </w:rPr>
                    <w:t>达标</w:t>
                  </w:r>
                </w:p>
              </w:tc>
            </w:tr>
          </w:tbl>
          <w:p w14:paraId="081EE649">
            <w:pPr>
              <w:pStyle w:val="697"/>
              <w:adjustRightInd w:val="0"/>
              <w:snapToGrid w:val="0"/>
              <w:spacing w:line="360" w:lineRule="auto"/>
              <w:ind w:firstLine="420"/>
              <w:rPr>
                <w:rFonts w:hint="eastAsia" w:eastAsia="宋体"/>
                <w:color w:val="FF0000"/>
                <w:kern w:val="0"/>
                <w:sz w:val="21"/>
                <w:szCs w:val="21"/>
              </w:rPr>
            </w:pPr>
            <w:r>
              <w:rPr>
                <w:rFonts w:hint="eastAsia" w:eastAsia="宋体"/>
                <w:color w:val="FF0000"/>
                <w:kern w:val="0"/>
                <w:sz w:val="21"/>
                <w:szCs w:val="21"/>
              </w:rPr>
              <w:t>为进一步减少无组织废气的排放，采取如下措施：</w:t>
            </w:r>
          </w:p>
          <w:p w14:paraId="48B8B868">
            <w:pPr>
              <w:pStyle w:val="697"/>
              <w:adjustRightInd w:val="0"/>
              <w:snapToGrid w:val="0"/>
              <w:spacing w:line="360" w:lineRule="auto"/>
              <w:ind w:firstLine="420"/>
              <w:rPr>
                <w:rFonts w:hint="eastAsia" w:eastAsia="宋体"/>
                <w:color w:val="FF0000"/>
                <w:kern w:val="0"/>
                <w:sz w:val="21"/>
                <w:szCs w:val="21"/>
              </w:rPr>
            </w:pPr>
            <w:r>
              <w:rPr>
                <w:rFonts w:hint="eastAsia" w:eastAsia="宋体"/>
                <w:color w:val="FF0000"/>
                <w:kern w:val="0"/>
                <w:sz w:val="21"/>
                <w:szCs w:val="21"/>
              </w:rPr>
              <w:t>①选用高质量的设备、容器以及管件，提高安装质量，加强生产管理和设备维修，及时修、更换破损的管道、机泵、阀门及污染治理设备，减少和防止生产过程中的跑、冒、滴、漏和事故性排放，在此基础上还应针对上述无组织废气排放源，加强管道、阀门的密封检修，减少无组织废气逸散。</w:t>
            </w:r>
          </w:p>
          <w:p w14:paraId="033DAB66">
            <w:pPr>
              <w:pStyle w:val="697"/>
              <w:adjustRightInd w:val="0"/>
              <w:snapToGrid w:val="0"/>
              <w:spacing w:line="360" w:lineRule="auto"/>
              <w:ind w:firstLine="420"/>
              <w:rPr>
                <w:rFonts w:hint="eastAsia" w:eastAsia="宋体"/>
                <w:color w:val="FF0000"/>
                <w:kern w:val="0"/>
                <w:sz w:val="21"/>
                <w:szCs w:val="21"/>
              </w:rPr>
            </w:pPr>
            <w:r>
              <w:rPr>
                <w:rFonts w:hint="eastAsia" w:eastAsia="宋体"/>
                <w:color w:val="FF0000"/>
                <w:kern w:val="0"/>
                <w:sz w:val="21"/>
                <w:szCs w:val="21"/>
              </w:rPr>
              <w:t>②加强操作工的培训和管理，以减少人为造成的对环境的污染。</w:t>
            </w:r>
          </w:p>
          <w:p w14:paraId="498DB62F">
            <w:pPr>
              <w:pStyle w:val="697"/>
              <w:adjustRightInd w:val="0"/>
              <w:snapToGrid w:val="0"/>
              <w:spacing w:line="360" w:lineRule="auto"/>
              <w:ind w:firstLine="420"/>
              <w:rPr>
                <w:rFonts w:hint="eastAsia" w:eastAsia="宋体"/>
                <w:color w:val="FF0000"/>
                <w:kern w:val="0"/>
                <w:sz w:val="21"/>
                <w:szCs w:val="21"/>
              </w:rPr>
            </w:pPr>
            <w:r>
              <w:rPr>
                <w:rFonts w:hint="eastAsia" w:eastAsia="宋体"/>
                <w:color w:val="FF0000"/>
                <w:kern w:val="0"/>
                <w:sz w:val="21"/>
                <w:szCs w:val="21"/>
              </w:rPr>
              <w:t>③对于一些有可能导致废气事故排放的情况，厂家必须加强管理，采取切实有效的措施以保障安全和防止污染环境。加强厂区和厂界的绿化工作，减少无组织废气对周围环境影响。</w:t>
            </w:r>
          </w:p>
          <w:p w14:paraId="3A84FE25">
            <w:pPr>
              <w:pStyle w:val="697"/>
              <w:adjustRightInd w:val="0"/>
              <w:snapToGrid w:val="0"/>
              <w:spacing w:line="360" w:lineRule="auto"/>
              <w:ind w:firstLine="420"/>
              <w:rPr>
                <w:rFonts w:eastAsia="宋体"/>
                <w:color w:val="FF0000"/>
                <w:kern w:val="0"/>
                <w:sz w:val="21"/>
                <w:szCs w:val="21"/>
              </w:rPr>
            </w:pPr>
            <w:r>
              <w:rPr>
                <w:rFonts w:hint="eastAsia" w:eastAsia="宋体"/>
                <w:color w:val="FF0000"/>
                <w:kern w:val="0"/>
                <w:sz w:val="21"/>
                <w:szCs w:val="21"/>
              </w:rPr>
              <w:t>④无组织排放废气均通过车间强制通风，降低生产厂房内污染物浓度。</w:t>
            </w:r>
          </w:p>
          <w:p w14:paraId="3A84FE26">
            <w:pPr>
              <w:pStyle w:val="5"/>
              <w:adjustRightInd w:val="0"/>
              <w:snapToGrid w:val="0"/>
              <w:spacing w:line="360" w:lineRule="auto"/>
              <w:ind w:firstLine="422" w:firstLineChars="200"/>
              <w:rPr>
                <w:b/>
                <w:color w:val="auto"/>
                <w:kern w:val="0"/>
                <w:szCs w:val="21"/>
              </w:rPr>
            </w:pPr>
            <w:r>
              <w:rPr>
                <w:rFonts w:hint="eastAsia"/>
                <w:b/>
                <w:color w:val="auto"/>
                <w:kern w:val="0"/>
                <w:szCs w:val="21"/>
              </w:rPr>
              <w:t>（6）污染物排放量核算</w:t>
            </w:r>
          </w:p>
          <w:p w14:paraId="3A84FE27">
            <w:pPr>
              <w:pStyle w:val="238"/>
              <w:adjustRightInd w:val="0"/>
              <w:snapToGrid w:val="0"/>
              <w:spacing w:before="0" w:line="240" w:lineRule="auto"/>
              <w:rPr>
                <w:rFonts w:ascii="Times New Roman" w:hAnsi="Times New Roman" w:eastAsia="宋体"/>
                <w:b/>
                <w:color w:val="auto"/>
                <w:kern w:val="0"/>
                <w:sz w:val="21"/>
                <w:szCs w:val="21"/>
              </w:rPr>
            </w:pPr>
            <w:r>
              <w:rPr>
                <w:rFonts w:ascii="Times New Roman" w:hAnsi="Times New Roman" w:eastAsia="宋体"/>
                <w:b/>
                <w:color w:val="auto"/>
                <w:kern w:val="0"/>
                <w:sz w:val="21"/>
                <w:szCs w:val="21"/>
              </w:rPr>
              <w:t>表4</w:t>
            </w:r>
            <w:r>
              <w:rPr>
                <w:rFonts w:hint="eastAsia" w:ascii="Times New Roman" w:hAnsi="Times New Roman" w:eastAsia="宋体"/>
                <w:b/>
                <w:color w:val="auto"/>
                <w:kern w:val="0"/>
                <w:sz w:val="21"/>
                <w:szCs w:val="21"/>
              </w:rPr>
              <w:t>-</w:t>
            </w:r>
            <w:r>
              <w:rPr>
                <w:rFonts w:hint="eastAsia" w:ascii="Times New Roman" w:hAnsi="Times New Roman" w:eastAsia="宋体"/>
                <w:b/>
                <w:color w:val="auto"/>
                <w:kern w:val="0"/>
                <w:sz w:val="21"/>
                <w:szCs w:val="21"/>
                <w:lang w:val="en-US" w:eastAsia="zh-CN"/>
              </w:rPr>
              <w:t>6</w:t>
            </w:r>
            <w:r>
              <w:rPr>
                <w:rFonts w:hint="eastAsia" w:ascii="Times New Roman" w:hAnsi="Times New Roman" w:eastAsia="宋体"/>
                <w:b/>
                <w:color w:val="auto"/>
                <w:kern w:val="0"/>
                <w:sz w:val="21"/>
                <w:szCs w:val="21"/>
              </w:rPr>
              <w:t xml:space="preserve">   </w:t>
            </w:r>
            <w:r>
              <w:rPr>
                <w:rFonts w:ascii="Times New Roman" w:hAnsi="Times New Roman" w:eastAsia="宋体"/>
                <w:b/>
                <w:color w:val="auto"/>
                <w:kern w:val="0"/>
                <w:sz w:val="21"/>
                <w:szCs w:val="21"/>
              </w:rPr>
              <w:t>项目大气污染物有组织排放量核算表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867"/>
              <w:gridCol w:w="1662"/>
              <w:gridCol w:w="1495"/>
              <w:gridCol w:w="1604"/>
              <w:gridCol w:w="1597"/>
              <w:gridCol w:w="2370"/>
            </w:tblGrid>
            <w:tr w14:paraId="3A84FE2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52" w:type="pct"/>
                  <w:tcBorders>
                    <w:tl2br w:val="nil"/>
                    <w:tr2bl w:val="nil"/>
                  </w:tcBorders>
                  <w:vAlign w:val="center"/>
                </w:tcPr>
                <w:p w14:paraId="3A84FE28">
                  <w:pPr>
                    <w:pStyle w:val="693"/>
                    <w:rPr>
                      <w:rFonts w:eastAsia="宋体"/>
                      <w:color w:val="auto"/>
                      <w:kern w:val="0"/>
                    </w:rPr>
                  </w:pPr>
                  <w:r>
                    <w:rPr>
                      <w:rFonts w:eastAsia="宋体"/>
                      <w:color w:val="auto"/>
                      <w:kern w:val="0"/>
                    </w:rPr>
                    <w:t>序号</w:t>
                  </w:r>
                </w:p>
              </w:tc>
              <w:tc>
                <w:tcPr>
                  <w:tcW w:w="866" w:type="pct"/>
                  <w:tcBorders>
                    <w:tl2br w:val="nil"/>
                    <w:tr2bl w:val="nil"/>
                  </w:tcBorders>
                  <w:vAlign w:val="center"/>
                </w:tcPr>
                <w:p w14:paraId="3A84FE29">
                  <w:pPr>
                    <w:pStyle w:val="693"/>
                    <w:rPr>
                      <w:rFonts w:eastAsia="宋体"/>
                      <w:color w:val="auto"/>
                      <w:kern w:val="0"/>
                    </w:rPr>
                  </w:pPr>
                  <w:r>
                    <w:rPr>
                      <w:rFonts w:eastAsia="宋体"/>
                      <w:color w:val="auto"/>
                      <w:kern w:val="0"/>
                    </w:rPr>
                    <w:t>排放口编号</w:t>
                  </w:r>
                </w:p>
              </w:tc>
              <w:tc>
                <w:tcPr>
                  <w:tcW w:w="779" w:type="pct"/>
                  <w:tcBorders>
                    <w:tl2br w:val="nil"/>
                    <w:tr2bl w:val="nil"/>
                  </w:tcBorders>
                  <w:vAlign w:val="center"/>
                </w:tcPr>
                <w:p w14:paraId="3A84FE2A">
                  <w:pPr>
                    <w:pStyle w:val="693"/>
                    <w:rPr>
                      <w:rFonts w:eastAsia="宋体"/>
                      <w:color w:val="auto"/>
                      <w:kern w:val="0"/>
                    </w:rPr>
                  </w:pPr>
                  <w:r>
                    <w:rPr>
                      <w:rFonts w:eastAsia="宋体"/>
                      <w:color w:val="auto"/>
                      <w:kern w:val="0"/>
                    </w:rPr>
                    <w:t>污染物</w:t>
                  </w:r>
                </w:p>
              </w:tc>
              <w:tc>
                <w:tcPr>
                  <w:tcW w:w="836" w:type="pct"/>
                  <w:tcBorders>
                    <w:tl2br w:val="nil"/>
                    <w:tr2bl w:val="nil"/>
                  </w:tcBorders>
                  <w:vAlign w:val="center"/>
                </w:tcPr>
                <w:p w14:paraId="3A84FE2B">
                  <w:pPr>
                    <w:pStyle w:val="693"/>
                    <w:rPr>
                      <w:rFonts w:eastAsia="宋体"/>
                      <w:color w:val="auto"/>
                      <w:kern w:val="0"/>
                    </w:rPr>
                  </w:pPr>
                  <w:r>
                    <w:rPr>
                      <w:rFonts w:eastAsia="宋体"/>
                      <w:color w:val="auto"/>
                      <w:kern w:val="0"/>
                    </w:rPr>
                    <w:t>核算排放浓度/（mg/m</w:t>
                  </w:r>
                  <w:r>
                    <w:rPr>
                      <w:rFonts w:eastAsia="宋体"/>
                      <w:color w:val="auto"/>
                      <w:kern w:val="0"/>
                      <w:vertAlign w:val="superscript"/>
                    </w:rPr>
                    <w:t>3</w:t>
                  </w:r>
                  <w:r>
                    <w:rPr>
                      <w:rFonts w:eastAsia="宋体"/>
                      <w:color w:val="auto"/>
                      <w:kern w:val="0"/>
                    </w:rPr>
                    <w:t>）</w:t>
                  </w:r>
                </w:p>
              </w:tc>
              <w:tc>
                <w:tcPr>
                  <w:tcW w:w="831" w:type="pct"/>
                  <w:tcBorders>
                    <w:tl2br w:val="nil"/>
                    <w:tr2bl w:val="nil"/>
                  </w:tcBorders>
                  <w:vAlign w:val="center"/>
                </w:tcPr>
                <w:p w14:paraId="3A84FE2C">
                  <w:pPr>
                    <w:pStyle w:val="693"/>
                    <w:rPr>
                      <w:rFonts w:eastAsia="宋体"/>
                      <w:color w:val="auto"/>
                      <w:kern w:val="0"/>
                    </w:rPr>
                  </w:pPr>
                  <w:r>
                    <w:rPr>
                      <w:rFonts w:eastAsia="宋体"/>
                      <w:color w:val="auto"/>
                      <w:kern w:val="0"/>
                    </w:rPr>
                    <w:t>核算排放速率/（kg/h）</w:t>
                  </w:r>
                </w:p>
              </w:tc>
              <w:tc>
                <w:tcPr>
                  <w:tcW w:w="1234" w:type="pct"/>
                  <w:tcBorders>
                    <w:tl2br w:val="nil"/>
                    <w:tr2bl w:val="nil"/>
                  </w:tcBorders>
                  <w:vAlign w:val="center"/>
                </w:tcPr>
                <w:p w14:paraId="3A84FE2D">
                  <w:pPr>
                    <w:pStyle w:val="693"/>
                    <w:rPr>
                      <w:rFonts w:eastAsia="宋体"/>
                      <w:color w:val="auto"/>
                      <w:kern w:val="0"/>
                    </w:rPr>
                  </w:pPr>
                  <w:r>
                    <w:rPr>
                      <w:rFonts w:eastAsia="宋体"/>
                      <w:color w:val="auto"/>
                      <w:kern w:val="0"/>
                    </w:rPr>
                    <w:t>核算年排放量/（t/a）</w:t>
                  </w:r>
                </w:p>
              </w:tc>
            </w:tr>
            <w:tr w14:paraId="3A84FE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6"/>
                  <w:tcBorders>
                    <w:tl2br w:val="nil"/>
                    <w:tr2bl w:val="nil"/>
                  </w:tcBorders>
                  <w:vAlign w:val="center"/>
                </w:tcPr>
                <w:p w14:paraId="3A84FE2F">
                  <w:pPr>
                    <w:pStyle w:val="698"/>
                    <w:rPr>
                      <w:rFonts w:eastAsia="宋体"/>
                      <w:color w:val="auto"/>
                      <w:kern w:val="0"/>
                    </w:rPr>
                  </w:pPr>
                  <w:r>
                    <w:rPr>
                      <w:rFonts w:eastAsia="宋体"/>
                      <w:color w:val="auto"/>
                      <w:kern w:val="0"/>
                    </w:rPr>
                    <w:t>一般排放口</w:t>
                  </w:r>
                </w:p>
              </w:tc>
            </w:tr>
            <w:tr w14:paraId="3A84FE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52" w:type="pct"/>
                  <w:tcBorders>
                    <w:tl2br w:val="nil"/>
                    <w:tr2bl w:val="nil"/>
                  </w:tcBorders>
                  <w:vAlign w:val="center"/>
                </w:tcPr>
                <w:p w14:paraId="3A84FE31">
                  <w:pPr>
                    <w:pStyle w:val="693"/>
                    <w:rPr>
                      <w:rFonts w:eastAsia="宋体"/>
                      <w:b w:val="0"/>
                      <w:bCs/>
                      <w:color w:val="auto"/>
                      <w:kern w:val="0"/>
                    </w:rPr>
                  </w:pPr>
                  <w:r>
                    <w:rPr>
                      <w:rFonts w:eastAsia="宋体"/>
                      <w:b w:val="0"/>
                      <w:bCs/>
                      <w:color w:val="auto"/>
                      <w:kern w:val="0"/>
                    </w:rPr>
                    <w:t>1</w:t>
                  </w:r>
                </w:p>
              </w:tc>
              <w:tc>
                <w:tcPr>
                  <w:tcW w:w="866" w:type="pct"/>
                  <w:vMerge w:val="restart"/>
                  <w:tcBorders>
                    <w:tl2br w:val="nil"/>
                    <w:tr2bl w:val="nil"/>
                  </w:tcBorders>
                  <w:vAlign w:val="center"/>
                </w:tcPr>
                <w:p w14:paraId="3A84FE32">
                  <w:pPr>
                    <w:pStyle w:val="698"/>
                    <w:rPr>
                      <w:rFonts w:hint="default" w:eastAsia="宋体"/>
                      <w:color w:val="auto"/>
                      <w:kern w:val="0"/>
                      <w:lang w:val="en-US" w:eastAsia="zh-CN"/>
                    </w:rPr>
                  </w:pPr>
                  <w:r>
                    <w:rPr>
                      <w:rFonts w:hint="eastAsia" w:eastAsia="宋体"/>
                      <w:color w:val="auto"/>
                      <w:kern w:val="0"/>
                      <w:lang w:val="en-US" w:eastAsia="zh-CN"/>
                    </w:rPr>
                    <w:t>3#</w:t>
                  </w:r>
                </w:p>
              </w:tc>
              <w:tc>
                <w:tcPr>
                  <w:tcW w:w="779" w:type="pct"/>
                  <w:tcBorders>
                    <w:tl2br w:val="nil"/>
                    <w:tr2bl w:val="nil"/>
                  </w:tcBorders>
                  <w:vAlign w:val="center"/>
                </w:tcPr>
                <w:p w14:paraId="3A84FE33">
                  <w:pPr>
                    <w:pStyle w:val="656"/>
                    <w:snapToGrid w:val="0"/>
                    <w:rPr>
                      <w:color w:val="auto"/>
                      <w:kern w:val="0"/>
                      <w:sz w:val="21"/>
                      <w:szCs w:val="21"/>
                    </w:rPr>
                  </w:pPr>
                  <w:r>
                    <w:rPr>
                      <w:rFonts w:hint="eastAsia" w:eastAsia="宋体"/>
                      <w:color w:val="auto"/>
                      <w:sz w:val="21"/>
                      <w:szCs w:val="21"/>
                      <w:lang w:val="en-US" w:eastAsia="zh-CN"/>
                    </w:rPr>
                    <w:t>颗粒物</w:t>
                  </w:r>
                </w:p>
              </w:tc>
              <w:tc>
                <w:tcPr>
                  <w:tcW w:w="1482" w:type="dxa"/>
                  <w:tcBorders>
                    <w:tl2br w:val="nil"/>
                    <w:tr2bl w:val="nil"/>
                  </w:tcBorders>
                  <w:vAlign w:val="center"/>
                </w:tcPr>
                <w:p w14:paraId="3A84FE34">
                  <w:pPr>
                    <w:pStyle w:val="656"/>
                    <w:snapToGrid w:val="0"/>
                    <w:rPr>
                      <w:rFonts w:eastAsia="宋体"/>
                      <w:color w:val="auto"/>
                      <w:kern w:val="0"/>
                      <w:sz w:val="21"/>
                      <w:szCs w:val="21"/>
                    </w:rPr>
                  </w:pPr>
                  <w:r>
                    <w:rPr>
                      <w:rFonts w:hint="eastAsia" w:eastAsia="宋体"/>
                      <w:color w:val="auto"/>
                      <w:sz w:val="21"/>
                      <w:szCs w:val="21"/>
                      <w:lang w:val="en-US" w:eastAsia="zh-CN"/>
                    </w:rPr>
                    <w:t>1.27</w:t>
                  </w:r>
                </w:p>
              </w:tc>
              <w:tc>
                <w:tcPr>
                  <w:tcW w:w="1474" w:type="dxa"/>
                  <w:tcBorders>
                    <w:tl2br w:val="nil"/>
                    <w:tr2bl w:val="nil"/>
                  </w:tcBorders>
                  <w:vAlign w:val="center"/>
                </w:tcPr>
                <w:p w14:paraId="3A84FE35">
                  <w:pPr>
                    <w:pStyle w:val="656"/>
                    <w:snapToGrid w:val="0"/>
                    <w:rPr>
                      <w:rFonts w:hint="default" w:eastAsia="宋体"/>
                      <w:color w:val="auto"/>
                      <w:kern w:val="0"/>
                      <w:sz w:val="21"/>
                      <w:szCs w:val="21"/>
                      <w:lang w:val="en-US"/>
                    </w:rPr>
                  </w:pPr>
                  <w:r>
                    <w:rPr>
                      <w:rFonts w:hint="eastAsia" w:eastAsia="宋体"/>
                      <w:color w:val="auto"/>
                      <w:sz w:val="21"/>
                      <w:szCs w:val="21"/>
                      <w:lang w:val="en-US" w:eastAsia="zh-CN"/>
                    </w:rPr>
                    <w:t>0.00825</w:t>
                  </w:r>
                </w:p>
              </w:tc>
              <w:tc>
                <w:tcPr>
                  <w:tcW w:w="2189" w:type="dxa"/>
                  <w:tcBorders>
                    <w:tl2br w:val="nil"/>
                    <w:tr2bl w:val="nil"/>
                  </w:tcBorders>
                  <w:vAlign w:val="center"/>
                </w:tcPr>
                <w:p w14:paraId="3A84FE36">
                  <w:pPr>
                    <w:pStyle w:val="656"/>
                    <w:snapToGrid w:val="0"/>
                    <w:rPr>
                      <w:rFonts w:hint="default" w:eastAsia="宋体"/>
                      <w:color w:val="auto"/>
                      <w:kern w:val="0"/>
                      <w:sz w:val="21"/>
                      <w:szCs w:val="21"/>
                      <w:lang w:val="en-US"/>
                    </w:rPr>
                  </w:pPr>
                  <w:r>
                    <w:rPr>
                      <w:rFonts w:hint="eastAsia" w:eastAsia="宋体"/>
                      <w:color w:val="auto"/>
                      <w:sz w:val="21"/>
                      <w:szCs w:val="21"/>
                      <w:lang w:val="en-US" w:eastAsia="zh-CN"/>
                    </w:rPr>
                    <w:t>0.033</w:t>
                  </w:r>
                </w:p>
              </w:tc>
            </w:tr>
            <w:tr w14:paraId="425D7D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52" w:type="pct"/>
                  <w:tcBorders>
                    <w:tl2br w:val="nil"/>
                    <w:tr2bl w:val="nil"/>
                  </w:tcBorders>
                  <w:vAlign w:val="center"/>
                </w:tcPr>
                <w:p w14:paraId="5B1F361A">
                  <w:pPr>
                    <w:pStyle w:val="693"/>
                    <w:rPr>
                      <w:rFonts w:hint="eastAsia" w:eastAsia="宋体"/>
                      <w:b w:val="0"/>
                      <w:bCs/>
                      <w:color w:val="auto"/>
                      <w:kern w:val="0"/>
                      <w:lang w:val="en-US" w:eastAsia="zh-CN"/>
                    </w:rPr>
                  </w:pPr>
                  <w:r>
                    <w:rPr>
                      <w:rFonts w:hint="eastAsia" w:eastAsia="宋体"/>
                      <w:b w:val="0"/>
                      <w:bCs/>
                      <w:color w:val="auto"/>
                      <w:kern w:val="0"/>
                      <w:lang w:val="en-US" w:eastAsia="zh-CN"/>
                    </w:rPr>
                    <w:t>2</w:t>
                  </w:r>
                </w:p>
              </w:tc>
              <w:tc>
                <w:tcPr>
                  <w:tcW w:w="866" w:type="pct"/>
                  <w:vMerge w:val="continue"/>
                  <w:tcBorders>
                    <w:tl2br w:val="nil"/>
                    <w:tr2bl w:val="nil"/>
                  </w:tcBorders>
                  <w:vAlign w:val="center"/>
                </w:tcPr>
                <w:p w14:paraId="1BA9F876">
                  <w:pPr>
                    <w:pStyle w:val="698"/>
                    <w:rPr>
                      <w:rFonts w:hint="eastAsia" w:eastAsia="宋体"/>
                      <w:color w:val="auto"/>
                      <w:kern w:val="0"/>
                    </w:rPr>
                  </w:pPr>
                </w:p>
              </w:tc>
              <w:tc>
                <w:tcPr>
                  <w:tcW w:w="779" w:type="pct"/>
                  <w:tcBorders>
                    <w:tl2br w:val="nil"/>
                    <w:tr2bl w:val="nil"/>
                  </w:tcBorders>
                  <w:vAlign w:val="center"/>
                </w:tcPr>
                <w:p w14:paraId="5BFFDDEC">
                  <w:pPr>
                    <w:pStyle w:val="656"/>
                    <w:snapToGrid w:val="0"/>
                    <w:rPr>
                      <w:rFonts w:hint="eastAsia"/>
                      <w:bCs/>
                      <w:color w:val="auto"/>
                      <w:kern w:val="0"/>
                      <w:sz w:val="21"/>
                      <w:szCs w:val="21"/>
                    </w:rPr>
                  </w:pPr>
                  <w:r>
                    <w:rPr>
                      <w:rFonts w:hint="eastAsia" w:eastAsia="宋体"/>
                      <w:color w:val="auto"/>
                      <w:sz w:val="21"/>
                      <w:szCs w:val="21"/>
                      <w:lang w:val="en-US" w:eastAsia="zh-CN"/>
                    </w:rPr>
                    <w:t>SO</w:t>
                  </w:r>
                  <w:r>
                    <w:rPr>
                      <w:rFonts w:hint="eastAsia" w:eastAsia="宋体"/>
                      <w:color w:val="auto"/>
                      <w:sz w:val="21"/>
                      <w:szCs w:val="21"/>
                      <w:vertAlign w:val="subscript"/>
                      <w:lang w:val="en-US" w:eastAsia="zh-CN"/>
                    </w:rPr>
                    <w:t>2</w:t>
                  </w:r>
                </w:p>
              </w:tc>
              <w:tc>
                <w:tcPr>
                  <w:tcW w:w="1482" w:type="dxa"/>
                  <w:tcBorders>
                    <w:tl2br w:val="nil"/>
                    <w:tr2bl w:val="nil"/>
                  </w:tcBorders>
                  <w:vAlign w:val="center"/>
                </w:tcPr>
                <w:p w14:paraId="5D7DAA30">
                  <w:pPr>
                    <w:pStyle w:val="656"/>
                    <w:snapToGrid w:val="0"/>
                    <w:rPr>
                      <w:rFonts w:hint="eastAsia" w:eastAsia="宋体"/>
                      <w:color w:val="auto"/>
                      <w:sz w:val="21"/>
                      <w:szCs w:val="21"/>
                    </w:rPr>
                  </w:pPr>
                  <w:r>
                    <w:rPr>
                      <w:rFonts w:hint="eastAsia" w:eastAsia="宋体"/>
                      <w:color w:val="auto"/>
                      <w:sz w:val="21"/>
                      <w:szCs w:val="21"/>
                      <w:lang w:val="en-US" w:eastAsia="zh-CN"/>
                    </w:rPr>
                    <w:t>1.23</w:t>
                  </w:r>
                </w:p>
              </w:tc>
              <w:tc>
                <w:tcPr>
                  <w:tcW w:w="1474" w:type="dxa"/>
                  <w:tcBorders>
                    <w:tl2br w:val="nil"/>
                    <w:tr2bl w:val="nil"/>
                  </w:tcBorders>
                  <w:vAlign w:val="center"/>
                </w:tcPr>
                <w:p w14:paraId="00380ECD">
                  <w:pPr>
                    <w:pStyle w:val="656"/>
                    <w:snapToGrid w:val="0"/>
                    <w:rPr>
                      <w:rFonts w:hint="eastAsia" w:eastAsia="宋体"/>
                      <w:color w:val="auto"/>
                      <w:sz w:val="21"/>
                      <w:szCs w:val="21"/>
                    </w:rPr>
                  </w:pPr>
                  <w:r>
                    <w:rPr>
                      <w:rFonts w:hint="eastAsia" w:eastAsia="宋体"/>
                      <w:color w:val="auto"/>
                      <w:sz w:val="21"/>
                      <w:szCs w:val="21"/>
                      <w:lang w:val="en-US" w:eastAsia="zh-CN"/>
                    </w:rPr>
                    <w:t>0.008</w:t>
                  </w:r>
                </w:p>
              </w:tc>
              <w:tc>
                <w:tcPr>
                  <w:tcW w:w="2189" w:type="dxa"/>
                  <w:tcBorders>
                    <w:tl2br w:val="nil"/>
                    <w:tr2bl w:val="nil"/>
                  </w:tcBorders>
                  <w:vAlign w:val="center"/>
                </w:tcPr>
                <w:p w14:paraId="05707417">
                  <w:pPr>
                    <w:pStyle w:val="656"/>
                    <w:snapToGrid w:val="0"/>
                    <w:rPr>
                      <w:rFonts w:hint="eastAsia" w:eastAsia="宋体"/>
                      <w:color w:val="auto"/>
                      <w:kern w:val="0"/>
                      <w:sz w:val="21"/>
                      <w:szCs w:val="21"/>
                    </w:rPr>
                  </w:pPr>
                  <w:r>
                    <w:rPr>
                      <w:rFonts w:hint="eastAsia" w:eastAsia="宋体"/>
                      <w:color w:val="auto"/>
                      <w:sz w:val="21"/>
                      <w:szCs w:val="21"/>
                      <w:lang w:val="en-US" w:eastAsia="zh-CN"/>
                    </w:rPr>
                    <w:t>0.032</w:t>
                  </w:r>
                </w:p>
              </w:tc>
            </w:tr>
            <w:tr w14:paraId="34E108E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52" w:type="pct"/>
                  <w:tcBorders>
                    <w:tl2br w:val="nil"/>
                    <w:tr2bl w:val="nil"/>
                  </w:tcBorders>
                  <w:vAlign w:val="center"/>
                </w:tcPr>
                <w:p w14:paraId="11617B11">
                  <w:pPr>
                    <w:pStyle w:val="693"/>
                    <w:rPr>
                      <w:rFonts w:hint="eastAsia" w:eastAsia="宋体"/>
                      <w:b w:val="0"/>
                      <w:bCs/>
                      <w:color w:val="auto"/>
                      <w:kern w:val="0"/>
                      <w:lang w:val="en-US" w:eastAsia="zh-CN"/>
                    </w:rPr>
                  </w:pPr>
                  <w:r>
                    <w:rPr>
                      <w:rFonts w:hint="eastAsia" w:eastAsia="宋体"/>
                      <w:b w:val="0"/>
                      <w:bCs/>
                      <w:color w:val="auto"/>
                      <w:kern w:val="0"/>
                      <w:lang w:val="en-US" w:eastAsia="zh-CN"/>
                    </w:rPr>
                    <w:t>3</w:t>
                  </w:r>
                </w:p>
              </w:tc>
              <w:tc>
                <w:tcPr>
                  <w:tcW w:w="866" w:type="pct"/>
                  <w:vMerge w:val="continue"/>
                  <w:tcBorders>
                    <w:tl2br w:val="nil"/>
                    <w:tr2bl w:val="nil"/>
                  </w:tcBorders>
                  <w:vAlign w:val="center"/>
                </w:tcPr>
                <w:p w14:paraId="1B1EA9B3">
                  <w:pPr>
                    <w:pStyle w:val="698"/>
                    <w:rPr>
                      <w:rFonts w:hint="eastAsia" w:eastAsia="宋体"/>
                      <w:color w:val="auto"/>
                      <w:kern w:val="0"/>
                    </w:rPr>
                  </w:pPr>
                </w:p>
              </w:tc>
              <w:tc>
                <w:tcPr>
                  <w:tcW w:w="779" w:type="pct"/>
                  <w:tcBorders>
                    <w:tl2br w:val="nil"/>
                    <w:tr2bl w:val="nil"/>
                  </w:tcBorders>
                  <w:vAlign w:val="center"/>
                </w:tcPr>
                <w:p w14:paraId="222FA728">
                  <w:pPr>
                    <w:pStyle w:val="656"/>
                    <w:snapToGrid w:val="0"/>
                    <w:rPr>
                      <w:rFonts w:hint="eastAsia"/>
                      <w:bCs/>
                      <w:color w:val="auto"/>
                      <w:kern w:val="0"/>
                      <w:sz w:val="21"/>
                      <w:szCs w:val="21"/>
                    </w:rPr>
                  </w:pPr>
                  <w:r>
                    <w:rPr>
                      <w:rFonts w:hint="eastAsia" w:eastAsia="宋体"/>
                      <w:color w:val="auto"/>
                      <w:sz w:val="21"/>
                      <w:szCs w:val="21"/>
                      <w:lang w:val="en-US" w:eastAsia="zh-CN"/>
                    </w:rPr>
                    <w:t>NOx</w:t>
                  </w:r>
                </w:p>
              </w:tc>
              <w:tc>
                <w:tcPr>
                  <w:tcW w:w="1482" w:type="dxa"/>
                  <w:tcBorders>
                    <w:tl2br w:val="nil"/>
                    <w:tr2bl w:val="nil"/>
                  </w:tcBorders>
                  <w:vAlign w:val="center"/>
                </w:tcPr>
                <w:p w14:paraId="441855FC">
                  <w:pPr>
                    <w:pStyle w:val="656"/>
                    <w:snapToGrid w:val="0"/>
                    <w:rPr>
                      <w:rFonts w:hint="default" w:eastAsia="宋体"/>
                      <w:color w:val="auto"/>
                      <w:sz w:val="21"/>
                      <w:szCs w:val="21"/>
                      <w:lang w:val="en-US"/>
                    </w:rPr>
                  </w:pPr>
                  <w:r>
                    <w:rPr>
                      <w:rFonts w:hint="eastAsia" w:eastAsia="宋体"/>
                      <w:color w:val="auto"/>
                      <w:sz w:val="21"/>
                      <w:szCs w:val="21"/>
                      <w:lang w:val="en-US" w:eastAsia="zh-CN"/>
                    </w:rPr>
                    <w:t>3.85</w:t>
                  </w:r>
                </w:p>
              </w:tc>
              <w:tc>
                <w:tcPr>
                  <w:tcW w:w="1474" w:type="dxa"/>
                  <w:tcBorders>
                    <w:tl2br w:val="nil"/>
                    <w:tr2bl w:val="nil"/>
                  </w:tcBorders>
                  <w:vAlign w:val="center"/>
                </w:tcPr>
                <w:p w14:paraId="18A35915">
                  <w:pPr>
                    <w:pStyle w:val="656"/>
                    <w:snapToGrid w:val="0"/>
                    <w:rPr>
                      <w:rFonts w:hint="default" w:eastAsia="宋体"/>
                      <w:color w:val="auto"/>
                      <w:sz w:val="21"/>
                      <w:szCs w:val="21"/>
                      <w:lang w:val="en-US"/>
                    </w:rPr>
                  </w:pPr>
                  <w:r>
                    <w:rPr>
                      <w:rFonts w:hint="eastAsia" w:eastAsia="宋体"/>
                      <w:color w:val="auto"/>
                      <w:sz w:val="21"/>
                      <w:szCs w:val="21"/>
                      <w:lang w:val="en-US" w:eastAsia="zh-CN"/>
                    </w:rPr>
                    <w:t>0.025</w:t>
                  </w:r>
                </w:p>
              </w:tc>
              <w:tc>
                <w:tcPr>
                  <w:tcW w:w="2189" w:type="dxa"/>
                  <w:tcBorders>
                    <w:tl2br w:val="nil"/>
                    <w:tr2bl w:val="nil"/>
                  </w:tcBorders>
                  <w:vAlign w:val="center"/>
                </w:tcPr>
                <w:p w14:paraId="7C1D1BD3">
                  <w:pPr>
                    <w:pStyle w:val="656"/>
                    <w:snapToGrid w:val="0"/>
                    <w:rPr>
                      <w:rFonts w:hint="default" w:eastAsia="宋体"/>
                      <w:color w:val="auto"/>
                      <w:kern w:val="0"/>
                      <w:sz w:val="21"/>
                      <w:szCs w:val="21"/>
                      <w:lang w:val="en-US"/>
                    </w:rPr>
                  </w:pPr>
                  <w:r>
                    <w:rPr>
                      <w:rFonts w:hint="eastAsia" w:eastAsia="宋体"/>
                      <w:color w:val="auto"/>
                      <w:sz w:val="21"/>
                      <w:szCs w:val="21"/>
                      <w:lang w:val="en-US" w:eastAsia="zh-CN"/>
                    </w:rPr>
                    <w:t>0.1</w:t>
                  </w:r>
                </w:p>
              </w:tc>
            </w:tr>
            <w:tr w14:paraId="5A60913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52" w:type="pct"/>
                  <w:tcBorders>
                    <w:tl2br w:val="nil"/>
                    <w:tr2bl w:val="nil"/>
                  </w:tcBorders>
                  <w:vAlign w:val="center"/>
                </w:tcPr>
                <w:p w14:paraId="46192A20">
                  <w:pPr>
                    <w:pStyle w:val="693"/>
                    <w:rPr>
                      <w:rFonts w:hint="eastAsia" w:eastAsia="宋体"/>
                      <w:b w:val="0"/>
                      <w:bCs/>
                      <w:color w:val="auto"/>
                      <w:kern w:val="0"/>
                      <w:lang w:val="en-US" w:eastAsia="zh-CN"/>
                    </w:rPr>
                  </w:pPr>
                  <w:r>
                    <w:rPr>
                      <w:rFonts w:hint="eastAsia" w:eastAsia="宋体"/>
                      <w:b w:val="0"/>
                      <w:bCs/>
                      <w:color w:val="auto"/>
                      <w:kern w:val="0"/>
                      <w:lang w:val="en-US" w:eastAsia="zh-CN"/>
                    </w:rPr>
                    <w:t>4</w:t>
                  </w:r>
                </w:p>
              </w:tc>
              <w:tc>
                <w:tcPr>
                  <w:tcW w:w="866" w:type="pct"/>
                  <w:vMerge w:val="continue"/>
                  <w:tcBorders>
                    <w:tl2br w:val="nil"/>
                    <w:tr2bl w:val="nil"/>
                  </w:tcBorders>
                  <w:vAlign w:val="center"/>
                </w:tcPr>
                <w:p w14:paraId="3720D28B">
                  <w:pPr>
                    <w:pStyle w:val="698"/>
                    <w:rPr>
                      <w:rFonts w:hint="eastAsia" w:eastAsia="宋体"/>
                      <w:color w:val="auto"/>
                      <w:kern w:val="0"/>
                    </w:rPr>
                  </w:pPr>
                </w:p>
              </w:tc>
              <w:tc>
                <w:tcPr>
                  <w:tcW w:w="779" w:type="pct"/>
                  <w:tcBorders>
                    <w:tl2br w:val="nil"/>
                    <w:tr2bl w:val="nil"/>
                  </w:tcBorders>
                  <w:vAlign w:val="center"/>
                </w:tcPr>
                <w:p w14:paraId="4AAA7A2C">
                  <w:pPr>
                    <w:pStyle w:val="656"/>
                    <w:snapToGrid w:val="0"/>
                    <w:rPr>
                      <w:rFonts w:hint="eastAsia"/>
                      <w:bCs/>
                      <w:color w:val="auto"/>
                      <w:kern w:val="0"/>
                      <w:sz w:val="21"/>
                      <w:szCs w:val="21"/>
                    </w:rPr>
                  </w:pPr>
                  <w:r>
                    <w:rPr>
                      <w:rFonts w:hint="eastAsia" w:eastAsia="宋体"/>
                      <w:color w:val="auto"/>
                      <w:sz w:val="21"/>
                      <w:szCs w:val="21"/>
                      <w:lang w:val="en-US" w:eastAsia="zh-CN"/>
                    </w:rPr>
                    <w:t>氨</w:t>
                  </w:r>
                </w:p>
              </w:tc>
              <w:tc>
                <w:tcPr>
                  <w:tcW w:w="1482" w:type="dxa"/>
                  <w:tcBorders>
                    <w:tl2br w:val="nil"/>
                    <w:tr2bl w:val="nil"/>
                  </w:tcBorders>
                  <w:vAlign w:val="center"/>
                </w:tcPr>
                <w:p w14:paraId="2DA59789">
                  <w:pPr>
                    <w:pStyle w:val="656"/>
                    <w:snapToGrid w:val="0"/>
                    <w:rPr>
                      <w:rFonts w:hint="eastAsia" w:eastAsia="宋体"/>
                      <w:color w:val="auto"/>
                      <w:sz w:val="21"/>
                      <w:szCs w:val="21"/>
                    </w:rPr>
                  </w:pPr>
                  <w:r>
                    <w:rPr>
                      <w:rFonts w:hint="eastAsia" w:eastAsia="宋体"/>
                      <w:color w:val="auto"/>
                      <w:sz w:val="21"/>
                      <w:szCs w:val="21"/>
                      <w:lang w:val="en-US" w:eastAsia="zh-CN"/>
                    </w:rPr>
                    <w:t>0.17</w:t>
                  </w:r>
                </w:p>
              </w:tc>
              <w:tc>
                <w:tcPr>
                  <w:tcW w:w="1474" w:type="dxa"/>
                  <w:tcBorders>
                    <w:tl2br w:val="nil"/>
                    <w:tr2bl w:val="nil"/>
                  </w:tcBorders>
                  <w:vAlign w:val="center"/>
                </w:tcPr>
                <w:p w14:paraId="6CA0A59D">
                  <w:pPr>
                    <w:pStyle w:val="656"/>
                    <w:snapToGrid w:val="0"/>
                    <w:rPr>
                      <w:rFonts w:hint="eastAsia" w:eastAsia="宋体"/>
                      <w:color w:val="auto"/>
                      <w:sz w:val="21"/>
                      <w:szCs w:val="21"/>
                    </w:rPr>
                  </w:pPr>
                  <w:r>
                    <w:rPr>
                      <w:rFonts w:hint="eastAsia" w:eastAsia="宋体"/>
                      <w:color w:val="auto"/>
                      <w:sz w:val="21"/>
                      <w:szCs w:val="21"/>
                      <w:lang w:val="en-US" w:eastAsia="zh-CN"/>
                    </w:rPr>
                    <w:t>0.0011</w:t>
                  </w:r>
                </w:p>
              </w:tc>
              <w:tc>
                <w:tcPr>
                  <w:tcW w:w="2189" w:type="dxa"/>
                  <w:tcBorders>
                    <w:tl2br w:val="nil"/>
                    <w:tr2bl w:val="nil"/>
                  </w:tcBorders>
                  <w:vAlign w:val="center"/>
                </w:tcPr>
                <w:p w14:paraId="0523EAB1">
                  <w:pPr>
                    <w:pStyle w:val="656"/>
                    <w:snapToGrid w:val="0"/>
                    <w:rPr>
                      <w:rFonts w:hint="eastAsia" w:eastAsia="宋体"/>
                      <w:color w:val="auto"/>
                      <w:kern w:val="0"/>
                      <w:sz w:val="21"/>
                      <w:szCs w:val="21"/>
                    </w:rPr>
                  </w:pPr>
                  <w:r>
                    <w:rPr>
                      <w:rFonts w:hint="eastAsia" w:eastAsia="宋体"/>
                      <w:color w:val="auto"/>
                      <w:sz w:val="21"/>
                      <w:szCs w:val="21"/>
                      <w:lang w:val="en-US" w:eastAsia="zh-CN"/>
                    </w:rPr>
                    <w:t>0.00424</w:t>
                  </w:r>
                </w:p>
              </w:tc>
            </w:tr>
            <w:tr w14:paraId="1CB7CB3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52" w:type="pct"/>
                  <w:tcBorders>
                    <w:tl2br w:val="nil"/>
                    <w:tr2bl w:val="nil"/>
                  </w:tcBorders>
                  <w:vAlign w:val="center"/>
                </w:tcPr>
                <w:p w14:paraId="6B60B3D6">
                  <w:pPr>
                    <w:pStyle w:val="693"/>
                    <w:rPr>
                      <w:rFonts w:hint="eastAsia" w:eastAsia="宋体"/>
                      <w:b w:val="0"/>
                      <w:bCs/>
                      <w:color w:val="auto"/>
                      <w:kern w:val="0"/>
                      <w:lang w:val="en-US" w:eastAsia="zh-CN"/>
                    </w:rPr>
                  </w:pPr>
                  <w:r>
                    <w:rPr>
                      <w:rFonts w:hint="eastAsia" w:eastAsia="宋体"/>
                      <w:b w:val="0"/>
                      <w:bCs/>
                      <w:color w:val="auto"/>
                      <w:kern w:val="0"/>
                      <w:lang w:val="en-US" w:eastAsia="zh-CN"/>
                    </w:rPr>
                    <w:t>5</w:t>
                  </w:r>
                </w:p>
              </w:tc>
              <w:tc>
                <w:tcPr>
                  <w:tcW w:w="866" w:type="pct"/>
                  <w:vMerge w:val="continue"/>
                  <w:tcBorders>
                    <w:tl2br w:val="nil"/>
                    <w:tr2bl w:val="nil"/>
                  </w:tcBorders>
                  <w:vAlign w:val="center"/>
                </w:tcPr>
                <w:p w14:paraId="5F73EE03">
                  <w:pPr>
                    <w:pStyle w:val="698"/>
                    <w:rPr>
                      <w:rFonts w:hint="eastAsia" w:eastAsia="宋体"/>
                      <w:color w:val="auto"/>
                      <w:kern w:val="0"/>
                    </w:rPr>
                  </w:pPr>
                </w:p>
              </w:tc>
              <w:tc>
                <w:tcPr>
                  <w:tcW w:w="779" w:type="pct"/>
                  <w:tcBorders>
                    <w:tl2br w:val="nil"/>
                    <w:tr2bl w:val="nil"/>
                  </w:tcBorders>
                  <w:vAlign w:val="center"/>
                </w:tcPr>
                <w:p w14:paraId="1ED65B01">
                  <w:pPr>
                    <w:pStyle w:val="656"/>
                    <w:snapToGrid w:val="0"/>
                    <w:rPr>
                      <w:rFonts w:hint="eastAsia"/>
                      <w:bCs/>
                      <w:color w:val="auto"/>
                      <w:kern w:val="0"/>
                      <w:sz w:val="21"/>
                      <w:szCs w:val="21"/>
                    </w:rPr>
                  </w:pPr>
                  <w:r>
                    <w:rPr>
                      <w:rFonts w:hint="eastAsia" w:eastAsia="宋体"/>
                      <w:color w:val="auto"/>
                      <w:sz w:val="21"/>
                      <w:szCs w:val="21"/>
                      <w:lang w:val="en-US" w:eastAsia="zh-CN"/>
                    </w:rPr>
                    <w:t>CO</w:t>
                  </w:r>
                </w:p>
              </w:tc>
              <w:tc>
                <w:tcPr>
                  <w:tcW w:w="1482" w:type="dxa"/>
                  <w:tcBorders>
                    <w:tl2br w:val="nil"/>
                    <w:tr2bl w:val="nil"/>
                  </w:tcBorders>
                  <w:vAlign w:val="center"/>
                </w:tcPr>
                <w:p w14:paraId="34CD0DEA">
                  <w:pPr>
                    <w:pStyle w:val="656"/>
                    <w:snapToGrid w:val="0"/>
                    <w:rPr>
                      <w:rFonts w:hint="eastAsia" w:eastAsia="宋体"/>
                      <w:color w:val="auto"/>
                      <w:sz w:val="21"/>
                      <w:szCs w:val="21"/>
                    </w:rPr>
                  </w:pPr>
                  <w:r>
                    <w:rPr>
                      <w:rFonts w:hint="eastAsia" w:eastAsia="宋体"/>
                      <w:color w:val="auto"/>
                      <w:sz w:val="21"/>
                      <w:szCs w:val="21"/>
                      <w:lang w:val="en-US" w:eastAsia="zh-CN"/>
                    </w:rPr>
                    <w:t>1.2</w:t>
                  </w:r>
                </w:p>
              </w:tc>
              <w:tc>
                <w:tcPr>
                  <w:tcW w:w="1474" w:type="dxa"/>
                  <w:tcBorders>
                    <w:tl2br w:val="nil"/>
                    <w:tr2bl w:val="nil"/>
                  </w:tcBorders>
                  <w:vAlign w:val="center"/>
                </w:tcPr>
                <w:p w14:paraId="7DD231F7">
                  <w:pPr>
                    <w:pStyle w:val="656"/>
                    <w:snapToGrid w:val="0"/>
                    <w:rPr>
                      <w:rFonts w:hint="default" w:eastAsia="宋体"/>
                      <w:color w:val="auto"/>
                      <w:sz w:val="21"/>
                      <w:szCs w:val="21"/>
                      <w:lang w:val="en-US"/>
                    </w:rPr>
                  </w:pPr>
                  <w:r>
                    <w:rPr>
                      <w:rFonts w:hint="eastAsia" w:eastAsia="宋体"/>
                      <w:color w:val="auto"/>
                      <w:sz w:val="21"/>
                      <w:szCs w:val="21"/>
                      <w:lang w:val="en-US" w:eastAsia="zh-CN"/>
                    </w:rPr>
                    <w:t>0.008</w:t>
                  </w:r>
                </w:p>
              </w:tc>
              <w:tc>
                <w:tcPr>
                  <w:tcW w:w="2189" w:type="dxa"/>
                  <w:tcBorders>
                    <w:tl2br w:val="nil"/>
                    <w:tr2bl w:val="nil"/>
                  </w:tcBorders>
                  <w:vAlign w:val="center"/>
                </w:tcPr>
                <w:p w14:paraId="0FFCCE3D">
                  <w:pPr>
                    <w:pStyle w:val="656"/>
                    <w:snapToGrid w:val="0"/>
                    <w:rPr>
                      <w:rFonts w:hint="default" w:eastAsia="宋体"/>
                      <w:color w:val="auto"/>
                      <w:kern w:val="0"/>
                      <w:sz w:val="21"/>
                      <w:szCs w:val="21"/>
                      <w:lang w:val="en-US"/>
                    </w:rPr>
                  </w:pPr>
                  <w:r>
                    <w:rPr>
                      <w:rFonts w:hint="eastAsia" w:eastAsia="宋体"/>
                      <w:color w:val="auto"/>
                      <w:sz w:val="21"/>
                      <w:szCs w:val="21"/>
                      <w:lang w:val="en-US" w:eastAsia="zh-CN"/>
                    </w:rPr>
                    <w:t>0.032</w:t>
                  </w:r>
                </w:p>
              </w:tc>
            </w:tr>
            <w:tr w14:paraId="14B9B35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52" w:type="pct"/>
                  <w:tcBorders>
                    <w:tl2br w:val="nil"/>
                    <w:tr2bl w:val="nil"/>
                  </w:tcBorders>
                  <w:vAlign w:val="center"/>
                </w:tcPr>
                <w:p w14:paraId="0FC6350F">
                  <w:pPr>
                    <w:pStyle w:val="693"/>
                    <w:rPr>
                      <w:rFonts w:hint="eastAsia" w:eastAsia="宋体"/>
                      <w:b w:val="0"/>
                      <w:bCs/>
                      <w:color w:val="auto"/>
                      <w:kern w:val="0"/>
                      <w:lang w:val="en-US" w:eastAsia="zh-CN"/>
                    </w:rPr>
                  </w:pPr>
                  <w:r>
                    <w:rPr>
                      <w:rFonts w:hint="eastAsia" w:eastAsia="宋体"/>
                      <w:b w:val="0"/>
                      <w:bCs/>
                      <w:color w:val="auto"/>
                      <w:kern w:val="0"/>
                      <w:lang w:val="en-US" w:eastAsia="zh-CN"/>
                    </w:rPr>
                    <w:t>6</w:t>
                  </w:r>
                </w:p>
              </w:tc>
              <w:tc>
                <w:tcPr>
                  <w:tcW w:w="866" w:type="pct"/>
                  <w:vMerge w:val="continue"/>
                  <w:tcBorders>
                    <w:tl2br w:val="nil"/>
                    <w:tr2bl w:val="nil"/>
                  </w:tcBorders>
                  <w:vAlign w:val="center"/>
                </w:tcPr>
                <w:p w14:paraId="17AE4964">
                  <w:pPr>
                    <w:pStyle w:val="698"/>
                    <w:rPr>
                      <w:rFonts w:hint="eastAsia" w:eastAsia="宋体"/>
                      <w:color w:val="auto"/>
                      <w:kern w:val="0"/>
                    </w:rPr>
                  </w:pPr>
                </w:p>
              </w:tc>
              <w:tc>
                <w:tcPr>
                  <w:tcW w:w="779" w:type="pct"/>
                  <w:tcBorders>
                    <w:tl2br w:val="nil"/>
                    <w:tr2bl w:val="nil"/>
                  </w:tcBorders>
                  <w:vAlign w:val="center"/>
                </w:tcPr>
                <w:p w14:paraId="750CBFBF">
                  <w:pPr>
                    <w:pStyle w:val="656"/>
                    <w:snapToGrid w:val="0"/>
                    <w:rPr>
                      <w:rFonts w:hint="eastAsia"/>
                      <w:bCs/>
                      <w:color w:val="auto"/>
                      <w:kern w:val="0"/>
                      <w:sz w:val="21"/>
                      <w:szCs w:val="21"/>
                    </w:rPr>
                  </w:pPr>
                  <w:r>
                    <w:rPr>
                      <w:rFonts w:hint="eastAsia" w:eastAsia="宋体"/>
                      <w:color w:val="auto"/>
                      <w:sz w:val="21"/>
                      <w:szCs w:val="21"/>
                      <w:lang w:val="en-US" w:eastAsia="zh-CN"/>
                    </w:rPr>
                    <w:t>HCl</w:t>
                  </w:r>
                </w:p>
              </w:tc>
              <w:tc>
                <w:tcPr>
                  <w:tcW w:w="1482" w:type="dxa"/>
                  <w:tcBorders>
                    <w:tl2br w:val="nil"/>
                    <w:tr2bl w:val="nil"/>
                  </w:tcBorders>
                  <w:vAlign w:val="center"/>
                </w:tcPr>
                <w:p w14:paraId="3234CA51">
                  <w:pPr>
                    <w:pStyle w:val="656"/>
                    <w:snapToGrid w:val="0"/>
                    <w:rPr>
                      <w:rFonts w:hint="eastAsia" w:eastAsia="宋体"/>
                      <w:color w:val="auto"/>
                      <w:sz w:val="21"/>
                      <w:szCs w:val="21"/>
                    </w:rPr>
                  </w:pPr>
                  <w:r>
                    <w:rPr>
                      <w:rFonts w:hint="eastAsia" w:eastAsia="宋体"/>
                      <w:color w:val="auto"/>
                      <w:sz w:val="21"/>
                      <w:szCs w:val="21"/>
                      <w:lang w:val="en-US" w:eastAsia="zh-CN"/>
                    </w:rPr>
                    <w:t>0.82</w:t>
                  </w:r>
                </w:p>
              </w:tc>
              <w:tc>
                <w:tcPr>
                  <w:tcW w:w="1474" w:type="dxa"/>
                  <w:tcBorders>
                    <w:tl2br w:val="nil"/>
                    <w:tr2bl w:val="nil"/>
                  </w:tcBorders>
                  <w:vAlign w:val="center"/>
                </w:tcPr>
                <w:p w14:paraId="41D8E3D1">
                  <w:pPr>
                    <w:pStyle w:val="656"/>
                    <w:snapToGrid w:val="0"/>
                    <w:rPr>
                      <w:rFonts w:hint="eastAsia" w:eastAsia="宋体"/>
                      <w:color w:val="auto"/>
                      <w:sz w:val="21"/>
                      <w:szCs w:val="21"/>
                    </w:rPr>
                  </w:pPr>
                  <w:r>
                    <w:rPr>
                      <w:rFonts w:hint="eastAsia" w:eastAsia="宋体"/>
                      <w:color w:val="auto"/>
                      <w:sz w:val="21"/>
                      <w:szCs w:val="21"/>
                      <w:lang w:val="en-US" w:eastAsia="zh-CN"/>
                    </w:rPr>
                    <w:t>0.0053</w:t>
                  </w:r>
                </w:p>
              </w:tc>
              <w:tc>
                <w:tcPr>
                  <w:tcW w:w="2189" w:type="dxa"/>
                  <w:tcBorders>
                    <w:tl2br w:val="nil"/>
                    <w:tr2bl w:val="nil"/>
                  </w:tcBorders>
                  <w:vAlign w:val="center"/>
                </w:tcPr>
                <w:p w14:paraId="1B50DA83">
                  <w:pPr>
                    <w:pStyle w:val="656"/>
                    <w:snapToGrid w:val="0"/>
                    <w:rPr>
                      <w:rFonts w:hint="eastAsia" w:eastAsia="宋体"/>
                      <w:color w:val="auto"/>
                      <w:kern w:val="0"/>
                      <w:sz w:val="21"/>
                      <w:szCs w:val="21"/>
                    </w:rPr>
                  </w:pPr>
                  <w:r>
                    <w:rPr>
                      <w:rFonts w:hint="eastAsia" w:eastAsia="宋体"/>
                      <w:color w:val="auto"/>
                      <w:sz w:val="21"/>
                      <w:szCs w:val="21"/>
                      <w:lang w:val="en-US" w:eastAsia="zh-CN"/>
                    </w:rPr>
                    <w:t>0.0212</w:t>
                  </w:r>
                </w:p>
              </w:tc>
            </w:tr>
            <w:tr w14:paraId="0FC3F1B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52" w:type="pct"/>
                  <w:tcBorders>
                    <w:tl2br w:val="nil"/>
                    <w:tr2bl w:val="nil"/>
                  </w:tcBorders>
                  <w:vAlign w:val="center"/>
                </w:tcPr>
                <w:p w14:paraId="51866A23">
                  <w:pPr>
                    <w:pStyle w:val="693"/>
                    <w:rPr>
                      <w:rFonts w:hint="eastAsia" w:eastAsia="宋体"/>
                      <w:b w:val="0"/>
                      <w:bCs/>
                      <w:color w:val="auto"/>
                      <w:kern w:val="0"/>
                      <w:lang w:val="en-US" w:eastAsia="zh-CN"/>
                    </w:rPr>
                  </w:pPr>
                  <w:r>
                    <w:rPr>
                      <w:rFonts w:hint="eastAsia" w:eastAsia="宋体"/>
                      <w:b w:val="0"/>
                      <w:bCs/>
                      <w:color w:val="auto"/>
                      <w:kern w:val="0"/>
                      <w:lang w:val="en-US" w:eastAsia="zh-CN"/>
                    </w:rPr>
                    <w:t>7</w:t>
                  </w:r>
                </w:p>
              </w:tc>
              <w:tc>
                <w:tcPr>
                  <w:tcW w:w="866" w:type="pct"/>
                  <w:vMerge w:val="continue"/>
                  <w:tcBorders>
                    <w:tl2br w:val="nil"/>
                    <w:tr2bl w:val="nil"/>
                  </w:tcBorders>
                  <w:vAlign w:val="center"/>
                </w:tcPr>
                <w:p w14:paraId="2E3CBDAB">
                  <w:pPr>
                    <w:pStyle w:val="698"/>
                    <w:rPr>
                      <w:rFonts w:hint="eastAsia" w:eastAsia="宋体"/>
                      <w:color w:val="auto"/>
                      <w:kern w:val="0"/>
                    </w:rPr>
                  </w:pPr>
                </w:p>
              </w:tc>
              <w:tc>
                <w:tcPr>
                  <w:tcW w:w="779" w:type="pct"/>
                  <w:tcBorders>
                    <w:tl2br w:val="nil"/>
                    <w:tr2bl w:val="nil"/>
                  </w:tcBorders>
                  <w:vAlign w:val="center"/>
                </w:tcPr>
                <w:p w14:paraId="0DBB808F">
                  <w:pPr>
                    <w:pStyle w:val="656"/>
                    <w:snapToGrid w:val="0"/>
                    <w:rPr>
                      <w:rFonts w:hint="eastAsia"/>
                      <w:bCs/>
                      <w:color w:val="auto"/>
                      <w:kern w:val="0"/>
                      <w:sz w:val="21"/>
                      <w:szCs w:val="21"/>
                    </w:rPr>
                  </w:pPr>
                  <w:r>
                    <w:rPr>
                      <w:rFonts w:hint="eastAsia" w:eastAsia="宋体"/>
                      <w:color w:val="auto"/>
                      <w:sz w:val="21"/>
                      <w:szCs w:val="21"/>
                      <w:lang w:val="en-US" w:eastAsia="zh-CN"/>
                    </w:rPr>
                    <w:t>非甲烷总烃</w:t>
                  </w:r>
                </w:p>
              </w:tc>
              <w:tc>
                <w:tcPr>
                  <w:tcW w:w="1482" w:type="dxa"/>
                  <w:tcBorders>
                    <w:tl2br w:val="nil"/>
                    <w:tr2bl w:val="nil"/>
                  </w:tcBorders>
                  <w:vAlign w:val="center"/>
                </w:tcPr>
                <w:p w14:paraId="368A7C3F">
                  <w:pPr>
                    <w:pStyle w:val="656"/>
                    <w:snapToGrid w:val="0"/>
                    <w:rPr>
                      <w:rFonts w:hint="eastAsia" w:eastAsia="宋体"/>
                      <w:color w:val="auto"/>
                      <w:sz w:val="21"/>
                      <w:szCs w:val="21"/>
                    </w:rPr>
                  </w:pPr>
                  <w:r>
                    <w:rPr>
                      <w:rFonts w:hint="eastAsia" w:eastAsia="宋体"/>
                      <w:color w:val="auto"/>
                      <w:sz w:val="21"/>
                      <w:szCs w:val="21"/>
                      <w:lang w:val="en-US" w:eastAsia="zh-CN"/>
                    </w:rPr>
                    <w:t>0.065</w:t>
                  </w:r>
                </w:p>
              </w:tc>
              <w:tc>
                <w:tcPr>
                  <w:tcW w:w="1474" w:type="dxa"/>
                  <w:tcBorders>
                    <w:tl2br w:val="nil"/>
                    <w:tr2bl w:val="nil"/>
                  </w:tcBorders>
                  <w:vAlign w:val="center"/>
                </w:tcPr>
                <w:p w14:paraId="5003DB72">
                  <w:pPr>
                    <w:pStyle w:val="656"/>
                    <w:snapToGrid w:val="0"/>
                    <w:rPr>
                      <w:rFonts w:hint="eastAsia" w:eastAsia="宋体"/>
                      <w:color w:val="auto"/>
                      <w:sz w:val="21"/>
                      <w:szCs w:val="21"/>
                    </w:rPr>
                  </w:pPr>
                  <w:r>
                    <w:rPr>
                      <w:rFonts w:hint="eastAsia" w:eastAsia="宋体"/>
                      <w:color w:val="auto"/>
                      <w:sz w:val="21"/>
                      <w:szCs w:val="21"/>
                      <w:lang w:val="en-US" w:eastAsia="zh-CN"/>
                    </w:rPr>
                    <w:t>0.000425</w:t>
                  </w:r>
                </w:p>
              </w:tc>
              <w:tc>
                <w:tcPr>
                  <w:tcW w:w="2189" w:type="dxa"/>
                  <w:tcBorders>
                    <w:tl2br w:val="nil"/>
                    <w:tr2bl w:val="nil"/>
                  </w:tcBorders>
                  <w:vAlign w:val="center"/>
                </w:tcPr>
                <w:p w14:paraId="2C2444E3">
                  <w:pPr>
                    <w:pStyle w:val="656"/>
                    <w:snapToGrid w:val="0"/>
                    <w:rPr>
                      <w:rFonts w:hint="eastAsia" w:eastAsia="宋体"/>
                      <w:color w:val="auto"/>
                      <w:kern w:val="0"/>
                      <w:sz w:val="21"/>
                      <w:szCs w:val="21"/>
                    </w:rPr>
                  </w:pPr>
                  <w:r>
                    <w:rPr>
                      <w:rFonts w:hint="eastAsia" w:eastAsia="宋体"/>
                      <w:color w:val="auto"/>
                      <w:sz w:val="21"/>
                      <w:szCs w:val="21"/>
                      <w:lang w:val="en-US" w:eastAsia="zh-CN"/>
                    </w:rPr>
                    <w:t>0.0017</w:t>
                  </w:r>
                </w:p>
              </w:tc>
            </w:tr>
            <w:tr w14:paraId="7BDC01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52" w:type="pct"/>
                  <w:tcBorders>
                    <w:tl2br w:val="nil"/>
                    <w:tr2bl w:val="nil"/>
                  </w:tcBorders>
                  <w:vAlign w:val="center"/>
                </w:tcPr>
                <w:p w14:paraId="1AAA5D20">
                  <w:pPr>
                    <w:pStyle w:val="693"/>
                    <w:rPr>
                      <w:rFonts w:hint="default" w:eastAsia="宋体"/>
                      <w:b w:val="0"/>
                      <w:bCs/>
                      <w:color w:val="auto"/>
                      <w:kern w:val="0"/>
                      <w:lang w:val="en-US" w:eastAsia="zh-CN"/>
                    </w:rPr>
                  </w:pPr>
                  <w:r>
                    <w:rPr>
                      <w:rFonts w:hint="eastAsia" w:eastAsia="宋体"/>
                      <w:b w:val="0"/>
                      <w:bCs/>
                      <w:color w:val="auto"/>
                      <w:kern w:val="0"/>
                      <w:lang w:val="en-US" w:eastAsia="zh-CN"/>
                    </w:rPr>
                    <w:t>8</w:t>
                  </w:r>
                </w:p>
              </w:tc>
              <w:tc>
                <w:tcPr>
                  <w:tcW w:w="866" w:type="pct"/>
                  <w:vMerge w:val="continue"/>
                  <w:tcBorders>
                    <w:tl2br w:val="nil"/>
                    <w:tr2bl w:val="nil"/>
                  </w:tcBorders>
                  <w:vAlign w:val="center"/>
                </w:tcPr>
                <w:p w14:paraId="500563F9">
                  <w:pPr>
                    <w:pStyle w:val="698"/>
                    <w:rPr>
                      <w:rFonts w:hint="eastAsia" w:eastAsia="宋体"/>
                      <w:color w:val="auto"/>
                      <w:kern w:val="0"/>
                    </w:rPr>
                  </w:pPr>
                </w:p>
              </w:tc>
              <w:tc>
                <w:tcPr>
                  <w:tcW w:w="779" w:type="pct"/>
                  <w:tcBorders>
                    <w:tl2br w:val="nil"/>
                    <w:tr2bl w:val="nil"/>
                  </w:tcBorders>
                  <w:vAlign w:val="center"/>
                </w:tcPr>
                <w:p w14:paraId="3DECA0D0">
                  <w:pPr>
                    <w:pStyle w:val="656"/>
                    <w:snapToGrid w:val="0"/>
                    <w:rPr>
                      <w:rFonts w:hint="eastAsia"/>
                      <w:bCs/>
                      <w:color w:val="auto"/>
                      <w:kern w:val="0"/>
                      <w:sz w:val="21"/>
                      <w:szCs w:val="21"/>
                    </w:rPr>
                  </w:pPr>
                  <w:r>
                    <w:rPr>
                      <w:rFonts w:hint="eastAsia" w:eastAsia="宋体"/>
                      <w:color w:val="auto"/>
                      <w:sz w:val="21"/>
                      <w:szCs w:val="21"/>
                      <w:lang w:val="en-US" w:eastAsia="zh-CN"/>
                    </w:rPr>
                    <w:t>铜及其化合物（以Cu计）</w:t>
                  </w:r>
                </w:p>
              </w:tc>
              <w:tc>
                <w:tcPr>
                  <w:tcW w:w="1482" w:type="dxa"/>
                  <w:tcBorders>
                    <w:tl2br w:val="nil"/>
                    <w:tr2bl w:val="nil"/>
                  </w:tcBorders>
                  <w:vAlign w:val="center"/>
                </w:tcPr>
                <w:p w14:paraId="4CA2B75F">
                  <w:pPr>
                    <w:pStyle w:val="656"/>
                    <w:snapToGrid w:val="0"/>
                    <w:rPr>
                      <w:rFonts w:hint="eastAsia" w:eastAsia="宋体"/>
                      <w:color w:val="auto"/>
                      <w:sz w:val="21"/>
                      <w:szCs w:val="21"/>
                    </w:rPr>
                  </w:pPr>
                  <w:r>
                    <w:rPr>
                      <w:rFonts w:hint="eastAsia" w:eastAsia="宋体"/>
                      <w:color w:val="auto"/>
                      <w:sz w:val="21"/>
                      <w:szCs w:val="21"/>
                      <w:lang w:val="en-US" w:eastAsia="zh-CN"/>
                    </w:rPr>
                    <w:t>0.17</w:t>
                  </w:r>
                </w:p>
              </w:tc>
              <w:tc>
                <w:tcPr>
                  <w:tcW w:w="1474" w:type="dxa"/>
                  <w:tcBorders>
                    <w:tl2br w:val="nil"/>
                    <w:tr2bl w:val="nil"/>
                  </w:tcBorders>
                  <w:vAlign w:val="center"/>
                </w:tcPr>
                <w:p w14:paraId="0205E149">
                  <w:pPr>
                    <w:pStyle w:val="656"/>
                    <w:snapToGrid w:val="0"/>
                    <w:rPr>
                      <w:rFonts w:hint="eastAsia" w:eastAsia="宋体"/>
                      <w:color w:val="auto"/>
                      <w:sz w:val="21"/>
                      <w:szCs w:val="21"/>
                    </w:rPr>
                  </w:pPr>
                  <w:r>
                    <w:rPr>
                      <w:rFonts w:hint="eastAsia" w:eastAsia="宋体"/>
                      <w:color w:val="auto"/>
                      <w:sz w:val="21"/>
                      <w:szCs w:val="21"/>
                      <w:lang w:val="en-US" w:eastAsia="zh-CN"/>
                    </w:rPr>
                    <w:t>0.00113</w:t>
                  </w:r>
                </w:p>
              </w:tc>
              <w:tc>
                <w:tcPr>
                  <w:tcW w:w="2189" w:type="dxa"/>
                  <w:tcBorders>
                    <w:tl2br w:val="nil"/>
                    <w:tr2bl w:val="nil"/>
                  </w:tcBorders>
                  <w:vAlign w:val="center"/>
                </w:tcPr>
                <w:p w14:paraId="79241DB7">
                  <w:pPr>
                    <w:pStyle w:val="656"/>
                    <w:snapToGrid w:val="0"/>
                    <w:rPr>
                      <w:rFonts w:hint="eastAsia" w:eastAsia="宋体"/>
                      <w:color w:val="auto"/>
                      <w:kern w:val="0"/>
                      <w:sz w:val="21"/>
                      <w:szCs w:val="21"/>
                    </w:rPr>
                  </w:pPr>
                  <w:r>
                    <w:rPr>
                      <w:rFonts w:hint="eastAsia" w:eastAsia="宋体"/>
                      <w:color w:val="auto"/>
                      <w:sz w:val="21"/>
                      <w:szCs w:val="21"/>
                      <w:lang w:val="en-US" w:eastAsia="zh-CN"/>
                    </w:rPr>
                    <w:t>0.0045</w:t>
                  </w:r>
                </w:p>
              </w:tc>
            </w:tr>
            <w:tr w14:paraId="4B45F19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52" w:type="pct"/>
                  <w:tcBorders>
                    <w:tl2br w:val="nil"/>
                    <w:tr2bl w:val="nil"/>
                  </w:tcBorders>
                  <w:vAlign w:val="center"/>
                </w:tcPr>
                <w:p w14:paraId="4FB77D32">
                  <w:pPr>
                    <w:pStyle w:val="693"/>
                    <w:rPr>
                      <w:rFonts w:hint="eastAsia" w:eastAsia="宋体"/>
                      <w:b w:val="0"/>
                      <w:bCs/>
                      <w:color w:val="auto"/>
                      <w:kern w:val="0"/>
                      <w:lang w:val="en-US" w:eastAsia="zh-CN"/>
                    </w:rPr>
                  </w:pPr>
                  <w:r>
                    <w:rPr>
                      <w:rFonts w:hint="eastAsia" w:eastAsia="宋体"/>
                      <w:b w:val="0"/>
                      <w:bCs/>
                      <w:color w:val="auto"/>
                      <w:kern w:val="0"/>
                      <w:lang w:val="en-US" w:eastAsia="zh-CN"/>
                    </w:rPr>
                    <w:t>9</w:t>
                  </w:r>
                </w:p>
              </w:tc>
              <w:tc>
                <w:tcPr>
                  <w:tcW w:w="866" w:type="pct"/>
                  <w:vMerge w:val="continue"/>
                  <w:tcBorders>
                    <w:tl2br w:val="nil"/>
                    <w:tr2bl w:val="nil"/>
                  </w:tcBorders>
                  <w:vAlign w:val="center"/>
                </w:tcPr>
                <w:p w14:paraId="6C204CCD">
                  <w:pPr>
                    <w:pStyle w:val="698"/>
                    <w:rPr>
                      <w:rFonts w:hint="eastAsia" w:eastAsia="宋体"/>
                      <w:color w:val="auto"/>
                      <w:kern w:val="0"/>
                    </w:rPr>
                  </w:pPr>
                </w:p>
              </w:tc>
              <w:tc>
                <w:tcPr>
                  <w:tcW w:w="779" w:type="pct"/>
                  <w:tcBorders>
                    <w:tl2br w:val="nil"/>
                    <w:tr2bl w:val="nil"/>
                  </w:tcBorders>
                  <w:vAlign w:val="center"/>
                </w:tcPr>
                <w:p w14:paraId="31E63665">
                  <w:pPr>
                    <w:pStyle w:val="656"/>
                    <w:snapToGrid w:val="0"/>
                    <w:rPr>
                      <w:rFonts w:hint="eastAsia"/>
                      <w:bCs/>
                      <w:color w:val="auto"/>
                      <w:kern w:val="0"/>
                      <w:sz w:val="21"/>
                      <w:szCs w:val="21"/>
                    </w:rPr>
                  </w:pPr>
                  <w:r>
                    <w:rPr>
                      <w:rFonts w:hint="eastAsia" w:eastAsia="宋体"/>
                      <w:color w:val="auto"/>
                      <w:sz w:val="21"/>
                      <w:szCs w:val="21"/>
                      <w:lang w:val="en-US" w:eastAsia="zh-CN"/>
                    </w:rPr>
                    <w:t>二噁英类</w:t>
                  </w:r>
                </w:p>
              </w:tc>
              <w:tc>
                <w:tcPr>
                  <w:tcW w:w="1482" w:type="dxa"/>
                  <w:tcBorders>
                    <w:tl2br w:val="nil"/>
                    <w:tr2bl w:val="nil"/>
                  </w:tcBorders>
                  <w:vAlign w:val="center"/>
                </w:tcPr>
                <w:p w14:paraId="27BC2615">
                  <w:pPr>
                    <w:pStyle w:val="656"/>
                    <w:snapToGrid w:val="0"/>
                    <w:rPr>
                      <w:rFonts w:hint="eastAsia" w:eastAsia="宋体"/>
                      <w:color w:val="auto"/>
                      <w:sz w:val="21"/>
                      <w:szCs w:val="21"/>
                    </w:rPr>
                  </w:pPr>
                  <w:r>
                    <w:rPr>
                      <w:rFonts w:hint="eastAsia" w:eastAsia="宋体"/>
                      <w:color w:val="auto"/>
                      <w:sz w:val="21"/>
                      <w:szCs w:val="21"/>
                      <w:lang w:val="en-US" w:eastAsia="zh-CN"/>
                    </w:rPr>
                    <w:t>0.025</w:t>
                  </w:r>
                  <w:r>
                    <w:rPr>
                      <w:rFonts w:hint="eastAsia"/>
                      <w:color w:val="auto"/>
                      <w:kern w:val="0"/>
                      <w:sz w:val="21"/>
                      <w:szCs w:val="21"/>
                    </w:rPr>
                    <w:t>ngTEQ/m</w:t>
                  </w:r>
                  <w:r>
                    <w:rPr>
                      <w:rFonts w:hint="eastAsia"/>
                      <w:color w:val="auto"/>
                      <w:kern w:val="0"/>
                      <w:sz w:val="21"/>
                      <w:szCs w:val="21"/>
                      <w:vertAlign w:val="superscript"/>
                    </w:rPr>
                    <w:t>3</w:t>
                  </w:r>
                </w:p>
              </w:tc>
              <w:tc>
                <w:tcPr>
                  <w:tcW w:w="1474" w:type="dxa"/>
                  <w:tcBorders>
                    <w:tl2br w:val="nil"/>
                    <w:tr2bl w:val="nil"/>
                  </w:tcBorders>
                  <w:vAlign w:val="center"/>
                </w:tcPr>
                <w:p w14:paraId="6EF8D781">
                  <w:pPr>
                    <w:pStyle w:val="656"/>
                    <w:snapToGrid w:val="0"/>
                    <w:rPr>
                      <w:rFonts w:hint="eastAsia" w:eastAsia="宋体"/>
                      <w:color w:val="auto"/>
                      <w:sz w:val="21"/>
                      <w:szCs w:val="21"/>
                    </w:rPr>
                  </w:pPr>
                  <w:r>
                    <w:rPr>
                      <w:rFonts w:hint="eastAsia"/>
                      <w:color w:val="auto"/>
                      <w:sz w:val="21"/>
                      <w:szCs w:val="21"/>
                      <w:lang w:val="en-US" w:eastAsia="zh-CN"/>
                    </w:rPr>
                    <w:t>0.0001625</w:t>
                  </w:r>
                  <w:r>
                    <w:rPr>
                      <w:rFonts w:hint="eastAsia"/>
                      <w:color w:val="auto"/>
                      <w:kern w:val="0"/>
                      <w:sz w:val="21"/>
                      <w:szCs w:val="21"/>
                    </w:rPr>
                    <w:t>ngTEQ/</w:t>
                  </w:r>
                  <w:r>
                    <w:rPr>
                      <w:rFonts w:hint="eastAsia"/>
                      <w:color w:val="auto"/>
                      <w:kern w:val="0"/>
                      <w:sz w:val="21"/>
                      <w:szCs w:val="21"/>
                      <w:lang w:val="en-US" w:eastAsia="zh-CN"/>
                    </w:rPr>
                    <w:t>h</w:t>
                  </w:r>
                </w:p>
              </w:tc>
              <w:tc>
                <w:tcPr>
                  <w:tcW w:w="2189" w:type="dxa"/>
                  <w:tcBorders>
                    <w:tl2br w:val="nil"/>
                    <w:tr2bl w:val="nil"/>
                  </w:tcBorders>
                  <w:vAlign w:val="center"/>
                </w:tcPr>
                <w:p w14:paraId="37E45C13">
                  <w:pPr>
                    <w:pStyle w:val="656"/>
                    <w:snapToGrid w:val="0"/>
                    <w:rPr>
                      <w:rFonts w:hint="eastAsia" w:eastAsia="宋体"/>
                      <w:color w:val="auto"/>
                      <w:kern w:val="0"/>
                      <w:sz w:val="21"/>
                      <w:szCs w:val="21"/>
                    </w:rPr>
                  </w:pPr>
                  <w:r>
                    <w:rPr>
                      <w:rFonts w:hint="eastAsia" w:eastAsia="宋体"/>
                      <w:color w:val="auto"/>
                      <w:sz w:val="21"/>
                      <w:szCs w:val="21"/>
                      <w:lang w:val="en-US" w:eastAsia="zh-CN"/>
                    </w:rPr>
                    <w:t>0.65</w:t>
                  </w:r>
                  <w:r>
                    <w:rPr>
                      <w:rFonts w:hint="eastAsia"/>
                      <w:color w:val="auto"/>
                      <w:kern w:val="0"/>
                      <w:sz w:val="21"/>
                      <w:szCs w:val="21"/>
                    </w:rPr>
                    <w:t>ngTEQ/</w:t>
                  </w:r>
                  <w:r>
                    <w:rPr>
                      <w:rFonts w:hint="eastAsia"/>
                      <w:color w:val="auto"/>
                      <w:kern w:val="0"/>
                      <w:sz w:val="21"/>
                      <w:szCs w:val="21"/>
                      <w:lang w:val="en-US" w:eastAsia="zh-CN"/>
                    </w:rPr>
                    <w:t>a</w:t>
                  </w:r>
                </w:p>
              </w:tc>
            </w:tr>
            <w:tr w14:paraId="3A84FE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18" w:type="pct"/>
                  <w:gridSpan w:val="2"/>
                  <w:vMerge w:val="restart"/>
                  <w:tcBorders>
                    <w:tl2br w:val="nil"/>
                    <w:tr2bl w:val="nil"/>
                  </w:tcBorders>
                  <w:vAlign w:val="center"/>
                </w:tcPr>
                <w:p w14:paraId="3A84FE38">
                  <w:pPr>
                    <w:pStyle w:val="698"/>
                    <w:rPr>
                      <w:rFonts w:eastAsia="宋体"/>
                      <w:color w:val="auto"/>
                      <w:kern w:val="0"/>
                    </w:rPr>
                  </w:pPr>
                  <w:r>
                    <w:rPr>
                      <w:rFonts w:eastAsia="宋体"/>
                      <w:color w:val="auto"/>
                      <w:kern w:val="0"/>
                    </w:rPr>
                    <w:t>一般排放口合计</w:t>
                  </w:r>
                </w:p>
              </w:tc>
              <w:tc>
                <w:tcPr>
                  <w:tcW w:w="2447" w:type="pct"/>
                  <w:gridSpan w:val="3"/>
                  <w:tcBorders>
                    <w:tl2br w:val="nil"/>
                    <w:tr2bl w:val="nil"/>
                  </w:tcBorders>
                  <w:vAlign w:val="center"/>
                </w:tcPr>
                <w:p w14:paraId="3A84FE39">
                  <w:pPr>
                    <w:pStyle w:val="656"/>
                    <w:snapToGrid w:val="0"/>
                    <w:rPr>
                      <w:color w:val="auto"/>
                      <w:kern w:val="0"/>
                      <w:lang w:bidi="ar"/>
                    </w:rPr>
                  </w:pPr>
                  <w:r>
                    <w:rPr>
                      <w:rFonts w:hint="eastAsia" w:eastAsia="宋体"/>
                      <w:color w:val="auto"/>
                      <w:sz w:val="21"/>
                      <w:szCs w:val="21"/>
                      <w:lang w:val="en-US" w:eastAsia="zh-CN"/>
                    </w:rPr>
                    <w:t>颗粒物</w:t>
                  </w:r>
                </w:p>
              </w:tc>
              <w:tc>
                <w:tcPr>
                  <w:tcW w:w="2189" w:type="dxa"/>
                  <w:tcBorders>
                    <w:tl2br w:val="nil"/>
                    <w:tr2bl w:val="nil"/>
                  </w:tcBorders>
                  <w:vAlign w:val="center"/>
                </w:tcPr>
                <w:p w14:paraId="3A84FE3A">
                  <w:pPr>
                    <w:pStyle w:val="656"/>
                    <w:snapToGrid w:val="0"/>
                    <w:rPr>
                      <w:rFonts w:eastAsia="宋体"/>
                      <w:color w:val="auto"/>
                      <w:kern w:val="0"/>
                      <w:sz w:val="21"/>
                      <w:szCs w:val="21"/>
                      <w:lang w:bidi="ar"/>
                    </w:rPr>
                  </w:pPr>
                  <w:r>
                    <w:rPr>
                      <w:rFonts w:hint="eastAsia" w:eastAsia="宋体"/>
                      <w:color w:val="auto"/>
                      <w:sz w:val="21"/>
                      <w:szCs w:val="21"/>
                      <w:lang w:val="en-US" w:eastAsia="zh-CN"/>
                    </w:rPr>
                    <w:t>0.033</w:t>
                  </w:r>
                </w:p>
              </w:tc>
            </w:tr>
            <w:tr w14:paraId="48B6320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18" w:type="pct"/>
                  <w:gridSpan w:val="2"/>
                  <w:vMerge w:val="continue"/>
                  <w:tcBorders>
                    <w:tl2br w:val="nil"/>
                    <w:tr2bl w:val="nil"/>
                  </w:tcBorders>
                  <w:vAlign w:val="center"/>
                </w:tcPr>
                <w:p w14:paraId="2698D8CA">
                  <w:pPr>
                    <w:pStyle w:val="698"/>
                    <w:rPr>
                      <w:rFonts w:eastAsia="宋体"/>
                      <w:color w:val="auto"/>
                      <w:kern w:val="0"/>
                    </w:rPr>
                  </w:pPr>
                </w:p>
              </w:tc>
              <w:tc>
                <w:tcPr>
                  <w:tcW w:w="2447" w:type="pct"/>
                  <w:gridSpan w:val="3"/>
                  <w:tcBorders>
                    <w:tl2br w:val="nil"/>
                    <w:tr2bl w:val="nil"/>
                  </w:tcBorders>
                  <w:vAlign w:val="center"/>
                </w:tcPr>
                <w:p w14:paraId="19AE3949">
                  <w:pPr>
                    <w:pStyle w:val="656"/>
                    <w:snapToGrid w:val="0"/>
                    <w:rPr>
                      <w:rFonts w:hint="eastAsia"/>
                      <w:bCs/>
                      <w:color w:val="auto"/>
                      <w:kern w:val="0"/>
                    </w:rPr>
                  </w:pPr>
                  <w:r>
                    <w:rPr>
                      <w:rFonts w:hint="eastAsia" w:eastAsia="宋体"/>
                      <w:color w:val="auto"/>
                      <w:sz w:val="21"/>
                      <w:szCs w:val="21"/>
                      <w:lang w:val="en-US" w:eastAsia="zh-CN"/>
                    </w:rPr>
                    <w:t>SO</w:t>
                  </w:r>
                  <w:r>
                    <w:rPr>
                      <w:rFonts w:hint="eastAsia" w:eastAsia="宋体"/>
                      <w:color w:val="auto"/>
                      <w:sz w:val="21"/>
                      <w:szCs w:val="21"/>
                      <w:vertAlign w:val="subscript"/>
                      <w:lang w:val="en-US" w:eastAsia="zh-CN"/>
                    </w:rPr>
                    <w:t>2</w:t>
                  </w:r>
                </w:p>
              </w:tc>
              <w:tc>
                <w:tcPr>
                  <w:tcW w:w="2189" w:type="dxa"/>
                  <w:tcBorders>
                    <w:tl2br w:val="nil"/>
                    <w:tr2bl w:val="nil"/>
                  </w:tcBorders>
                  <w:vAlign w:val="center"/>
                </w:tcPr>
                <w:p w14:paraId="1C1FEE1D">
                  <w:pPr>
                    <w:pStyle w:val="656"/>
                    <w:snapToGrid w:val="0"/>
                    <w:rPr>
                      <w:rFonts w:hint="eastAsia" w:eastAsia="宋体"/>
                      <w:color w:val="auto"/>
                      <w:kern w:val="0"/>
                      <w:sz w:val="21"/>
                      <w:szCs w:val="21"/>
                    </w:rPr>
                  </w:pPr>
                  <w:r>
                    <w:rPr>
                      <w:rFonts w:hint="eastAsia" w:eastAsia="宋体"/>
                      <w:color w:val="auto"/>
                      <w:sz w:val="21"/>
                      <w:szCs w:val="21"/>
                      <w:lang w:val="en-US" w:eastAsia="zh-CN"/>
                    </w:rPr>
                    <w:t>0.032</w:t>
                  </w:r>
                </w:p>
              </w:tc>
            </w:tr>
            <w:tr w14:paraId="2C120DD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18" w:type="pct"/>
                  <w:gridSpan w:val="2"/>
                  <w:vMerge w:val="continue"/>
                  <w:tcBorders>
                    <w:tl2br w:val="nil"/>
                    <w:tr2bl w:val="nil"/>
                  </w:tcBorders>
                  <w:vAlign w:val="center"/>
                </w:tcPr>
                <w:p w14:paraId="59FA6AA0">
                  <w:pPr>
                    <w:pStyle w:val="698"/>
                    <w:rPr>
                      <w:rFonts w:eastAsia="宋体"/>
                      <w:color w:val="auto"/>
                      <w:kern w:val="0"/>
                    </w:rPr>
                  </w:pPr>
                </w:p>
              </w:tc>
              <w:tc>
                <w:tcPr>
                  <w:tcW w:w="2447" w:type="pct"/>
                  <w:gridSpan w:val="3"/>
                  <w:tcBorders>
                    <w:tl2br w:val="nil"/>
                    <w:tr2bl w:val="nil"/>
                  </w:tcBorders>
                  <w:vAlign w:val="center"/>
                </w:tcPr>
                <w:p w14:paraId="0B6A100F">
                  <w:pPr>
                    <w:pStyle w:val="656"/>
                    <w:snapToGrid w:val="0"/>
                    <w:rPr>
                      <w:rFonts w:hint="eastAsia"/>
                      <w:bCs/>
                      <w:color w:val="auto"/>
                      <w:kern w:val="0"/>
                    </w:rPr>
                  </w:pPr>
                  <w:r>
                    <w:rPr>
                      <w:rFonts w:hint="eastAsia" w:eastAsia="宋体"/>
                      <w:color w:val="auto"/>
                      <w:sz w:val="21"/>
                      <w:szCs w:val="21"/>
                      <w:lang w:val="en-US" w:eastAsia="zh-CN"/>
                    </w:rPr>
                    <w:t>NOx</w:t>
                  </w:r>
                </w:p>
              </w:tc>
              <w:tc>
                <w:tcPr>
                  <w:tcW w:w="2189" w:type="dxa"/>
                  <w:tcBorders>
                    <w:tl2br w:val="nil"/>
                    <w:tr2bl w:val="nil"/>
                  </w:tcBorders>
                  <w:vAlign w:val="center"/>
                </w:tcPr>
                <w:p w14:paraId="5BDF1382">
                  <w:pPr>
                    <w:pStyle w:val="656"/>
                    <w:snapToGrid w:val="0"/>
                    <w:rPr>
                      <w:rFonts w:hint="eastAsia" w:eastAsia="宋体"/>
                      <w:color w:val="auto"/>
                      <w:kern w:val="0"/>
                      <w:sz w:val="21"/>
                      <w:szCs w:val="21"/>
                    </w:rPr>
                  </w:pPr>
                  <w:r>
                    <w:rPr>
                      <w:rFonts w:hint="eastAsia" w:eastAsia="宋体"/>
                      <w:color w:val="auto"/>
                      <w:sz w:val="21"/>
                      <w:szCs w:val="21"/>
                      <w:lang w:val="en-US" w:eastAsia="zh-CN"/>
                    </w:rPr>
                    <w:t>0.1</w:t>
                  </w:r>
                </w:p>
              </w:tc>
            </w:tr>
            <w:tr w14:paraId="41A179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18" w:type="pct"/>
                  <w:gridSpan w:val="2"/>
                  <w:vMerge w:val="continue"/>
                  <w:tcBorders>
                    <w:tl2br w:val="nil"/>
                    <w:tr2bl w:val="nil"/>
                  </w:tcBorders>
                  <w:vAlign w:val="center"/>
                </w:tcPr>
                <w:p w14:paraId="49054A1A">
                  <w:pPr>
                    <w:pStyle w:val="698"/>
                    <w:rPr>
                      <w:rFonts w:eastAsia="宋体"/>
                      <w:color w:val="auto"/>
                      <w:kern w:val="0"/>
                    </w:rPr>
                  </w:pPr>
                </w:p>
              </w:tc>
              <w:tc>
                <w:tcPr>
                  <w:tcW w:w="2447" w:type="pct"/>
                  <w:gridSpan w:val="3"/>
                  <w:tcBorders>
                    <w:tl2br w:val="nil"/>
                    <w:tr2bl w:val="nil"/>
                  </w:tcBorders>
                  <w:vAlign w:val="center"/>
                </w:tcPr>
                <w:p w14:paraId="7782C7FE">
                  <w:pPr>
                    <w:pStyle w:val="656"/>
                    <w:snapToGrid w:val="0"/>
                    <w:rPr>
                      <w:rFonts w:hint="eastAsia"/>
                      <w:bCs/>
                      <w:color w:val="auto"/>
                      <w:kern w:val="0"/>
                    </w:rPr>
                  </w:pPr>
                  <w:r>
                    <w:rPr>
                      <w:rFonts w:hint="eastAsia" w:eastAsia="宋体"/>
                      <w:color w:val="auto"/>
                      <w:sz w:val="21"/>
                      <w:szCs w:val="21"/>
                      <w:lang w:val="en-US" w:eastAsia="zh-CN"/>
                    </w:rPr>
                    <w:t>氨</w:t>
                  </w:r>
                </w:p>
              </w:tc>
              <w:tc>
                <w:tcPr>
                  <w:tcW w:w="2189" w:type="dxa"/>
                  <w:tcBorders>
                    <w:tl2br w:val="nil"/>
                    <w:tr2bl w:val="nil"/>
                  </w:tcBorders>
                  <w:vAlign w:val="center"/>
                </w:tcPr>
                <w:p w14:paraId="536A222D">
                  <w:pPr>
                    <w:pStyle w:val="656"/>
                    <w:snapToGrid w:val="0"/>
                    <w:rPr>
                      <w:rFonts w:hint="eastAsia" w:eastAsia="宋体"/>
                      <w:color w:val="auto"/>
                      <w:kern w:val="0"/>
                      <w:sz w:val="21"/>
                      <w:szCs w:val="21"/>
                    </w:rPr>
                  </w:pPr>
                  <w:r>
                    <w:rPr>
                      <w:rFonts w:hint="eastAsia" w:eastAsia="宋体"/>
                      <w:color w:val="auto"/>
                      <w:sz w:val="21"/>
                      <w:szCs w:val="21"/>
                      <w:lang w:val="en-US" w:eastAsia="zh-CN"/>
                    </w:rPr>
                    <w:t>0.00424</w:t>
                  </w:r>
                </w:p>
              </w:tc>
            </w:tr>
            <w:tr w14:paraId="768C2DD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18" w:type="pct"/>
                  <w:gridSpan w:val="2"/>
                  <w:vMerge w:val="continue"/>
                  <w:tcBorders>
                    <w:tl2br w:val="nil"/>
                    <w:tr2bl w:val="nil"/>
                  </w:tcBorders>
                  <w:vAlign w:val="center"/>
                </w:tcPr>
                <w:p w14:paraId="0B1548EF">
                  <w:pPr>
                    <w:pStyle w:val="698"/>
                    <w:rPr>
                      <w:rFonts w:eastAsia="宋体"/>
                      <w:color w:val="auto"/>
                      <w:kern w:val="0"/>
                    </w:rPr>
                  </w:pPr>
                </w:p>
              </w:tc>
              <w:tc>
                <w:tcPr>
                  <w:tcW w:w="2447" w:type="pct"/>
                  <w:gridSpan w:val="3"/>
                  <w:tcBorders>
                    <w:tl2br w:val="nil"/>
                    <w:tr2bl w:val="nil"/>
                  </w:tcBorders>
                  <w:vAlign w:val="center"/>
                </w:tcPr>
                <w:p w14:paraId="39CEF87F">
                  <w:pPr>
                    <w:pStyle w:val="656"/>
                    <w:snapToGrid w:val="0"/>
                    <w:rPr>
                      <w:rFonts w:hint="eastAsia"/>
                      <w:bCs/>
                      <w:color w:val="auto"/>
                      <w:kern w:val="0"/>
                    </w:rPr>
                  </w:pPr>
                  <w:r>
                    <w:rPr>
                      <w:rFonts w:hint="eastAsia" w:eastAsia="宋体"/>
                      <w:color w:val="auto"/>
                      <w:sz w:val="21"/>
                      <w:szCs w:val="21"/>
                      <w:lang w:val="en-US" w:eastAsia="zh-CN"/>
                    </w:rPr>
                    <w:t>CO</w:t>
                  </w:r>
                </w:p>
              </w:tc>
              <w:tc>
                <w:tcPr>
                  <w:tcW w:w="2189" w:type="dxa"/>
                  <w:tcBorders>
                    <w:tl2br w:val="nil"/>
                    <w:tr2bl w:val="nil"/>
                  </w:tcBorders>
                  <w:vAlign w:val="center"/>
                </w:tcPr>
                <w:p w14:paraId="1C009ABE">
                  <w:pPr>
                    <w:pStyle w:val="656"/>
                    <w:snapToGrid w:val="0"/>
                    <w:rPr>
                      <w:rFonts w:hint="eastAsia" w:eastAsia="宋体"/>
                      <w:color w:val="auto"/>
                      <w:kern w:val="0"/>
                      <w:sz w:val="21"/>
                      <w:szCs w:val="21"/>
                    </w:rPr>
                  </w:pPr>
                  <w:r>
                    <w:rPr>
                      <w:rFonts w:hint="eastAsia" w:eastAsia="宋体"/>
                      <w:color w:val="auto"/>
                      <w:sz w:val="21"/>
                      <w:szCs w:val="21"/>
                      <w:lang w:val="en-US" w:eastAsia="zh-CN"/>
                    </w:rPr>
                    <w:t>0.032</w:t>
                  </w:r>
                </w:p>
              </w:tc>
            </w:tr>
            <w:tr w14:paraId="2F3BE6B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18" w:type="pct"/>
                  <w:gridSpan w:val="2"/>
                  <w:vMerge w:val="continue"/>
                  <w:tcBorders>
                    <w:tl2br w:val="nil"/>
                    <w:tr2bl w:val="nil"/>
                  </w:tcBorders>
                  <w:vAlign w:val="center"/>
                </w:tcPr>
                <w:p w14:paraId="4AB6AA91">
                  <w:pPr>
                    <w:pStyle w:val="698"/>
                    <w:rPr>
                      <w:rFonts w:eastAsia="宋体"/>
                      <w:color w:val="auto"/>
                      <w:kern w:val="0"/>
                    </w:rPr>
                  </w:pPr>
                </w:p>
              </w:tc>
              <w:tc>
                <w:tcPr>
                  <w:tcW w:w="2447" w:type="pct"/>
                  <w:gridSpan w:val="3"/>
                  <w:tcBorders>
                    <w:tl2br w:val="nil"/>
                    <w:tr2bl w:val="nil"/>
                  </w:tcBorders>
                  <w:vAlign w:val="center"/>
                </w:tcPr>
                <w:p w14:paraId="7D42BA54">
                  <w:pPr>
                    <w:pStyle w:val="656"/>
                    <w:snapToGrid w:val="0"/>
                    <w:rPr>
                      <w:rFonts w:hint="eastAsia"/>
                      <w:bCs/>
                      <w:color w:val="auto"/>
                      <w:kern w:val="0"/>
                    </w:rPr>
                  </w:pPr>
                  <w:r>
                    <w:rPr>
                      <w:rFonts w:hint="eastAsia" w:eastAsia="宋体"/>
                      <w:color w:val="auto"/>
                      <w:sz w:val="21"/>
                      <w:szCs w:val="21"/>
                      <w:lang w:val="en-US" w:eastAsia="zh-CN"/>
                    </w:rPr>
                    <w:t>HCl</w:t>
                  </w:r>
                </w:p>
              </w:tc>
              <w:tc>
                <w:tcPr>
                  <w:tcW w:w="2189" w:type="dxa"/>
                  <w:tcBorders>
                    <w:tl2br w:val="nil"/>
                    <w:tr2bl w:val="nil"/>
                  </w:tcBorders>
                  <w:vAlign w:val="center"/>
                </w:tcPr>
                <w:p w14:paraId="02B63CB6">
                  <w:pPr>
                    <w:pStyle w:val="656"/>
                    <w:snapToGrid w:val="0"/>
                    <w:rPr>
                      <w:rFonts w:hint="eastAsia" w:eastAsia="宋体"/>
                      <w:color w:val="auto"/>
                      <w:kern w:val="0"/>
                      <w:sz w:val="21"/>
                      <w:szCs w:val="21"/>
                    </w:rPr>
                  </w:pPr>
                  <w:r>
                    <w:rPr>
                      <w:rFonts w:hint="eastAsia" w:eastAsia="宋体"/>
                      <w:color w:val="auto"/>
                      <w:sz w:val="21"/>
                      <w:szCs w:val="21"/>
                      <w:lang w:val="en-US" w:eastAsia="zh-CN"/>
                    </w:rPr>
                    <w:t>0.0212</w:t>
                  </w:r>
                </w:p>
              </w:tc>
            </w:tr>
            <w:tr w14:paraId="56DF615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18" w:type="pct"/>
                  <w:gridSpan w:val="2"/>
                  <w:vMerge w:val="continue"/>
                  <w:tcBorders>
                    <w:tl2br w:val="nil"/>
                    <w:tr2bl w:val="nil"/>
                  </w:tcBorders>
                  <w:vAlign w:val="center"/>
                </w:tcPr>
                <w:p w14:paraId="779C3B32">
                  <w:pPr>
                    <w:pStyle w:val="698"/>
                    <w:rPr>
                      <w:rFonts w:eastAsia="宋体"/>
                      <w:color w:val="auto"/>
                      <w:kern w:val="0"/>
                    </w:rPr>
                  </w:pPr>
                </w:p>
              </w:tc>
              <w:tc>
                <w:tcPr>
                  <w:tcW w:w="2447" w:type="pct"/>
                  <w:gridSpan w:val="3"/>
                  <w:tcBorders>
                    <w:tl2br w:val="nil"/>
                    <w:tr2bl w:val="nil"/>
                  </w:tcBorders>
                  <w:vAlign w:val="center"/>
                </w:tcPr>
                <w:p w14:paraId="08674182">
                  <w:pPr>
                    <w:pStyle w:val="656"/>
                    <w:snapToGrid w:val="0"/>
                    <w:rPr>
                      <w:rFonts w:hint="eastAsia"/>
                      <w:bCs/>
                      <w:color w:val="auto"/>
                      <w:kern w:val="0"/>
                    </w:rPr>
                  </w:pPr>
                  <w:r>
                    <w:rPr>
                      <w:rFonts w:hint="eastAsia" w:eastAsia="宋体"/>
                      <w:color w:val="auto"/>
                      <w:sz w:val="21"/>
                      <w:szCs w:val="21"/>
                      <w:lang w:val="en-US" w:eastAsia="zh-CN"/>
                    </w:rPr>
                    <w:t>非甲烷总烃</w:t>
                  </w:r>
                </w:p>
              </w:tc>
              <w:tc>
                <w:tcPr>
                  <w:tcW w:w="2189" w:type="dxa"/>
                  <w:tcBorders>
                    <w:tl2br w:val="nil"/>
                    <w:tr2bl w:val="nil"/>
                  </w:tcBorders>
                  <w:vAlign w:val="center"/>
                </w:tcPr>
                <w:p w14:paraId="4C30F477">
                  <w:pPr>
                    <w:pStyle w:val="656"/>
                    <w:snapToGrid w:val="0"/>
                    <w:rPr>
                      <w:rFonts w:hint="eastAsia" w:eastAsia="宋体"/>
                      <w:color w:val="auto"/>
                      <w:kern w:val="0"/>
                      <w:sz w:val="21"/>
                      <w:szCs w:val="21"/>
                    </w:rPr>
                  </w:pPr>
                  <w:r>
                    <w:rPr>
                      <w:rFonts w:hint="eastAsia" w:eastAsia="宋体"/>
                      <w:color w:val="auto"/>
                      <w:sz w:val="21"/>
                      <w:szCs w:val="21"/>
                      <w:lang w:val="en-US" w:eastAsia="zh-CN"/>
                    </w:rPr>
                    <w:t>0.0017</w:t>
                  </w:r>
                </w:p>
              </w:tc>
            </w:tr>
            <w:tr w14:paraId="730CBD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18" w:type="pct"/>
                  <w:gridSpan w:val="2"/>
                  <w:vMerge w:val="continue"/>
                  <w:tcBorders>
                    <w:tl2br w:val="nil"/>
                    <w:tr2bl w:val="nil"/>
                  </w:tcBorders>
                  <w:vAlign w:val="center"/>
                </w:tcPr>
                <w:p w14:paraId="65B4639F">
                  <w:pPr>
                    <w:pStyle w:val="698"/>
                    <w:rPr>
                      <w:rFonts w:eastAsia="宋体"/>
                      <w:color w:val="auto"/>
                      <w:kern w:val="0"/>
                    </w:rPr>
                  </w:pPr>
                </w:p>
              </w:tc>
              <w:tc>
                <w:tcPr>
                  <w:tcW w:w="2447" w:type="pct"/>
                  <w:gridSpan w:val="3"/>
                  <w:tcBorders>
                    <w:tl2br w:val="nil"/>
                    <w:tr2bl w:val="nil"/>
                  </w:tcBorders>
                  <w:vAlign w:val="center"/>
                </w:tcPr>
                <w:p w14:paraId="37CB67A7">
                  <w:pPr>
                    <w:pStyle w:val="656"/>
                    <w:snapToGrid w:val="0"/>
                    <w:rPr>
                      <w:rFonts w:hint="eastAsia"/>
                      <w:bCs/>
                      <w:color w:val="auto"/>
                      <w:kern w:val="0"/>
                    </w:rPr>
                  </w:pPr>
                  <w:r>
                    <w:rPr>
                      <w:rFonts w:hint="eastAsia" w:eastAsia="宋体"/>
                      <w:color w:val="auto"/>
                      <w:sz w:val="21"/>
                      <w:szCs w:val="21"/>
                      <w:lang w:val="en-US" w:eastAsia="zh-CN"/>
                    </w:rPr>
                    <w:t>铜及其化合物（以Cu计）</w:t>
                  </w:r>
                </w:p>
              </w:tc>
              <w:tc>
                <w:tcPr>
                  <w:tcW w:w="2189" w:type="dxa"/>
                  <w:tcBorders>
                    <w:tl2br w:val="nil"/>
                    <w:tr2bl w:val="nil"/>
                  </w:tcBorders>
                  <w:vAlign w:val="center"/>
                </w:tcPr>
                <w:p w14:paraId="5EBCB23B">
                  <w:pPr>
                    <w:pStyle w:val="656"/>
                    <w:snapToGrid w:val="0"/>
                    <w:rPr>
                      <w:rFonts w:hint="eastAsia" w:eastAsia="宋体"/>
                      <w:color w:val="auto"/>
                      <w:kern w:val="0"/>
                      <w:sz w:val="21"/>
                      <w:szCs w:val="21"/>
                    </w:rPr>
                  </w:pPr>
                  <w:r>
                    <w:rPr>
                      <w:rFonts w:hint="eastAsia" w:eastAsia="宋体"/>
                      <w:color w:val="auto"/>
                      <w:sz w:val="21"/>
                      <w:szCs w:val="21"/>
                      <w:lang w:val="en-US" w:eastAsia="zh-CN"/>
                    </w:rPr>
                    <w:t>0.0045</w:t>
                  </w:r>
                </w:p>
              </w:tc>
            </w:tr>
            <w:tr w14:paraId="122BD1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18" w:type="pct"/>
                  <w:gridSpan w:val="2"/>
                  <w:vMerge w:val="continue"/>
                  <w:tcBorders>
                    <w:tl2br w:val="nil"/>
                    <w:tr2bl w:val="nil"/>
                  </w:tcBorders>
                  <w:vAlign w:val="center"/>
                </w:tcPr>
                <w:p w14:paraId="6097F580">
                  <w:pPr>
                    <w:pStyle w:val="698"/>
                    <w:rPr>
                      <w:rFonts w:eastAsia="宋体"/>
                      <w:color w:val="auto"/>
                      <w:kern w:val="0"/>
                    </w:rPr>
                  </w:pPr>
                </w:p>
              </w:tc>
              <w:tc>
                <w:tcPr>
                  <w:tcW w:w="2447" w:type="pct"/>
                  <w:gridSpan w:val="3"/>
                  <w:tcBorders>
                    <w:tl2br w:val="nil"/>
                    <w:tr2bl w:val="nil"/>
                  </w:tcBorders>
                  <w:vAlign w:val="center"/>
                </w:tcPr>
                <w:p w14:paraId="6D614A57">
                  <w:pPr>
                    <w:pStyle w:val="656"/>
                    <w:snapToGrid w:val="0"/>
                    <w:rPr>
                      <w:rFonts w:hint="eastAsia"/>
                      <w:bCs/>
                      <w:color w:val="auto"/>
                      <w:kern w:val="0"/>
                    </w:rPr>
                  </w:pPr>
                  <w:r>
                    <w:rPr>
                      <w:rFonts w:hint="eastAsia" w:eastAsia="宋体"/>
                      <w:color w:val="auto"/>
                      <w:sz w:val="21"/>
                      <w:szCs w:val="21"/>
                      <w:lang w:val="en-US" w:eastAsia="zh-CN"/>
                    </w:rPr>
                    <w:t>二噁英类</w:t>
                  </w:r>
                </w:p>
              </w:tc>
              <w:tc>
                <w:tcPr>
                  <w:tcW w:w="2189" w:type="dxa"/>
                  <w:tcBorders>
                    <w:tl2br w:val="nil"/>
                    <w:tr2bl w:val="nil"/>
                  </w:tcBorders>
                  <w:vAlign w:val="center"/>
                </w:tcPr>
                <w:p w14:paraId="618AD400">
                  <w:pPr>
                    <w:pStyle w:val="656"/>
                    <w:snapToGrid w:val="0"/>
                    <w:rPr>
                      <w:rFonts w:hint="eastAsia" w:eastAsia="宋体"/>
                      <w:color w:val="auto"/>
                      <w:kern w:val="0"/>
                      <w:sz w:val="21"/>
                      <w:szCs w:val="21"/>
                    </w:rPr>
                  </w:pPr>
                  <w:r>
                    <w:rPr>
                      <w:rFonts w:hint="eastAsia" w:eastAsia="宋体"/>
                      <w:color w:val="auto"/>
                      <w:sz w:val="21"/>
                      <w:szCs w:val="21"/>
                      <w:lang w:val="en-US" w:eastAsia="zh-CN"/>
                    </w:rPr>
                    <w:t>0.65</w:t>
                  </w:r>
                  <w:r>
                    <w:rPr>
                      <w:rFonts w:hint="eastAsia"/>
                      <w:color w:val="auto"/>
                      <w:kern w:val="0"/>
                      <w:sz w:val="21"/>
                      <w:szCs w:val="21"/>
                    </w:rPr>
                    <w:t>ngTEQ/</w:t>
                  </w:r>
                  <w:r>
                    <w:rPr>
                      <w:rFonts w:hint="eastAsia"/>
                      <w:color w:val="auto"/>
                      <w:kern w:val="0"/>
                      <w:sz w:val="21"/>
                      <w:szCs w:val="21"/>
                      <w:lang w:val="en-US" w:eastAsia="zh-CN"/>
                    </w:rPr>
                    <w:t>a</w:t>
                  </w:r>
                </w:p>
              </w:tc>
            </w:tr>
            <w:tr w14:paraId="3A84FE3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6"/>
                  <w:tcBorders>
                    <w:tl2br w:val="nil"/>
                    <w:tr2bl w:val="nil"/>
                  </w:tcBorders>
                  <w:vAlign w:val="center"/>
                </w:tcPr>
                <w:p w14:paraId="3A84FE3C">
                  <w:pPr>
                    <w:pStyle w:val="698"/>
                    <w:rPr>
                      <w:rFonts w:eastAsia="宋体"/>
                      <w:color w:val="auto"/>
                      <w:kern w:val="0"/>
                    </w:rPr>
                  </w:pPr>
                  <w:r>
                    <w:rPr>
                      <w:rFonts w:eastAsia="宋体"/>
                      <w:color w:val="auto"/>
                      <w:kern w:val="0"/>
                    </w:rPr>
                    <w:t>有组织排放</w:t>
                  </w:r>
                </w:p>
              </w:tc>
            </w:tr>
            <w:tr w14:paraId="3A84FE4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18" w:type="pct"/>
                  <w:gridSpan w:val="2"/>
                  <w:vMerge w:val="restart"/>
                  <w:tcBorders>
                    <w:tl2br w:val="nil"/>
                    <w:tr2bl w:val="nil"/>
                  </w:tcBorders>
                  <w:vAlign w:val="center"/>
                </w:tcPr>
                <w:p w14:paraId="3A84FE3E">
                  <w:pPr>
                    <w:pStyle w:val="698"/>
                    <w:rPr>
                      <w:rFonts w:eastAsia="宋体"/>
                      <w:color w:val="auto"/>
                      <w:kern w:val="0"/>
                    </w:rPr>
                  </w:pPr>
                  <w:r>
                    <w:rPr>
                      <w:rFonts w:eastAsia="宋体"/>
                      <w:color w:val="auto"/>
                      <w:kern w:val="0"/>
                    </w:rPr>
                    <w:t>有组织排放总计</w:t>
                  </w:r>
                </w:p>
              </w:tc>
              <w:tc>
                <w:tcPr>
                  <w:tcW w:w="4337" w:type="dxa"/>
                  <w:gridSpan w:val="3"/>
                  <w:tcBorders>
                    <w:tl2br w:val="nil"/>
                    <w:tr2bl w:val="nil"/>
                  </w:tcBorders>
                  <w:vAlign w:val="center"/>
                </w:tcPr>
                <w:p w14:paraId="3A84FE3F">
                  <w:pPr>
                    <w:pStyle w:val="656"/>
                    <w:snapToGrid w:val="0"/>
                    <w:rPr>
                      <w:color w:val="auto"/>
                      <w:kern w:val="0"/>
                    </w:rPr>
                  </w:pPr>
                  <w:r>
                    <w:rPr>
                      <w:rFonts w:hint="eastAsia" w:eastAsia="宋体"/>
                      <w:color w:val="auto"/>
                      <w:sz w:val="21"/>
                      <w:szCs w:val="21"/>
                      <w:lang w:val="en-US" w:eastAsia="zh-CN"/>
                    </w:rPr>
                    <w:t>颗粒物</w:t>
                  </w:r>
                </w:p>
              </w:tc>
              <w:tc>
                <w:tcPr>
                  <w:tcW w:w="2187" w:type="dxa"/>
                  <w:tcBorders>
                    <w:tl2br w:val="nil"/>
                    <w:tr2bl w:val="nil"/>
                  </w:tcBorders>
                  <w:vAlign w:val="center"/>
                </w:tcPr>
                <w:p w14:paraId="3A84FE40">
                  <w:pPr>
                    <w:pStyle w:val="656"/>
                    <w:snapToGrid w:val="0"/>
                    <w:rPr>
                      <w:rFonts w:eastAsia="宋体"/>
                      <w:color w:val="auto"/>
                      <w:kern w:val="0"/>
                      <w:sz w:val="21"/>
                      <w:szCs w:val="21"/>
                      <w:lang w:bidi="ar"/>
                    </w:rPr>
                  </w:pPr>
                  <w:r>
                    <w:rPr>
                      <w:rFonts w:hint="eastAsia" w:eastAsia="宋体"/>
                      <w:color w:val="auto"/>
                      <w:sz w:val="21"/>
                      <w:szCs w:val="21"/>
                      <w:lang w:val="en-US" w:eastAsia="zh-CN"/>
                    </w:rPr>
                    <w:t>0.033</w:t>
                  </w:r>
                </w:p>
              </w:tc>
            </w:tr>
            <w:tr w14:paraId="19DE632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18" w:type="pct"/>
                  <w:gridSpan w:val="2"/>
                  <w:vMerge w:val="continue"/>
                  <w:tcBorders>
                    <w:tl2br w:val="nil"/>
                    <w:tr2bl w:val="nil"/>
                  </w:tcBorders>
                  <w:vAlign w:val="center"/>
                </w:tcPr>
                <w:p w14:paraId="36A7A87B">
                  <w:pPr>
                    <w:pStyle w:val="698"/>
                    <w:rPr>
                      <w:rFonts w:eastAsia="宋体"/>
                      <w:color w:val="auto"/>
                      <w:kern w:val="0"/>
                    </w:rPr>
                  </w:pPr>
                </w:p>
              </w:tc>
              <w:tc>
                <w:tcPr>
                  <w:tcW w:w="4337" w:type="dxa"/>
                  <w:gridSpan w:val="3"/>
                  <w:tcBorders>
                    <w:tl2br w:val="nil"/>
                    <w:tr2bl w:val="nil"/>
                  </w:tcBorders>
                  <w:vAlign w:val="center"/>
                </w:tcPr>
                <w:p w14:paraId="3E9DF069">
                  <w:pPr>
                    <w:pStyle w:val="656"/>
                    <w:snapToGrid w:val="0"/>
                    <w:rPr>
                      <w:rFonts w:hint="eastAsia"/>
                      <w:bCs/>
                      <w:color w:val="auto"/>
                      <w:kern w:val="0"/>
                    </w:rPr>
                  </w:pPr>
                  <w:r>
                    <w:rPr>
                      <w:rFonts w:hint="eastAsia" w:eastAsia="宋体"/>
                      <w:color w:val="auto"/>
                      <w:sz w:val="21"/>
                      <w:szCs w:val="21"/>
                      <w:lang w:val="en-US" w:eastAsia="zh-CN"/>
                    </w:rPr>
                    <w:t>SO</w:t>
                  </w:r>
                  <w:r>
                    <w:rPr>
                      <w:rFonts w:hint="eastAsia" w:eastAsia="宋体"/>
                      <w:color w:val="auto"/>
                      <w:sz w:val="21"/>
                      <w:szCs w:val="21"/>
                      <w:vertAlign w:val="subscript"/>
                      <w:lang w:val="en-US" w:eastAsia="zh-CN"/>
                    </w:rPr>
                    <w:t>2</w:t>
                  </w:r>
                </w:p>
              </w:tc>
              <w:tc>
                <w:tcPr>
                  <w:tcW w:w="2187" w:type="dxa"/>
                  <w:tcBorders>
                    <w:tl2br w:val="nil"/>
                    <w:tr2bl w:val="nil"/>
                  </w:tcBorders>
                  <w:vAlign w:val="center"/>
                </w:tcPr>
                <w:p w14:paraId="711E5037">
                  <w:pPr>
                    <w:pStyle w:val="656"/>
                    <w:snapToGrid w:val="0"/>
                    <w:rPr>
                      <w:rFonts w:hint="eastAsia" w:eastAsia="宋体"/>
                      <w:color w:val="auto"/>
                      <w:kern w:val="0"/>
                      <w:sz w:val="21"/>
                      <w:szCs w:val="21"/>
                    </w:rPr>
                  </w:pPr>
                  <w:r>
                    <w:rPr>
                      <w:rFonts w:hint="eastAsia" w:eastAsia="宋体"/>
                      <w:color w:val="auto"/>
                      <w:sz w:val="21"/>
                      <w:szCs w:val="21"/>
                      <w:lang w:val="en-US" w:eastAsia="zh-CN"/>
                    </w:rPr>
                    <w:t>0.032</w:t>
                  </w:r>
                </w:p>
              </w:tc>
            </w:tr>
            <w:tr w14:paraId="48CD80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18" w:type="pct"/>
                  <w:gridSpan w:val="2"/>
                  <w:vMerge w:val="continue"/>
                  <w:tcBorders>
                    <w:tl2br w:val="nil"/>
                    <w:tr2bl w:val="nil"/>
                  </w:tcBorders>
                  <w:vAlign w:val="center"/>
                </w:tcPr>
                <w:p w14:paraId="211F316A">
                  <w:pPr>
                    <w:pStyle w:val="698"/>
                    <w:rPr>
                      <w:rFonts w:eastAsia="宋体"/>
                      <w:color w:val="auto"/>
                      <w:kern w:val="0"/>
                    </w:rPr>
                  </w:pPr>
                </w:p>
              </w:tc>
              <w:tc>
                <w:tcPr>
                  <w:tcW w:w="4337" w:type="dxa"/>
                  <w:gridSpan w:val="3"/>
                  <w:tcBorders>
                    <w:tl2br w:val="nil"/>
                    <w:tr2bl w:val="nil"/>
                  </w:tcBorders>
                  <w:vAlign w:val="center"/>
                </w:tcPr>
                <w:p w14:paraId="248F35D3">
                  <w:pPr>
                    <w:pStyle w:val="656"/>
                    <w:snapToGrid w:val="0"/>
                    <w:rPr>
                      <w:rFonts w:hint="eastAsia"/>
                      <w:bCs/>
                      <w:color w:val="auto"/>
                      <w:kern w:val="0"/>
                    </w:rPr>
                  </w:pPr>
                  <w:r>
                    <w:rPr>
                      <w:rFonts w:hint="eastAsia" w:eastAsia="宋体"/>
                      <w:color w:val="auto"/>
                      <w:sz w:val="21"/>
                      <w:szCs w:val="21"/>
                      <w:lang w:val="en-US" w:eastAsia="zh-CN"/>
                    </w:rPr>
                    <w:t>NOx</w:t>
                  </w:r>
                </w:p>
              </w:tc>
              <w:tc>
                <w:tcPr>
                  <w:tcW w:w="2187" w:type="dxa"/>
                  <w:tcBorders>
                    <w:tl2br w:val="nil"/>
                    <w:tr2bl w:val="nil"/>
                  </w:tcBorders>
                  <w:vAlign w:val="center"/>
                </w:tcPr>
                <w:p w14:paraId="2C37B78D">
                  <w:pPr>
                    <w:pStyle w:val="656"/>
                    <w:snapToGrid w:val="0"/>
                    <w:rPr>
                      <w:rFonts w:hint="eastAsia" w:eastAsia="宋体"/>
                      <w:color w:val="auto"/>
                      <w:kern w:val="0"/>
                      <w:sz w:val="21"/>
                      <w:szCs w:val="21"/>
                    </w:rPr>
                  </w:pPr>
                  <w:r>
                    <w:rPr>
                      <w:rFonts w:hint="eastAsia" w:eastAsia="宋体"/>
                      <w:color w:val="auto"/>
                      <w:sz w:val="21"/>
                      <w:szCs w:val="21"/>
                      <w:lang w:val="en-US" w:eastAsia="zh-CN"/>
                    </w:rPr>
                    <w:t>0.1</w:t>
                  </w:r>
                </w:p>
              </w:tc>
            </w:tr>
            <w:tr w14:paraId="451E17A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18" w:type="pct"/>
                  <w:gridSpan w:val="2"/>
                  <w:vMerge w:val="continue"/>
                  <w:tcBorders>
                    <w:tl2br w:val="nil"/>
                    <w:tr2bl w:val="nil"/>
                  </w:tcBorders>
                  <w:vAlign w:val="center"/>
                </w:tcPr>
                <w:p w14:paraId="35325FCD">
                  <w:pPr>
                    <w:pStyle w:val="698"/>
                    <w:rPr>
                      <w:rFonts w:eastAsia="宋体"/>
                      <w:color w:val="auto"/>
                      <w:kern w:val="0"/>
                    </w:rPr>
                  </w:pPr>
                </w:p>
              </w:tc>
              <w:tc>
                <w:tcPr>
                  <w:tcW w:w="4337" w:type="dxa"/>
                  <w:gridSpan w:val="3"/>
                  <w:tcBorders>
                    <w:tl2br w:val="nil"/>
                    <w:tr2bl w:val="nil"/>
                  </w:tcBorders>
                  <w:vAlign w:val="center"/>
                </w:tcPr>
                <w:p w14:paraId="23A4E70B">
                  <w:pPr>
                    <w:pStyle w:val="656"/>
                    <w:snapToGrid w:val="0"/>
                    <w:rPr>
                      <w:rFonts w:hint="eastAsia"/>
                      <w:bCs/>
                      <w:color w:val="auto"/>
                      <w:kern w:val="0"/>
                    </w:rPr>
                  </w:pPr>
                  <w:r>
                    <w:rPr>
                      <w:rFonts w:hint="eastAsia" w:eastAsia="宋体"/>
                      <w:color w:val="auto"/>
                      <w:sz w:val="21"/>
                      <w:szCs w:val="21"/>
                      <w:lang w:val="en-US" w:eastAsia="zh-CN"/>
                    </w:rPr>
                    <w:t>氨</w:t>
                  </w:r>
                </w:p>
              </w:tc>
              <w:tc>
                <w:tcPr>
                  <w:tcW w:w="2187" w:type="dxa"/>
                  <w:tcBorders>
                    <w:tl2br w:val="nil"/>
                    <w:tr2bl w:val="nil"/>
                  </w:tcBorders>
                  <w:vAlign w:val="center"/>
                </w:tcPr>
                <w:p w14:paraId="24743328">
                  <w:pPr>
                    <w:pStyle w:val="656"/>
                    <w:snapToGrid w:val="0"/>
                    <w:rPr>
                      <w:rFonts w:hint="eastAsia" w:eastAsia="宋体"/>
                      <w:color w:val="auto"/>
                      <w:kern w:val="0"/>
                      <w:sz w:val="21"/>
                      <w:szCs w:val="21"/>
                    </w:rPr>
                  </w:pPr>
                  <w:r>
                    <w:rPr>
                      <w:rFonts w:hint="eastAsia" w:eastAsia="宋体"/>
                      <w:color w:val="auto"/>
                      <w:sz w:val="21"/>
                      <w:szCs w:val="21"/>
                      <w:lang w:val="en-US" w:eastAsia="zh-CN"/>
                    </w:rPr>
                    <w:t>0.00424</w:t>
                  </w:r>
                </w:p>
              </w:tc>
            </w:tr>
            <w:tr w14:paraId="3DD298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18" w:type="pct"/>
                  <w:gridSpan w:val="2"/>
                  <w:vMerge w:val="continue"/>
                  <w:tcBorders>
                    <w:tl2br w:val="nil"/>
                    <w:tr2bl w:val="nil"/>
                  </w:tcBorders>
                  <w:vAlign w:val="center"/>
                </w:tcPr>
                <w:p w14:paraId="738366D1">
                  <w:pPr>
                    <w:pStyle w:val="698"/>
                    <w:rPr>
                      <w:rFonts w:eastAsia="宋体"/>
                      <w:color w:val="auto"/>
                      <w:kern w:val="0"/>
                    </w:rPr>
                  </w:pPr>
                </w:p>
              </w:tc>
              <w:tc>
                <w:tcPr>
                  <w:tcW w:w="4337" w:type="dxa"/>
                  <w:gridSpan w:val="3"/>
                  <w:tcBorders>
                    <w:tl2br w:val="nil"/>
                    <w:tr2bl w:val="nil"/>
                  </w:tcBorders>
                  <w:vAlign w:val="center"/>
                </w:tcPr>
                <w:p w14:paraId="6BA4B366">
                  <w:pPr>
                    <w:pStyle w:val="656"/>
                    <w:snapToGrid w:val="0"/>
                    <w:rPr>
                      <w:rFonts w:hint="eastAsia"/>
                      <w:bCs/>
                      <w:color w:val="auto"/>
                      <w:kern w:val="0"/>
                    </w:rPr>
                  </w:pPr>
                  <w:r>
                    <w:rPr>
                      <w:rFonts w:hint="eastAsia" w:eastAsia="宋体"/>
                      <w:color w:val="auto"/>
                      <w:sz w:val="21"/>
                      <w:szCs w:val="21"/>
                      <w:lang w:val="en-US" w:eastAsia="zh-CN"/>
                    </w:rPr>
                    <w:t>CO</w:t>
                  </w:r>
                </w:p>
              </w:tc>
              <w:tc>
                <w:tcPr>
                  <w:tcW w:w="2187" w:type="dxa"/>
                  <w:tcBorders>
                    <w:tl2br w:val="nil"/>
                    <w:tr2bl w:val="nil"/>
                  </w:tcBorders>
                  <w:vAlign w:val="center"/>
                </w:tcPr>
                <w:p w14:paraId="5866B280">
                  <w:pPr>
                    <w:pStyle w:val="656"/>
                    <w:snapToGrid w:val="0"/>
                    <w:rPr>
                      <w:rFonts w:hint="eastAsia" w:eastAsia="宋体"/>
                      <w:color w:val="auto"/>
                      <w:kern w:val="0"/>
                      <w:sz w:val="21"/>
                      <w:szCs w:val="21"/>
                    </w:rPr>
                  </w:pPr>
                  <w:r>
                    <w:rPr>
                      <w:rFonts w:hint="eastAsia" w:eastAsia="宋体"/>
                      <w:color w:val="auto"/>
                      <w:sz w:val="21"/>
                      <w:szCs w:val="21"/>
                      <w:lang w:val="en-US" w:eastAsia="zh-CN"/>
                    </w:rPr>
                    <w:t>0.032</w:t>
                  </w:r>
                </w:p>
              </w:tc>
            </w:tr>
            <w:tr w14:paraId="7E8CB04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18" w:type="pct"/>
                  <w:gridSpan w:val="2"/>
                  <w:vMerge w:val="continue"/>
                  <w:tcBorders>
                    <w:tl2br w:val="nil"/>
                    <w:tr2bl w:val="nil"/>
                  </w:tcBorders>
                  <w:vAlign w:val="center"/>
                </w:tcPr>
                <w:p w14:paraId="24505B0E">
                  <w:pPr>
                    <w:pStyle w:val="698"/>
                    <w:rPr>
                      <w:rFonts w:eastAsia="宋体"/>
                      <w:color w:val="auto"/>
                      <w:kern w:val="0"/>
                    </w:rPr>
                  </w:pPr>
                </w:p>
              </w:tc>
              <w:tc>
                <w:tcPr>
                  <w:tcW w:w="4337" w:type="dxa"/>
                  <w:gridSpan w:val="3"/>
                  <w:tcBorders>
                    <w:tl2br w:val="nil"/>
                    <w:tr2bl w:val="nil"/>
                  </w:tcBorders>
                  <w:vAlign w:val="center"/>
                </w:tcPr>
                <w:p w14:paraId="7B14616D">
                  <w:pPr>
                    <w:pStyle w:val="656"/>
                    <w:snapToGrid w:val="0"/>
                    <w:rPr>
                      <w:rFonts w:hint="eastAsia"/>
                      <w:bCs/>
                      <w:color w:val="auto"/>
                      <w:kern w:val="0"/>
                    </w:rPr>
                  </w:pPr>
                  <w:r>
                    <w:rPr>
                      <w:rFonts w:hint="eastAsia" w:eastAsia="宋体"/>
                      <w:color w:val="auto"/>
                      <w:sz w:val="21"/>
                      <w:szCs w:val="21"/>
                      <w:lang w:val="en-US" w:eastAsia="zh-CN"/>
                    </w:rPr>
                    <w:t>HCl</w:t>
                  </w:r>
                </w:p>
              </w:tc>
              <w:tc>
                <w:tcPr>
                  <w:tcW w:w="2187" w:type="dxa"/>
                  <w:tcBorders>
                    <w:tl2br w:val="nil"/>
                    <w:tr2bl w:val="nil"/>
                  </w:tcBorders>
                  <w:vAlign w:val="center"/>
                </w:tcPr>
                <w:p w14:paraId="1B420A9A">
                  <w:pPr>
                    <w:pStyle w:val="656"/>
                    <w:snapToGrid w:val="0"/>
                    <w:rPr>
                      <w:rFonts w:hint="eastAsia" w:eastAsia="宋体"/>
                      <w:color w:val="auto"/>
                      <w:kern w:val="0"/>
                      <w:sz w:val="21"/>
                      <w:szCs w:val="21"/>
                    </w:rPr>
                  </w:pPr>
                  <w:r>
                    <w:rPr>
                      <w:rFonts w:hint="eastAsia" w:eastAsia="宋体"/>
                      <w:color w:val="auto"/>
                      <w:sz w:val="21"/>
                      <w:szCs w:val="21"/>
                      <w:lang w:val="en-US" w:eastAsia="zh-CN"/>
                    </w:rPr>
                    <w:t>0.0212</w:t>
                  </w:r>
                </w:p>
              </w:tc>
            </w:tr>
            <w:tr w14:paraId="1B11CC2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18" w:type="pct"/>
                  <w:gridSpan w:val="2"/>
                  <w:vMerge w:val="continue"/>
                  <w:tcBorders>
                    <w:tl2br w:val="nil"/>
                    <w:tr2bl w:val="nil"/>
                  </w:tcBorders>
                  <w:vAlign w:val="center"/>
                </w:tcPr>
                <w:p w14:paraId="727C0A33">
                  <w:pPr>
                    <w:pStyle w:val="698"/>
                    <w:rPr>
                      <w:rFonts w:eastAsia="宋体"/>
                      <w:color w:val="auto"/>
                      <w:kern w:val="0"/>
                    </w:rPr>
                  </w:pPr>
                </w:p>
              </w:tc>
              <w:tc>
                <w:tcPr>
                  <w:tcW w:w="4337" w:type="dxa"/>
                  <w:gridSpan w:val="3"/>
                  <w:tcBorders>
                    <w:tl2br w:val="nil"/>
                    <w:tr2bl w:val="nil"/>
                  </w:tcBorders>
                  <w:vAlign w:val="center"/>
                </w:tcPr>
                <w:p w14:paraId="011DDEA2">
                  <w:pPr>
                    <w:pStyle w:val="656"/>
                    <w:snapToGrid w:val="0"/>
                    <w:rPr>
                      <w:rFonts w:hint="eastAsia"/>
                      <w:bCs/>
                      <w:color w:val="auto"/>
                      <w:kern w:val="0"/>
                    </w:rPr>
                  </w:pPr>
                  <w:r>
                    <w:rPr>
                      <w:rFonts w:hint="eastAsia" w:eastAsia="宋体"/>
                      <w:color w:val="auto"/>
                      <w:sz w:val="21"/>
                      <w:szCs w:val="21"/>
                      <w:lang w:val="en-US" w:eastAsia="zh-CN"/>
                    </w:rPr>
                    <w:t>非甲烷总烃</w:t>
                  </w:r>
                </w:p>
              </w:tc>
              <w:tc>
                <w:tcPr>
                  <w:tcW w:w="2187" w:type="dxa"/>
                  <w:tcBorders>
                    <w:tl2br w:val="nil"/>
                    <w:tr2bl w:val="nil"/>
                  </w:tcBorders>
                  <w:vAlign w:val="center"/>
                </w:tcPr>
                <w:p w14:paraId="0223E7EB">
                  <w:pPr>
                    <w:pStyle w:val="656"/>
                    <w:snapToGrid w:val="0"/>
                    <w:rPr>
                      <w:rFonts w:hint="eastAsia" w:eastAsia="宋体"/>
                      <w:color w:val="auto"/>
                      <w:kern w:val="0"/>
                      <w:sz w:val="21"/>
                      <w:szCs w:val="21"/>
                    </w:rPr>
                  </w:pPr>
                  <w:r>
                    <w:rPr>
                      <w:rFonts w:hint="eastAsia" w:eastAsia="宋体"/>
                      <w:color w:val="auto"/>
                      <w:sz w:val="21"/>
                      <w:szCs w:val="21"/>
                      <w:lang w:val="en-US" w:eastAsia="zh-CN"/>
                    </w:rPr>
                    <w:t>0.0017</w:t>
                  </w:r>
                </w:p>
              </w:tc>
            </w:tr>
            <w:tr w14:paraId="5B688E8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18" w:type="pct"/>
                  <w:gridSpan w:val="2"/>
                  <w:vMerge w:val="continue"/>
                  <w:tcBorders>
                    <w:tl2br w:val="nil"/>
                    <w:tr2bl w:val="nil"/>
                  </w:tcBorders>
                  <w:vAlign w:val="center"/>
                </w:tcPr>
                <w:p w14:paraId="1F0E0DA0">
                  <w:pPr>
                    <w:pStyle w:val="698"/>
                    <w:rPr>
                      <w:rFonts w:eastAsia="宋体"/>
                      <w:color w:val="auto"/>
                      <w:kern w:val="0"/>
                    </w:rPr>
                  </w:pPr>
                </w:p>
              </w:tc>
              <w:tc>
                <w:tcPr>
                  <w:tcW w:w="4337" w:type="dxa"/>
                  <w:gridSpan w:val="3"/>
                  <w:tcBorders>
                    <w:tl2br w:val="nil"/>
                    <w:tr2bl w:val="nil"/>
                  </w:tcBorders>
                  <w:vAlign w:val="center"/>
                </w:tcPr>
                <w:p w14:paraId="77D1C37E">
                  <w:pPr>
                    <w:pStyle w:val="656"/>
                    <w:snapToGrid w:val="0"/>
                    <w:rPr>
                      <w:rFonts w:hint="eastAsia"/>
                      <w:bCs/>
                      <w:color w:val="auto"/>
                      <w:kern w:val="0"/>
                    </w:rPr>
                  </w:pPr>
                  <w:r>
                    <w:rPr>
                      <w:rFonts w:hint="eastAsia" w:eastAsia="宋体"/>
                      <w:color w:val="auto"/>
                      <w:sz w:val="21"/>
                      <w:szCs w:val="21"/>
                      <w:lang w:val="en-US" w:eastAsia="zh-CN"/>
                    </w:rPr>
                    <w:t>铜及其化合物（以Cu计）</w:t>
                  </w:r>
                </w:p>
              </w:tc>
              <w:tc>
                <w:tcPr>
                  <w:tcW w:w="2187" w:type="dxa"/>
                  <w:tcBorders>
                    <w:tl2br w:val="nil"/>
                    <w:tr2bl w:val="nil"/>
                  </w:tcBorders>
                  <w:vAlign w:val="center"/>
                </w:tcPr>
                <w:p w14:paraId="0BB72750">
                  <w:pPr>
                    <w:pStyle w:val="656"/>
                    <w:snapToGrid w:val="0"/>
                    <w:rPr>
                      <w:rFonts w:hint="eastAsia" w:eastAsia="宋体"/>
                      <w:color w:val="auto"/>
                      <w:kern w:val="0"/>
                      <w:sz w:val="21"/>
                      <w:szCs w:val="21"/>
                    </w:rPr>
                  </w:pPr>
                  <w:r>
                    <w:rPr>
                      <w:rFonts w:hint="eastAsia" w:eastAsia="宋体"/>
                      <w:color w:val="auto"/>
                      <w:sz w:val="21"/>
                      <w:szCs w:val="21"/>
                      <w:lang w:val="en-US" w:eastAsia="zh-CN"/>
                    </w:rPr>
                    <w:t>0.0045</w:t>
                  </w:r>
                </w:p>
              </w:tc>
            </w:tr>
            <w:tr w14:paraId="16E04AF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18" w:type="pct"/>
                  <w:gridSpan w:val="2"/>
                  <w:vMerge w:val="continue"/>
                  <w:tcBorders>
                    <w:tl2br w:val="nil"/>
                    <w:tr2bl w:val="nil"/>
                  </w:tcBorders>
                  <w:vAlign w:val="center"/>
                </w:tcPr>
                <w:p w14:paraId="4CAC0E29">
                  <w:pPr>
                    <w:pStyle w:val="698"/>
                    <w:rPr>
                      <w:rFonts w:eastAsia="宋体"/>
                      <w:color w:val="auto"/>
                      <w:kern w:val="0"/>
                    </w:rPr>
                  </w:pPr>
                </w:p>
              </w:tc>
              <w:tc>
                <w:tcPr>
                  <w:tcW w:w="4337" w:type="dxa"/>
                  <w:gridSpan w:val="3"/>
                  <w:tcBorders>
                    <w:tl2br w:val="nil"/>
                    <w:tr2bl w:val="nil"/>
                  </w:tcBorders>
                  <w:vAlign w:val="center"/>
                </w:tcPr>
                <w:p w14:paraId="09BC2DBA">
                  <w:pPr>
                    <w:pStyle w:val="656"/>
                    <w:snapToGrid w:val="0"/>
                    <w:rPr>
                      <w:rFonts w:hint="eastAsia"/>
                      <w:bCs/>
                      <w:color w:val="auto"/>
                      <w:kern w:val="0"/>
                    </w:rPr>
                  </w:pPr>
                  <w:r>
                    <w:rPr>
                      <w:rFonts w:hint="eastAsia" w:eastAsia="宋体"/>
                      <w:color w:val="auto"/>
                      <w:sz w:val="21"/>
                      <w:szCs w:val="21"/>
                      <w:lang w:val="en-US" w:eastAsia="zh-CN"/>
                    </w:rPr>
                    <w:t>二噁英类</w:t>
                  </w:r>
                </w:p>
              </w:tc>
              <w:tc>
                <w:tcPr>
                  <w:tcW w:w="2187" w:type="dxa"/>
                  <w:tcBorders>
                    <w:tl2br w:val="nil"/>
                    <w:tr2bl w:val="nil"/>
                  </w:tcBorders>
                  <w:vAlign w:val="center"/>
                </w:tcPr>
                <w:p w14:paraId="63D026D4">
                  <w:pPr>
                    <w:pStyle w:val="656"/>
                    <w:snapToGrid w:val="0"/>
                    <w:rPr>
                      <w:rFonts w:hint="eastAsia" w:eastAsia="宋体"/>
                      <w:color w:val="auto"/>
                      <w:kern w:val="0"/>
                      <w:sz w:val="21"/>
                      <w:szCs w:val="21"/>
                    </w:rPr>
                  </w:pPr>
                  <w:r>
                    <w:rPr>
                      <w:rFonts w:hint="eastAsia" w:eastAsia="宋体"/>
                      <w:color w:val="auto"/>
                      <w:sz w:val="21"/>
                      <w:szCs w:val="21"/>
                      <w:lang w:val="en-US" w:eastAsia="zh-CN"/>
                    </w:rPr>
                    <w:t>0.65</w:t>
                  </w:r>
                  <w:r>
                    <w:rPr>
                      <w:rFonts w:hint="eastAsia"/>
                      <w:color w:val="auto"/>
                      <w:kern w:val="0"/>
                      <w:sz w:val="21"/>
                      <w:szCs w:val="21"/>
                    </w:rPr>
                    <w:t>ngTEQ/</w:t>
                  </w:r>
                  <w:r>
                    <w:rPr>
                      <w:rFonts w:hint="eastAsia"/>
                      <w:color w:val="auto"/>
                      <w:kern w:val="0"/>
                      <w:sz w:val="21"/>
                      <w:szCs w:val="21"/>
                      <w:lang w:val="en-US" w:eastAsia="zh-CN"/>
                    </w:rPr>
                    <w:t>a</w:t>
                  </w:r>
                </w:p>
              </w:tc>
            </w:tr>
          </w:tbl>
          <w:p w14:paraId="3A84FE66">
            <w:pPr>
              <w:pStyle w:val="699"/>
              <w:adjustRightInd w:val="0"/>
              <w:snapToGrid w:val="0"/>
              <w:spacing w:beforeLines="0" w:afterLines="0"/>
              <w:rPr>
                <w:rFonts w:eastAsia="宋体"/>
                <w:color w:val="auto"/>
                <w:kern w:val="0"/>
                <w:sz w:val="21"/>
                <w:szCs w:val="21"/>
              </w:rPr>
            </w:pPr>
            <w:r>
              <w:rPr>
                <w:rFonts w:eastAsia="宋体"/>
                <w:color w:val="auto"/>
                <w:kern w:val="0"/>
                <w:sz w:val="21"/>
                <w:szCs w:val="21"/>
              </w:rPr>
              <w:t>表4-</w:t>
            </w:r>
            <w:r>
              <w:rPr>
                <w:rFonts w:hint="eastAsia" w:eastAsia="宋体"/>
                <w:color w:val="auto"/>
                <w:kern w:val="0"/>
                <w:sz w:val="21"/>
                <w:szCs w:val="21"/>
                <w:lang w:val="en-US" w:eastAsia="zh-CN"/>
              </w:rPr>
              <w:t>7</w:t>
            </w:r>
            <w:r>
              <w:rPr>
                <w:rFonts w:hint="eastAsia" w:eastAsia="宋体"/>
                <w:color w:val="auto"/>
                <w:kern w:val="0"/>
                <w:sz w:val="21"/>
                <w:szCs w:val="21"/>
              </w:rPr>
              <w:t xml:space="preserve">   </w:t>
            </w:r>
            <w:r>
              <w:rPr>
                <w:rFonts w:eastAsia="宋体"/>
                <w:color w:val="auto"/>
                <w:kern w:val="0"/>
                <w:sz w:val="21"/>
                <w:szCs w:val="21"/>
              </w:rPr>
              <w:t>项目大气污染物年排放量核算表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2295"/>
              <w:gridCol w:w="3701"/>
              <w:gridCol w:w="3599"/>
            </w:tblGrid>
            <w:tr w14:paraId="3A84FE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196" w:type="pct"/>
                  <w:tcBorders>
                    <w:tl2br w:val="nil"/>
                    <w:tr2bl w:val="nil"/>
                  </w:tcBorders>
                  <w:vAlign w:val="center"/>
                </w:tcPr>
                <w:p w14:paraId="3A84FE67">
                  <w:pPr>
                    <w:pStyle w:val="700"/>
                    <w:rPr>
                      <w:rFonts w:eastAsia="宋体"/>
                      <w:color w:val="auto"/>
                      <w:kern w:val="0"/>
                      <w:szCs w:val="21"/>
                    </w:rPr>
                  </w:pPr>
                  <w:r>
                    <w:rPr>
                      <w:rFonts w:eastAsia="宋体"/>
                      <w:color w:val="auto"/>
                      <w:kern w:val="0"/>
                      <w:szCs w:val="21"/>
                    </w:rPr>
                    <w:t>序号</w:t>
                  </w:r>
                </w:p>
              </w:tc>
              <w:tc>
                <w:tcPr>
                  <w:tcW w:w="1928" w:type="pct"/>
                  <w:tcBorders>
                    <w:tl2br w:val="nil"/>
                    <w:tr2bl w:val="nil"/>
                  </w:tcBorders>
                  <w:vAlign w:val="center"/>
                </w:tcPr>
                <w:p w14:paraId="3A84FE68">
                  <w:pPr>
                    <w:pStyle w:val="700"/>
                    <w:rPr>
                      <w:rFonts w:eastAsia="宋体"/>
                      <w:color w:val="auto"/>
                      <w:kern w:val="0"/>
                      <w:szCs w:val="21"/>
                    </w:rPr>
                  </w:pPr>
                  <w:r>
                    <w:rPr>
                      <w:rFonts w:eastAsia="宋体"/>
                      <w:color w:val="auto"/>
                      <w:kern w:val="0"/>
                      <w:szCs w:val="21"/>
                    </w:rPr>
                    <w:t>污染物</w:t>
                  </w:r>
                </w:p>
              </w:tc>
              <w:tc>
                <w:tcPr>
                  <w:tcW w:w="1875" w:type="pct"/>
                  <w:tcBorders>
                    <w:tl2br w:val="nil"/>
                    <w:tr2bl w:val="nil"/>
                  </w:tcBorders>
                  <w:vAlign w:val="center"/>
                </w:tcPr>
                <w:p w14:paraId="3A84FE69">
                  <w:pPr>
                    <w:pStyle w:val="700"/>
                    <w:rPr>
                      <w:rFonts w:eastAsia="宋体"/>
                      <w:color w:val="auto"/>
                      <w:kern w:val="0"/>
                      <w:szCs w:val="21"/>
                    </w:rPr>
                  </w:pPr>
                  <w:r>
                    <w:rPr>
                      <w:rFonts w:eastAsia="宋体"/>
                      <w:color w:val="auto"/>
                      <w:kern w:val="0"/>
                      <w:szCs w:val="21"/>
                    </w:rPr>
                    <w:t>年排放量/（t/a）</w:t>
                  </w:r>
                </w:p>
              </w:tc>
            </w:tr>
            <w:tr w14:paraId="3A84FE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119" w:type="dxa"/>
                  <w:tcBorders>
                    <w:tl2br w:val="nil"/>
                    <w:tr2bl w:val="nil"/>
                  </w:tcBorders>
                  <w:vAlign w:val="center"/>
                </w:tcPr>
                <w:p w14:paraId="3A84FE6B">
                  <w:pPr>
                    <w:pStyle w:val="693"/>
                    <w:rPr>
                      <w:rFonts w:eastAsia="宋体"/>
                      <w:color w:val="auto"/>
                      <w:kern w:val="0"/>
                    </w:rPr>
                  </w:pPr>
                  <w:r>
                    <w:rPr>
                      <w:rFonts w:eastAsia="宋体"/>
                      <w:b w:val="0"/>
                      <w:bCs/>
                      <w:color w:val="auto"/>
                      <w:kern w:val="0"/>
                    </w:rPr>
                    <w:t>1</w:t>
                  </w:r>
                </w:p>
              </w:tc>
              <w:tc>
                <w:tcPr>
                  <w:tcW w:w="3418" w:type="dxa"/>
                  <w:tcBorders>
                    <w:tl2br w:val="nil"/>
                    <w:tr2bl w:val="nil"/>
                  </w:tcBorders>
                  <w:vAlign w:val="center"/>
                </w:tcPr>
                <w:p w14:paraId="3A84FE6C">
                  <w:pPr>
                    <w:pStyle w:val="656"/>
                    <w:snapToGrid w:val="0"/>
                    <w:rPr>
                      <w:rFonts w:eastAsia="宋体"/>
                      <w:color w:val="auto"/>
                      <w:kern w:val="0"/>
                    </w:rPr>
                  </w:pPr>
                  <w:r>
                    <w:rPr>
                      <w:rFonts w:hint="eastAsia" w:eastAsia="宋体"/>
                      <w:color w:val="auto"/>
                      <w:sz w:val="21"/>
                      <w:szCs w:val="21"/>
                      <w:lang w:val="en-US" w:eastAsia="zh-CN"/>
                    </w:rPr>
                    <w:t>颗粒物</w:t>
                  </w:r>
                </w:p>
              </w:tc>
              <w:tc>
                <w:tcPr>
                  <w:tcW w:w="3324" w:type="dxa"/>
                  <w:tcBorders>
                    <w:tl2br w:val="nil"/>
                    <w:tr2bl w:val="nil"/>
                  </w:tcBorders>
                  <w:vAlign w:val="center"/>
                </w:tcPr>
                <w:p w14:paraId="3A84FE6D">
                  <w:pPr>
                    <w:pStyle w:val="656"/>
                    <w:snapToGrid w:val="0"/>
                    <w:rPr>
                      <w:color w:val="auto"/>
                      <w:kern w:val="0"/>
                    </w:rPr>
                  </w:pPr>
                  <w:r>
                    <w:rPr>
                      <w:rFonts w:hint="eastAsia" w:eastAsia="宋体"/>
                      <w:color w:val="auto"/>
                      <w:sz w:val="21"/>
                      <w:szCs w:val="21"/>
                      <w:lang w:val="en-US" w:eastAsia="zh-CN"/>
                    </w:rPr>
                    <w:t>0.033</w:t>
                  </w:r>
                </w:p>
              </w:tc>
            </w:tr>
            <w:tr w14:paraId="3A84FE7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119" w:type="dxa"/>
                  <w:tcBorders>
                    <w:tl2br w:val="nil"/>
                    <w:tr2bl w:val="nil"/>
                  </w:tcBorders>
                  <w:vAlign w:val="center"/>
                </w:tcPr>
                <w:p w14:paraId="3A84FE6F">
                  <w:pPr>
                    <w:pStyle w:val="693"/>
                    <w:rPr>
                      <w:rFonts w:eastAsia="宋体"/>
                      <w:color w:val="auto"/>
                      <w:kern w:val="0"/>
                    </w:rPr>
                  </w:pPr>
                  <w:r>
                    <w:rPr>
                      <w:rFonts w:hint="eastAsia" w:eastAsia="宋体"/>
                      <w:b w:val="0"/>
                      <w:bCs/>
                      <w:color w:val="auto"/>
                      <w:kern w:val="0"/>
                      <w:lang w:val="en-US" w:eastAsia="zh-CN"/>
                    </w:rPr>
                    <w:t>2</w:t>
                  </w:r>
                </w:p>
              </w:tc>
              <w:tc>
                <w:tcPr>
                  <w:tcW w:w="3418" w:type="dxa"/>
                  <w:tcBorders>
                    <w:tl2br w:val="nil"/>
                    <w:tr2bl w:val="nil"/>
                  </w:tcBorders>
                  <w:vAlign w:val="center"/>
                </w:tcPr>
                <w:p w14:paraId="3A84FE70">
                  <w:pPr>
                    <w:pStyle w:val="656"/>
                    <w:snapToGrid w:val="0"/>
                    <w:rPr>
                      <w:rFonts w:eastAsia="宋体"/>
                      <w:color w:val="auto"/>
                      <w:kern w:val="0"/>
                    </w:rPr>
                  </w:pPr>
                  <w:r>
                    <w:rPr>
                      <w:rFonts w:hint="eastAsia" w:eastAsia="宋体"/>
                      <w:color w:val="auto"/>
                      <w:sz w:val="21"/>
                      <w:szCs w:val="21"/>
                      <w:lang w:val="en-US" w:eastAsia="zh-CN"/>
                    </w:rPr>
                    <w:t>SO</w:t>
                  </w:r>
                  <w:r>
                    <w:rPr>
                      <w:rFonts w:hint="eastAsia" w:eastAsia="宋体"/>
                      <w:color w:val="auto"/>
                      <w:sz w:val="21"/>
                      <w:szCs w:val="21"/>
                      <w:vertAlign w:val="subscript"/>
                      <w:lang w:val="en-US" w:eastAsia="zh-CN"/>
                    </w:rPr>
                    <w:t>2</w:t>
                  </w:r>
                </w:p>
              </w:tc>
              <w:tc>
                <w:tcPr>
                  <w:tcW w:w="3324" w:type="dxa"/>
                  <w:tcBorders>
                    <w:tl2br w:val="nil"/>
                    <w:tr2bl w:val="nil"/>
                  </w:tcBorders>
                  <w:vAlign w:val="center"/>
                </w:tcPr>
                <w:p w14:paraId="3A84FE71">
                  <w:pPr>
                    <w:pStyle w:val="656"/>
                    <w:snapToGrid w:val="0"/>
                    <w:rPr>
                      <w:color w:val="auto"/>
                      <w:kern w:val="0"/>
                    </w:rPr>
                  </w:pPr>
                  <w:r>
                    <w:rPr>
                      <w:rFonts w:hint="eastAsia" w:eastAsia="宋体"/>
                      <w:color w:val="auto"/>
                      <w:sz w:val="21"/>
                      <w:szCs w:val="21"/>
                      <w:lang w:val="en-US" w:eastAsia="zh-CN"/>
                    </w:rPr>
                    <w:t>0.032</w:t>
                  </w:r>
                </w:p>
              </w:tc>
            </w:tr>
            <w:tr w14:paraId="22CA7AE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119" w:type="dxa"/>
                  <w:tcBorders>
                    <w:tl2br w:val="nil"/>
                    <w:tr2bl w:val="nil"/>
                  </w:tcBorders>
                  <w:vAlign w:val="center"/>
                </w:tcPr>
                <w:p w14:paraId="431C2C46">
                  <w:pPr>
                    <w:pStyle w:val="693"/>
                    <w:rPr>
                      <w:rFonts w:hint="eastAsia" w:eastAsia="宋体"/>
                      <w:color w:val="auto"/>
                      <w:kern w:val="0"/>
                    </w:rPr>
                  </w:pPr>
                  <w:r>
                    <w:rPr>
                      <w:rFonts w:hint="eastAsia" w:eastAsia="宋体"/>
                      <w:b w:val="0"/>
                      <w:bCs/>
                      <w:color w:val="auto"/>
                      <w:kern w:val="0"/>
                      <w:lang w:val="en-US" w:eastAsia="zh-CN"/>
                    </w:rPr>
                    <w:t>3</w:t>
                  </w:r>
                </w:p>
              </w:tc>
              <w:tc>
                <w:tcPr>
                  <w:tcW w:w="3418" w:type="dxa"/>
                  <w:tcBorders>
                    <w:tl2br w:val="nil"/>
                    <w:tr2bl w:val="nil"/>
                  </w:tcBorders>
                  <w:vAlign w:val="center"/>
                </w:tcPr>
                <w:p w14:paraId="5D055CFE">
                  <w:pPr>
                    <w:pStyle w:val="656"/>
                    <w:snapToGrid w:val="0"/>
                    <w:rPr>
                      <w:rFonts w:hint="eastAsia" w:eastAsia="宋体"/>
                      <w:bCs/>
                      <w:color w:val="auto"/>
                      <w:kern w:val="0"/>
                    </w:rPr>
                  </w:pPr>
                  <w:r>
                    <w:rPr>
                      <w:rFonts w:hint="eastAsia" w:eastAsia="宋体"/>
                      <w:color w:val="auto"/>
                      <w:sz w:val="21"/>
                      <w:szCs w:val="21"/>
                      <w:lang w:val="en-US" w:eastAsia="zh-CN"/>
                    </w:rPr>
                    <w:t>NOx</w:t>
                  </w:r>
                </w:p>
              </w:tc>
              <w:tc>
                <w:tcPr>
                  <w:tcW w:w="3324" w:type="dxa"/>
                  <w:tcBorders>
                    <w:tl2br w:val="nil"/>
                    <w:tr2bl w:val="nil"/>
                  </w:tcBorders>
                  <w:vAlign w:val="center"/>
                </w:tcPr>
                <w:p w14:paraId="423BDA31">
                  <w:pPr>
                    <w:pStyle w:val="656"/>
                    <w:snapToGrid w:val="0"/>
                    <w:rPr>
                      <w:rFonts w:hint="eastAsia"/>
                      <w:color w:val="auto"/>
                      <w:kern w:val="0"/>
                      <w:sz w:val="22"/>
                      <w:szCs w:val="22"/>
                      <w:lang w:bidi="ar"/>
                    </w:rPr>
                  </w:pPr>
                  <w:r>
                    <w:rPr>
                      <w:rFonts w:hint="eastAsia" w:eastAsia="宋体"/>
                      <w:color w:val="auto"/>
                      <w:sz w:val="21"/>
                      <w:szCs w:val="21"/>
                      <w:lang w:val="en-US" w:eastAsia="zh-CN"/>
                    </w:rPr>
                    <w:t>0.1</w:t>
                  </w:r>
                </w:p>
              </w:tc>
            </w:tr>
            <w:tr w14:paraId="03C136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119" w:type="dxa"/>
                  <w:tcBorders>
                    <w:tl2br w:val="nil"/>
                    <w:tr2bl w:val="nil"/>
                  </w:tcBorders>
                  <w:vAlign w:val="center"/>
                </w:tcPr>
                <w:p w14:paraId="09B13F2F">
                  <w:pPr>
                    <w:pStyle w:val="693"/>
                    <w:rPr>
                      <w:rFonts w:hint="eastAsia" w:eastAsia="宋体"/>
                      <w:color w:val="auto"/>
                      <w:kern w:val="0"/>
                    </w:rPr>
                  </w:pPr>
                  <w:r>
                    <w:rPr>
                      <w:rFonts w:hint="eastAsia" w:eastAsia="宋体"/>
                      <w:b w:val="0"/>
                      <w:bCs/>
                      <w:color w:val="auto"/>
                      <w:kern w:val="0"/>
                      <w:lang w:val="en-US" w:eastAsia="zh-CN"/>
                    </w:rPr>
                    <w:t>4</w:t>
                  </w:r>
                </w:p>
              </w:tc>
              <w:tc>
                <w:tcPr>
                  <w:tcW w:w="3418" w:type="dxa"/>
                  <w:tcBorders>
                    <w:tl2br w:val="nil"/>
                    <w:tr2bl w:val="nil"/>
                  </w:tcBorders>
                  <w:vAlign w:val="center"/>
                </w:tcPr>
                <w:p w14:paraId="3EAFF342">
                  <w:pPr>
                    <w:pStyle w:val="656"/>
                    <w:snapToGrid w:val="0"/>
                    <w:rPr>
                      <w:rFonts w:hint="eastAsia" w:eastAsia="宋体"/>
                      <w:bCs/>
                      <w:color w:val="auto"/>
                      <w:kern w:val="0"/>
                    </w:rPr>
                  </w:pPr>
                  <w:r>
                    <w:rPr>
                      <w:rFonts w:hint="eastAsia" w:eastAsia="宋体"/>
                      <w:color w:val="auto"/>
                      <w:sz w:val="21"/>
                      <w:szCs w:val="21"/>
                      <w:lang w:val="en-US" w:eastAsia="zh-CN"/>
                    </w:rPr>
                    <w:t>氨</w:t>
                  </w:r>
                </w:p>
              </w:tc>
              <w:tc>
                <w:tcPr>
                  <w:tcW w:w="3324" w:type="dxa"/>
                  <w:tcBorders>
                    <w:tl2br w:val="nil"/>
                    <w:tr2bl w:val="nil"/>
                  </w:tcBorders>
                  <w:vAlign w:val="center"/>
                </w:tcPr>
                <w:p w14:paraId="4403A598">
                  <w:pPr>
                    <w:pStyle w:val="656"/>
                    <w:snapToGrid w:val="0"/>
                    <w:rPr>
                      <w:rFonts w:hint="eastAsia"/>
                      <w:color w:val="auto"/>
                      <w:kern w:val="0"/>
                      <w:sz w:val="22"/>
                      <w:szCs w:val="22"/>
                      <w:lang w:bidi="ar"/>
                    </w:rPr>
                  </w:pPr>
                  <w:r>
                    <w:rPr>
                      <w:rFonts w:hint="eastAsia" w:eastAsia="宋体"/>
                      <w:color w:val="auto"/>
                      <w:sz w:val="21"/>
                      <w:szCs w:val="21"/>
                      <w:lang w:val="en-US" w:eastAsia="zh-CN"/>
                    </w:rPr>
                    <w:t>0.00424</w:t>
                  </w:r>
                </w:p>
              </w:tc>
            </w:tr>
            <w:tr w14:paraId="77A863F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119" w:type="dxa"/>
                  <w:tcBorders>
                    <w:tl2br w:val="nil"/>
                    <w:tr2bl w:val="nil"/>
                  </w:tcBorders>
                  <w:vAlign w:val="center"/>
                </w:tcPr>
                <w:p w14:paraId="01BA61CC">
                  <w:pPr>
                    <w:pStyle w:val="693"/>
                    <w:rPr>
                      <w:rFonts w:hint="eastAsia" w:eastAsia="宋体"/>
                      <w:color w:val="auto"/>
                      <w:kern w:val="0"/>
                    </w:rPr>
                  </w:pPr>
                  <w:r>
                    <w:rPr>
                      <w:rFonts w:hint="eastAsia" w:eastAsia="宋体"/>
                      <w:b w:val="0"/>
                      <w:bCs/>
                      <w:color w:val="auto"/>
                      <w:kern w:val="0"/>
                      <w:lang w:val="en-US" w:eastAsia="zh-CN"/>
                    </w:rPr>
                    <w:t>5</w:t>
                  </w:r>
                </w:p>
              </w:tc>
              <w:tc>
                <w:tcPr>
                  <w:tcW w:w="3418" w:type="dxa"/>
                  <w:tcBorders>
                    <w:tl2br w:val="nil"/>
                    <w:tr2bl w:val="nil"/>
                  </w:tcBorders>
                  <w:vAlign w:val="center"/>
                </w:tcPr>
                <w:p w14:paraId="7475ECE3">
                  <w:pPr>
                    <w:pStyle w:val="656"/>
                    <w:snapToGrid w:val="0"/>
                    <w:rPr>
                      <w:rFonts w:hint="eastAsia" w:eastAsia="宋体"/>
                      <w:bCs/>
                      <w:color w:val="auto"/>
                      <w:kern w:val="0"/>
                    </w:rPr>
                  </w:pPr>
                  <w:r>
                    <w:rPr>
                      <w:rFonts w:hint="eastAsia" w:eastAsia="宋体"/>
                      <w:color w:val="auto"/>
                      <w:sz w:val="21"/>
                      <w:szCs w:val="21"/>
                      <w:lang w:val="en-US" w:eastAsia="zh-CN"/>
                    </w:rPr>
                    <w:t>CO</w:t>
                  </w:r>
                </w:p>
              </w:tc>
              <w:tc>
                <w:tcPr>
                  <w:tcW w:w="3324" w:type="dxa"/>
                  <w:tcBorders>
                    <w:tl2br w:val="nil"/>
                    <w:tr2bl w:val="nil"/>
                  </w:tcBorders>
                  <w:vAlign w:val="center"/>
                </w:tcPr>
                <w:p w14:paraId="189F0B05">
                  <w:pPr>
                    <w:pStyle w:val="656"/>
                    <w:snapToGrid w:val="0"/>
                    <w:rPr>
                      <w:rFonts w:hint="eastAsia"/>
                      <w:color w:val="auto"/>
                      <w:kern w:val="0"/>
                      <w:sz w:val="22"/>
                      <w:szCs w:val="22"/>
                      <w:lang w:bidi="ar"/>
                    </w:rPr>
                  </w:pPr>
                  <w:r>
                    <w:rPr>
                      <w:rFonts w:hint="eastAsia" w:eastAsia="宋体"/>
                      <w:color w:val="auto"/>
                      <w:sz w:val="21"/>
                      <w:szCs w:val="21"/>
                      <w:lang w:val="en-US" w:eastAsia="zh-CN"/>
                    </w:rPr>
                    <w:t>0.032</w:t>
                  </w:r>
                </w:p>
              </w:tc>
            </w:tr>
            <w:tr w14:paraId="3CB2ADF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119" w:type="dxa"/>
                  <w:tcBorders>
                    <w:tl2br w:val="nil"/>
                    <w:tr2bl w:val="nil"/>
                  </w:tcBorders>
                  <w:vAlign w:val="center"/>
                </w:tcPr>
                <w:p w14:paraId="1AB448B8">
                  <w:pPr>
                    <w:pStyle w:val="693"/>
                    <w:rPr>
                      <w:rFonts w:hint="eastAsia" w:eastAsia="宋体"/>
                      <w:color w:val="auto"/>
                      <w:kern w:val="0"/>
                    </w:rPr>
                  </w:pPr>
                  <w:r>
                    <w:rPr>
                      <w:rFonts w:hint="eastAsia" w:eastAsia="宋体"/>
                      <w:b w:val="0"/>
                      <w:bCs/>
                      <w:color w:val="auto"/>
                      <w:kern w:val="0"/>
                      <w:lang w:val="en-US" w:eastAsia="zh-CN"/>
                    </w:rPr>
                    <w:t>6</w:t>
                  </w:r>
                </w:p>
              </w:tc>
              <w:tc>
                <w:tcPr>
                  <w:tcW w:w="3418" w:type="dxa"/>
                  <w:tcBorders>
                    <w:tl2br w:val="nil"/>
                    <w:tr2bl w:val="nil"/>
                  </w:tcBorders>
                  <w:vAlign w:val="center"/>
                </w:tcPr>
                <w:p w14:paraId="4D212EBA">
                  <w:pPr>
                    <w:pStyle w:val="656"/>
                    <w:snapToGrid w:val="0"/>
                    <w:rPr>
                      <w:rFonts w:hint="eastAsia" w:eastAsia="宋体"/>
                      <w:bCs/>
                      <w:color w:val="auto"/>
                      <w:kern w:val="0"/>
                    </w:rPr>
                  </w:pPr>
                  <w:r>
                    <w:rPr>
                      <w:rFonts w:hint="eastAsia" w:eastAsia="宋体"/>
                      <w:color w:val="auto"/>
                      <w:sz w:val="21"/>
                      <w:szCs w:val="21"/>
                      <w:lang w:val="en-US" w:eastAsia="zh-CN"/>
                    </w:rPr>
                    <w:t>HCl</w:t>
                  </w:r>
                </w:p>
              </w:tc>
              <w:tc>
                <w:tcPr>
                  <w:tcW w:w="3324" w:type="dxa"/>
                  <w:tcBorders>
                    <w:tl2br w:val="nil"/>
                    <w:tr2bl w:val="nil"/>
                  </w:tcBorders>
                  <w:vAlign w:val="center"/>
                </w:tcPr>
                <w:p w14:paraId="41916F16">
                  <w:pPr>
                    <w:pStyle w:val="656"/>
                    <w:snapToGrid w:val="0"/>
                    <w:rPr>
                      <w:rFonts w:hint="eastAsia"/>
                      <w:color w:val="auto"/>
                      <w:kern w:val="0"/>
                      <w:sz w:val="22"/>
                      <w:szCs w:val="22"/>
                      <w:lang w:bidi="ar"/>
                    </w:rPr>
                  </w:pPr>
                  <w:r>
                    <w:rPr>
                      <w:rFonts w:hint="eastAsia" w:eastAsia="宋体"/>
                      <w:color w:val="auto"/>
                      <w:sz w:val="21"/>
                      <w:szCs w:val="21"/>
                      <w:lang w:val="en-US" w:eastAsia="zh-CN"/>
                    </w:rPr>
                    <w:t>0.0212</w:t>
                  </w:r>
                </w:p>
              </w:tc>
            </w:tr>
            <w:tr w14:paraId="16B294F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119" w:type="dxa"/>
                  <w:tcBorders>
                    <w:tl2br w:val="nil"/>
                    <w:tr2bl w:val="nil"/>
                  </w:tcBorders>
                  <w:vAlign w:val="center"/>
                </w:tcPr>
                <w:p w14:paraId="3B07EBDF">
                  <w:pPr>
                    <w:pStyle w:val="693"/>
                    <w:rPr>
                      <w:rFonts w:hint="eastAsia" w:eastAsia="宋体"/>
                      <w:color w:val="auto"/>
                      <w:kern w:val="0"/>
                    </w:rPr>
                  </w:pPr>
                  <w:r>
                    <w:rPr>
                      <w:rFonts w:hint="eastAsia" w:eastAsia="宋体"/>
                      <w:b w:val="0"/>
                      <w:bCs/>
                      <w:color w:val="auto"/>
                      <w:kern w:val="0"/>
                      <w:lang w:val="en-US" w:eastAsia="zh-CN"/>
                    </w:rPr>
                    <w:t>7</w:t>
                  </w:r>
                </w:p>
              </w:tc>
              <w:tc>
                <w:tcPr>
                  <w:tcW w:w="3418" w:type="dxa"/>
                  <w:tcBorders>
                    <w:tl2br w:val="nil"/>
                    <w:tr2bl w:val="nil"/>
                  </w:tcBorders>
                  <w:vAlign w:val="center"/>
                </w:tcPr>
                <w:p w14:paraId="654FBC6C">
                  <w:pPr>
                    <w:pStyle w:val="656"/>
                    <w:snapToGrid w:val="0"/>
                    <w:rPr>
                      <w:rFonts w:hint="eastAsia" w:eastAsia="宋体"/>
                      <w:bCs/>
                      <w:color w:val="auto"/>
                      <w:kern w:val="0"/>
                    </w:rPr>
                  </w:pPr>
                  <w:r>
                    <w:rPr>
                      <w:rFonts w:hint="eastAsia" w:eastAsia="宋体"/>
                      <w:color w:val="auto"/>
                      <w:sz w:val="21"/>
                      <w:szCs w:val="21"/>
                      <w:lang w:val="en-US" w:eastAsia="zh-CN"/>
                    </w:rPr>
                    <w:t>非甲烷总烃</w:t>
                  </w:r>
                </w:p>
              </w:tc>
              <w:tc>
                <w:tcPr>
                  <w:tcW w:w="3324" w:type="dxa"/>
                  <w:tcBorders>
                    <w:tl2br w:val="nil"/>
                    <w:tr2bl w:val="nil"/>
                  </w:tcBorders>
                  <w:vAlign w:val="center"/>
                </w:tcPr>
                <w:p w14:paraId="39519C3D">
                  <w:pPr>
                    <w:pStyle w:val="656"/>
                    <w:snapToGrid w:val="0"/>
                    <w:rPr>
                      <w:rFonts w:hint="eastAsia"/>
                      <w:color w:val="auto"/>
                      <w:kern w:val="0"/>
                      <w:sz w:val="22"/>
                      <w:szCs w:val="22"/>
                      <w:lang w:bidi="ar"/>
                    </w:rPr>
                  </w:pPr>
                  <w:r>
                    <w:rPr>
                      <w:rFonts w:hint="eastAsia" w:eastAsia="宋体"/>
                      <w:color w:val="auto"/>
                      <w:sz w:val="21"/>
                      <w:szCs w:val="21"/>
                      <w:lang w:val="en-US" w:eastAsia="zh-CN"/>
                    </w:rPr>
                    <w:t>0.0017</w:t>
                  </w:r>
                </w:p>
              </w:tc>
            </w:tr>
            <w:tr w14:paraId="06E75D3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119" w:type="dxa"/>
                  <w:tcBorders>
                    <w:tl2br w:val="nil"/>
                    <w:tr2bl w:val="nil"/>
                  </w:tcBorders>
                  <w:vAlign w:val="center"/>
                </w:tcPr>
                <w:p w14:paraId="07854185">
                  <w:pPr>
                    <w:pStyle w:val="693"/>
                    <w:rPr>
                      <w:rFonts w:hint="eastAsia" w:eastAsia="宋体"/>
                      <w:color w:val="auto"/>
                      <w:kern w:val="0"/>
                    </w:rPr>
                  </w:pPr>
                  <w:r>
                    <w:rPr>
                      <w:rFonts w:hint="eastAsia" w:eastAsia="宋体"/>
                      <w:b w:val="0"/>
                      <w:bCs/>
                      <w:color w:val="auto"/>
                      <w:kern w:val="0"/>
                      <w:lang w:val="en-US" w:eastAsia="zh-CN"/>
                    </w:rPr>
                    <w:t>8</w:t>
                  </w:r>
                </w:p>
              </w:tc>
              <w:tc>
                <w:tcPr>
                  <w:tcW w:w="3418" w:type="dxa"/>
                  <w:tcBorders>
                    <w:tl2br w:val="nil"/>
                    <w:tr2bl w:val="nil"/>
                  </w:tcBorders>
                  <w:vAlign w:val="center"/>
                </w:tcPr>
                <w:p w14:paraId="362C1633">
                  <w:pPr>
                    <w:pStyle w:val="656"/>
                    <w:snapToGrid w:val="0"/>
                    <w:rPr>
                      <w:rFonts w:hint="eastAsia" w:eastAsia="宋体"/>
                      <w:bCs/>
                      <w:color w:val="auto"/>
                      <w:kern w:val="0"/>
                    </w:rPr>
                  </w:pPr>
                  <w:r>
                    <w:rPr>
                      <w:rFonts w:hint="eastAsia" w:eastAsia="宋体"/>
                      <w:color w:val="auto"/>
                      <w:sz w:val="21"/>
                      <w:szCs w:val="21"/>
                      <w:lang w:val="en-US" w:eastAsia="zh-CN"/>
                    </w:rPr>
                    <w:t>铜及其化合物（以Cu计）</w:t>
                  </w:r>
                </w:p>
              </w:tc>
              <w:tc>
                <w:tcPr>
                  <w:tcW w:w="3324" w:type="dxa"/>
                  <w:tcBorders>
                    <w:tl2br w:val="nil"/>
                    <w:tr2bl w:val="nil"/>
                  </w:tcBorders>
                  <w:vAlign w:val="center"/>
                </w:tcPr>
                <w:p w14:paraId="35F3BBDA">
                  <w:pPr>
                    <w:pStyle w:val="656"/>
                    <w:snapToGrid w:val="0"/>
                    <w:rPr>
                      <w:rFonts w:hint="eastAsia"/>
                      <w:color w:val="auto"/>
                      <w:kern w:val="0"/>
                      <w:sz w:val="22"/>
                      <w:szCs w:val="22"/>
                      <w:lang w:bidi="ar"/>
                    </w:rPr>
                  </w:pPr>
                  <w:r>
                    <w:rPr>
                      <w:rFonts w:hint="eastAsia" w:eastAsia="宋体"/>
                      <w:color w:val="auto"/>
                      <w:sz w:val="21"/>
                      <w:szCs w:val="21"/>
                      <w:lang w:val="en-US" w:eastAsia="zh-CN"/>
                    </w:rPr>
                    <w:t>0.0045</w:t>
                  </w:r>
                </w:p>
              </w:tc>
            </w:tr>
            <w:tr w14:paraId="7B82BCF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119" w:type="dxa"/>
                  <w:tcBorders>
                    <w:tl2br w:val="nil"/>
                    <w:tr2bl w:val="nil"/>
                  </w:tcBorders>
                  <w:vAlign w:val="center"/>
                </w:tcPr>
                <w:p w14:paraId="51BCCF29">
                  <w:pPr>
                    <w:pStyle w:val="693"/>
                    <w:rPr>
                      <w:rFonts w:hint="eastAsia" w:eastAsia="宋体"/>
                      <w:color w:val="auto"/>
                      <w:kern w:val="0"/>
                    </w:rPr>
                  </w:pPr>
                  <w:r>
                    <w:rPr>
                      <w:rFonts w:hint="eastAsia" w:eastAsia="宋体"/>
                      <w:b w:val="0"/>
                      <w:bCs/>
                      <w:color w:val="auto"/>
                      <w:kern w:val="0"/>
                      <w:lang w:val="en-US" w:eastAsia="zh-CN"/>
                    </w:rPr>
                    <w:t>9</w:t>
                  </w:r>
                </w:p>
              </w:tc>
              <w:tc>
                <w:tcPr>
                  <w:tcW w:w="3418" w:type="dxa"/>
                  <w:tcBorders>
                    <w:tl2br w:val="nil"/>
                    <w:tr2bl w:val="nil"/>
                  </w:tcBorders>
                  <w:vAlign w:val="center"/>
                </w:tcPr>
                <w:p w14:paraId="5DADC305">
                  <w:pPr>
                    <w:pStyle w:val="656"/>
                    <w:snapToGrid w:val="0"/>
                    <w:rPr>
                      <w:rFonts w:hint="eastAsia" w:eastAsia="宋体"/>
                      <w:bCs/>
                      <w:color w:val="auto"/>
                      <w:kern w:val="0"/>
                    </w:rPr>
                  </w:pPr>
                  <w:r>
                    <w:rPr>
                      <w:rFonts w:hint="eastAsia" w:eastAsia="宋体"/>
                      <w:color w:val="auto"/>
                      <w:sz w:val="21"/>
                      <w:szCs w:val="21"/>
                      <w:lang w:val="en-US" w:eastAsia="zh-CN"/>
                    </w:rPr>
                    <w:t>二噁英类</w:t>
                  </w:r>
                </w:p>
              </w:tc>
              <w:tc>
                <w:tcPr>
                  <w:tcW w:w="3324" w:type="dxa"/>
                  <w:tcBorders>
                    <w:tl2br w:val="nil"/>
                    <w:tr2bl w:val="nil"/>
                  </w:tcBorders>
                  <w:vAlign w:val="center"/>
                </w:tcPr>
                <w:p w14:paraId="54BA93F2">
                  <w:pPr>
                    <w:pStyle w:val="656"/>
                    <w:snapToGrid w:val="0"/>
                    <w:rPr>
                      <w:rFonts w:hint="eastAsia"/>
                      <w:color w:val="auto"/>
                      <w:kern w:val="0"/>
                      <w:sz w:val="22"/>
                      <w:szCs w:val="22"/>
                      <w:lang w:bidi="ar"/>
                    </w:rPr>
                  </w:pPr>
                  <w:r>
                    <w:rPr>
                      <w:rFonts w:hint="eastAsia" w:eastAsia="宋体"/>
                      <w:color w:val="auto"/>
                      <w:sz w:val="21"/>
                      <w:szCs w:val="21"/>
                      <w:lang w:val="en-US" w:eastAsia="zh-CN"/>
                    </w:rPr>
                    <w:t>0.65</w:t>
                  </w:r>
                  <w:r>
                    <w:rPr>
                      <w:rFonts w:hint="eastAsia"/>
                      <w:color w:val="auto"/>
                      <w:kern w:val="0"/>
                      <w:sz w:val="21"/>
                      <w:szCs w:val="21"/>
                    </w:rPr>
                    <w:t>ngTEQ/</w:t>
                  </w:r>
                  <w:r>
                    <w:rPr>
                      <w:rFonts w:hint="eastAsia"/>
                      <w:color w:val="auto"/>
                      <w:kern w:val="0"/>
                      <w:sz w:val="21"/>
                      <w:szCs w:val="21"/>
                      <w:lang w:val="en-US" w:eastAsia="zh-CN"/>
                    </w:rPr>
                    <w:t>a</w:t>
                  </w:r>
                </w:p>
              </w:tc>
            </w:tr>
          </w:tbl>
          <w:p w14:paraId="3A84FE73">
            <w:pPr>
              <w:pStyle w:val="5"/>
              <w:adjustRightInd w:val="0"/>
              <w:snapToGrid w:val="0"/>
              <w:spacing w:line="360" w:lineRule="auto"/>
              <w:ind w:firstLine="422" w:firstLineChars="200"/>
              <w:rPr>
                <w:b/>
                <w:color w:val="auto"/>
                <w:kern w:val="0"/>
                <w:szCs w:val="21"/>
              </w:rPr>
            </w:pPr>
            <w:r>
              <w:rPr>
                <w:rFonts w:hint="eastAsia"/>
                <w:b/>
                <w:color w:val="auto"/>
                <w:kern w:val="0"/>
                <w:szCs w:val="21"/>
              </w:rPr>
              <w:t>（7）卫生防护距离</w:t>
            </w:r>
          </w:p>
          <w:p w14:paraId="3A84FE74">
            <w:pPr>
              <w:pStyle w:val="697"/>
              <w:adjustRightInd w:val="0"/>
              <w:snapToGrid w:val="0"/>
              <w:spacing w:line="360" w:lineRule="auto"/>
              <w:ind w:firstLine="420"/>
              <w:jc w:val="both"/>
              <w:rPr>
                <w:rFonts w:eastAsia="宋体"/>
                <w:bCs/>
                <w:color w:val="auto"/>
                <w:sz w:val="21"/>
                <w:szCs w:val="21"/>
              </w:rPr>
            </w:pPr>
            <w:r>
              <w:rPr>
                <w:rFonts w:eastAsia="宋体"/>
                <w:bCs/>
                <w:color w:val="auto"/>
                <w:sz w:val="21"/>
                <w:szCs w:val="21"/>
              </w:rPr>
              <w:t>根据《大气有害物质无组织排放卫生防护距离推导技术导则》（GB/T39499-2020）规定，无组织排入有害气体的生产单元（生产区、车间、工段）与居民区之间应设置卫生防护距离，卫生防护距离L按下式计算：</w:t>
            </w:r>
          </w:p>
          <w:p w14:paraId="3A84FE75">
            <w:pPr>
              <w:adjustRightInd w:val="0"/>
              <w:snapToGrid w:val="0"/>
              <w:spacing w:line="360" w:lineRule="auto"/>
              <w:ind w:firstLine="420" w:firstLineChars="200"/>
              <w:jc w:val="center"/>
              <w:rPr>
                <w:color w:val="auto"/>
                <w:kern w:val="0"/>
              </w:rPr>
            </w:pPr>
            <w:r>
              <w:rPr>
                <w:color w:val="auto"/>
                <w:kern w:val="0"/>
              </w:rPr>
              <w:object>
                <v:shape id="_x0000_i1056" o:spt="75" type="#_x0000_t75" style="height:36.75pt;width:162pt;" o:ole="t" filled="f" o:preferrelative="t" stroked="f" coordsize="21600,21600">
                  <v:path/>
                  <v:fill on="f" focussize="0,0"/>
                  <v:stroke on="f" joinstyle="miter"/>
                  <v:imagedata r:id="rId75" o:title=""/>
                  <o:lock v:ext="edit" aspectratio="t"/>
                  <w10:wrap type="none"/>
                  <w10:anchorlock/>
                </v:shape>
                <o:OLEObject Type="Embed" ProgID="Equation.3" ShapeID="_x0000_i1056" DrawAspect="Content" ObjectID="_1468075756" r:id="rId74">
                  <o:LockedField>false</o:LockedField>
                </o:OLEObject>
              </w:object>
            </w:r>
          </w:p>
          <w:p w14:paraId="3A84FE76">
            <w:pPr>
              <w:widowControl/>
              <w:adjustRightInd w:val="0"/>
              <w:snapToGrid w:val="0"/>
              <w:spacing w:line="360" w:lineRule="auto"/>
              <w:ind w:firstLine="420" w:firstLineChars="200"/>
              <w:jc w:val="left"/>
              <w:rPr>
                <w:color w:val="auto"/>
                <w:kern w:val="0"/>
              </w:rPr>
            </w:pPr>
            <w:r>
              <w:rPr>
                <w:rFonts w:hint="eastAsia"/>
                <w:color w:val="auto"/>
                <w:kern w:val="0"/>
                <w:lang w:bidi="ar"/>
              </w:rPr>
              <w:t>式中：</w:t>
            </w:r>
            <w:r>
              <w:rPr>
                <w:i/>
                <w:iCs/>
                <w:color w:val="auto"/>
                <w:kern w:val="0"/>
                <w:lang w:bidi="ar"/>
              </w:rPr>
              <w:t>Q</w:t>
            </w:r>
            <w:r>
              <w:rPr>
                <w:i/>
                <w:iCs/>
                <w:color w:val="auto"/>
                <w:kern w:val="0"/>
                <w:vertAlign w:val="subscript"/>
                <w:lang w:bidi="ar"/>
              </w:rPr>
              <w:t>C</w:t>
            </w:r>
            <w:r>
              <w:rPr>
                <w:color w:val="auto"/>
                <w:kern w:val="0"/>
                <w:lang w:bidi="ar"/>
              </w:rPr>
              <w:t>——</w:t>
            </w:r>
            <w:r>
              <w:rPr>
                <w:rFonts w:hint="eastAsia"/>
                <w:color w:val="auto"/>
                <w:kern w:val="0"/>
                <w:lang w:bidi="ar"/>
              </w:rPr>
              <w:t>污染物的无组织排放量，</w:t>
            </w:r>
            <w:r>
              <w:rPr>
                <w:color w:val="auto"/>
                <w:kern w:val="0"/>
                <w:lang w:bidi="ar"/>
              </w:rPr>
              <w:t>kg/h</w:t>
            </w:r>
            <w:r>
              <w:rPr>
                <w:rFonts w:hint="eastAsia"/>
                <w:color w:val="auto"/>
                <w:kern w:val="0"/>
                <w:lang w:bidi="ar"/>
              </w:rPr>
              <w:t>；</w:t>
            </w:r>
          </w:p>
          <w:p w14:paraId="3A84FE77">
            <w:pPr>
              <w:widowControl/>
              <w:adjustRightInd w:val="0"/>
              <w:snapToGrid w:val="0"/>
              <w:spacing w:line="360" w:lineRule="auto"/>
              <w:ind w:firstLine="420" w:firstLineChars="200"/>
              <w:jc w:val="left"/>
              <w:rPr>
                <w:color w:val="auto"/>
                <w:kern w:val="0"/>
              </w:rPr>
            </w:pPr>
            <w:r>
              <w:rPr>
                <w:color w:val="auto"/>
                <w:kern w:val="0"/>
                <w:lang w:bidi="ar"/>
              </w:rPr>
              <w:t>C</w:t>
            </w:r>
            <w:r>
              <w:rPr>
                <w:color w:val="auto"/>
                <w:kern w:val="0"/>
                <w:vertAlign w:val="subscript"/>
                <w:lang w:bidi="ar"/>
              </w:rPr>
              <w:t>m</w:t>
            </w:r>
            <w:r>
              <w:rPr>
                <w:color w:val="auto"/>
                <w:kern w:val="0"/>
                <w:lang w:bidi="ar"/>
              </w:rPr>
              <w:t>——</w:t>
            </w:r>
            <w:r>
              <w:rPr>
                <w:rFonts w:hint="eastAsia"/>
                <w:color w:val="auto"/>
                <w:kern w:val="0"/>
                <w:lang w:bidi="ar"/>
              </w:rPr>
              <w:t>污染物的标准浓度限值，mg/m</w:t>
            </w:r>
            <w:r>
              <w:rPr>
                <w:color w:val="auto"/>
                <w:kern w:val="0"/>
                <w:vertAlign w:val="superscript"/>
                <w:lang w:bidi="ar"/>
              </w:rPr>
              <w:t>3</w:t>
            </w:r>
            <w:r>
              <w:rPr>
                <w:rFonts w:hint="eastAsia"/>
                <w:color w:val="auto"/>
                <w:kern w:val="0"/>
                <w:lang w:bidi="ar"/>
              </w:rPr>
              <w:t>；</w:t>
            </w:r>
          </w:p>
          <w:p w14:paraId="3A84FE78">
            <w:pPr>
              <w:widowControl/>
              <w:adjustRightInd w:val="0"/>
              <w:snapToGrid w:val="0"/>
              <w:spacing w:line="360" w:lineRule="auto"/>
              <w:ind w:firstLine="420" w:firstLineChars="200"/>
              <w:jc w:val="left"/>
              <w:rPr>
                <w:color w:val="auto"/>
                <w:kern w:val="0"/>
              </w:rPr>
            </w:pPr>
            <w:r>
              <w:rPr>
                <w:color w:val="auto"/>
                <w:kern w:val="0"/>
                <w:lang w:bidi="ar"/>
              </w:rPr>
              <w:t>L——</w:t>
            </w:r>
            <w:r>
              <w:rPr>
                <w:rFonts w:hint="eastAsia"/>
                <w:color w:val="auto"/>
                <w:kern w:val="0"/>
                <w:lang w:bidi="ar"/>
              </w:rPr>
              <w:t>卫生防护距离，</w:t>
            </w:r>
            <w:r>
              <w:rPr>
                <w:color w:val="auto"/>
                <w:kern w:val="0"/>
                <w:lang w:bidi="ar"/>
              </w:rPr>
              <w:t>m</w:t>
            </w:r>
            <w:r>
              <w:rPr>
                <w:rFonts w:hint="eastAsia"/>
                <w:color w:val="auto"/>
                <w:kern w:val="0"/>
                <w:lang w:bidi="ar"/>
              </w:rPr>
              <w:t>；</w:t>
            </w:r>
          </w:p>
          <w:p w14:paraId="3A84FE79">
            <w:pPr>
              <w:widowControl/>
              <w:adjustRightInd w:val="0"/>
              <w:snapToGrid w:val="0"/>
              <w:spacing w:line="360" w:lineRule="auto"/>
              <w:ind w:firstLine="420" w:firstLineChars="200"/>
              <w:jc w:val="left"/>
              <w:rPr>
                <w:color w:val="auto"/>
                <w:kern w:val="0"/>
              </w:rPr>
            </w:pPr>
            <w:r>
              <w:rPr>
                <w:rFonts w:hint="eastAsia"/>
                <w:color w:val="auto"/>
                <w:kern w:val="0"/>
                <w:lang w:bidi="ar"/>
              </w:rPr>
              <w:t>r</w:t>
            </w:r>
            <w:r>
              <w:rPr>
                <w:color w:val="auto"/>
                <w:kern w:val="0"/>
                <w:lang w:bidi="ar"/>
              </w:rPr>
              <w:t>——</w:t>
            </w:r>
            <w:r>
              <w:rPr>
                <w:rFonts w:hint="eastAsia"/>
                <w:color w:val="auto"/>
                <w:kern w:val="0"/>
                <w:lang w:bidi="ar"/>
              </w:rPr>
              <w:t>生产单元的等效半径，</w:t>
            </w:r>
            <w:r>
              <w:rPr>
                <w:color w:val="auto"/>
                <w:kern w:val="0"/>
                <w:lang w:bidi="ar"/>
              </w:rPr>
              <w:t>m</w:t>
            </w:r>
            <w:r>
              <w:rPr>
                <w:rFonts w:hint="eastAsia"/>
                <w:color w:val="auto"/>
                <w:kern w:val="0"/>
                <w:lang w:bidi="ar"/>
              </w:rPr>
              <w:t>；</w:t>
            </w:r>
          </w:p>
          <w:p w14:paraId="3A84FE7A">
            <w:pPr>
              <w:adjustRightInd w:val="0"/>
              <w:snapToGrid w:val="0"/>
              <w:spacing w:line="360" w:lineRule="auto"/>
              <w:ind w:firstLine="420" w:firstLineChars="200"/>
              <w:rPr>
                <w:color w:val="auto"/>
                <w:kern w:val="0"/>
              </w:rPr>
            </w:pPr>
            <w:r>
              <w:rPr>
                <w:color w:val="auto"/>
                <w:kern w:val="0"/>
                <w:lang w:bidi="ar"/>
              </w:rPr>
              <w:t>A</w:t>
            </w:r>
            <w:r>
              <w:rPr>
                <w:rFonts w:hint="eastAsia"/>
                <w:color w:val="auto"/>
                <w:kern w:val="0"/>
                <w:lang w:bidi="ar"/>
              </w:rPr>
              <w:t>、</w:t>
            </w:r>
            <w:r>
              <w:rPr>
                <w:color w:val="auto"/>
                <w:kern w:val="0"/>
                <w:lang w:bidi="ar"/>
              </w:rPr>
              <w:t>B</w:t>
            </w:r>
            <w:r>
              <w:rPr>
                <w:rFonts w:hint="eastAsia"/>
                <w:color w:val="auto"/>
                <w:kern w:val="0"/>
                <w:lang w:bidi="ar"/>
              </w:rPr>
              <w:t>、</w:t>
            </w:r>
            <w:r>
              <w:rPr>
                <w:color w:val="auto"/>
                <w:kern w:val="0"/>
                <w:lang w:bidi="ar"/>
              </w:rPr>
              <w:t>C</w:t>
            </w:r>
            <w:r>
              <w:rPr>
                <w:rFonts w:hint="eastAsia"/>
                <w:color w:val="auto"/>
                <w:kern w:val="0"/>
                <w:lang w:bidi="ar"/>
              </w:rPr>
              <w:t>、</w:t>
            </w:r>
            <w:r>
              <w:rPr>
                <w:color w:val="auto"/>
                <w:kern w:val="0"/>
                <w:lang w:bidi="ar"/>
              </w:rPr>
              <w:t>D——</w:t>
            </w:r>
            <w:r>
              <w:rPr>
                <w:rFonts w:hint="eastAsia"/>
                <w:color w:val="auto"/>
                <w:kern w:val="0"/>
                <w:lang w:bidi="ar"/>
              </w:rPr>
              <w:t>卫生防护距离计算系数，</w:t>
            </w:r>
            <w:r>
              <w:rPr>
                <w:bCs/>
                <w:color w:val="auto"/>
                <w:kern w:val="0"/>
              </w:rPr>
              <w:t>根据所在地近五年来平均风速及工业企业大气污染源构成类别查取。</w:t>
            </w:r>
          </w:p>
          <w:p w14:paraId="3A84FE7B">
            <w:pPr>
              <w:pStyle w:val="697"/>
              <w:spacing w:line="240" w:lineRule="auto"/>
              <w:ind w:firstLine="0" w:firstLineChars="0"/>
              <w:jc w:val="center"/>
              <w:rPr>
                <w:rFonts w:eastAsia="宋体"/>
                <w:b/>
                <w:color w:val="auto"/>
                <w:kern w:val="0"/>
                <w:sz w:val="21"/>
                <w:szCs w:val="21"/>
              </w:rPr>
            </w:pPr>
            <w:r>
              <w:rPr>
                <w:rFonts w:eastAsia="宋体"/>
                <w:b/>
                <w:color w:val="auto"/>
                <w:kern w:val="0"/>
                <w:sz w:val="21"/>
                <w:szCs w:val="21"/>
              </w:rPr>
              <w:t>表4-</w:t>
            </w:r>
            <w:r>
              <w:rPr>
                <w:rFonts w:hint="eastAsia" w:eastAsia="宋体"/>
                <w:b/>
                <w:color w:val="auto"/>
                <w:kern w:val="0"/>
                <w:sz w:val="21"/>
                <w:szCs w:val="21"/>
                <w:lang w:val="en-US" w:eastAsia="zh-CN"/>
              </w:rPr>
              <w:t>8</w:t>
            </w:r>
            <w:r>
              <w:rPr>
                <w:rFonts w:hint="eastAsia" w:eastAsia="宋体"/>
                <w:b/>
                <w:color w:val="auto"/>
                <w:kern w:val="0"/>
                <w:sz w:val="21"/>
                <w:szCs w:val="21"/>
              </w:rPr>
              <w:t xml:space="preserve">   </w:t>
            </w:r>
            <w:r>
              <w:rPr>
                <w:rFonts w:eastAsia="宋体"/>
                <w:b/>
                <w:color w:val="auto"/>
                <w:kern w:val="0"/>
                <w:sz w:val="21"/>
                <w:szCs w:val="21"/>
              </w:rPr>
              <w:t>卫生防护距离计算系数表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919"/>
              <w:gridCol w:w="3990"/>
              <w:gridCol w:w="537"/>
              <w:gridCol w:w="576"/>
              <w:gridCol w:w="487"/>
              <w:gridCol w:w="564"/>
              <w:gridCol w:w="597"/>
              <w:gridCol w:w="547"/>
              <w:gridCol w:w="390"/>
              <w:gridCol w:w="514"/>
              <w:gridCol w:w="474"/>
            </w:tblGrid>
            <w:tr w14:paraId="3A84FE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restart"/>
                  <w:tcBorders>
                    <w:tl2br w:val="nil"/>
                    <w:tr2bl w:val="nil"/>
                  </w:tcBorders>
                  <w:noWrap/>
                  <w:vAlign w:val="center"/>
                </w:tcPr>
                <w:p w14:paraId="3A84FE7C">
                  <w:pPr>
                    <w:jc w:val="center"/>
                    <w:textAlignment w:val="center"/>
                    <w:rPr>
                      <w:b/>
                      <w:bCs/>
                      <w:color w:val="auto"/>
                      <w:kern w:val="0"/>
                    </w:rPr>
                  </w:pPr>
                  <w:r>
                    <w:rPr>
                      <w:b/>
                      <w:bCs/>
                      <w:color w:val="auto"/>
                      <w:kern w:val="0"/>
                    </w:rPr>
                    <w:t>计算系数</w:t>
                  </w:r>
                </w:p>
              </w:tc>
              <w:tc>
                <w:tcPr>
                  <w:tcW w:w="2079" w:type="pct"/>
                  <w:vMerge w:val="restart"/>
                  <w:tcBorders>
                    <w:tl2br w:val="nil"/>
                    <w:tr2bl w:val="nil"/>
                  </w:tcBorders>
                  <w:noWrap/>
                  <w:vAlign w:val="center"/>
                </w:tcPr>
                <w:p w14:paraId="3A84FE7D">
                  <w:pPr>
                    <w:jc w:val="center"/>
                    <w:textAlignment w:val="center"/>
                    <w:rPr>
                      <w:b/>
                      <w:bCs/>
                      <w:color w:val="auto"/>
                      <w:kern w:val="0"/>
                    </w:rPr>
                  </w:pPr>
                  <w:r>
                    <w:rPr>
                      <w:b/>
                      <w:bCs/>
                      <w:color w:val="auto"/>
                      <w:kern w:val="0"/>
                    </w:rPr>
                    <w:t>工业企业所在地区近5年平均风速/(m/s)</w:t>
                  </w:r>
                </w:p>
              </w:tc>
              <w:tc>
                <w:tcPr>
                  <w:tcW w:w="2441" w:type="pct"/>
                  <w:gridSpan w:val="9"/>
                  <w:tcBorders>
                    <w:tl2br w:val="nil"/>
                    <w:tr2bl w:val="nil"/>
                  </w:tcBorders>
                  <w:noWrap/>
                  <w:vAlign w:val="center"/>
                </w:tcPr>
                <w:p w14:paraId="3A84FE7E">
                  <w:pPr>
                    <w:jc w:val="center"/>
                    <w:textAlignment w:val="center"/>
                    <w:rPr>
                      <w:b/>
                      <w:bCs/>
                      <w:color w:val="auto"/>
                      <w:kern w:val="0"/>
                    </w:rPr>
                  </w:pPr>
                  <w:r>
                    <w:rPr>
                      <w:b/>
                      <w:bCs/>
                      <w:color w:val="auto"/>
                      <w:kern w:val="0"/>
                    </w:rPr>
                    <w:t>卫生防护距离L/m</w:t>
                  </w:r>
                </w:p>
              </w:tc>
            </w:tr>
            <w:tr w14:paraId="3A84FE8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tcBorders>
                    <w:tl2br w:val="nil"/>
                    <w:tr2bl w:val="nil"/>
                  </w:tcBorders>
                  <w:noWrap/>
                  <w:vAlign w:val="center"/>
                </w:tcPr>
                <w:p w14:paraId="3A84FE80">
                  <w:pPr>
                    <w:jc w:val="center"/>
                    <w:textAlignment w:val="center"/>
                    <w:rPr>
                      <w:b/>
                      <w:bCs/>
                      <w:color w:val="auto"/>
                      <w:kern w:val="0"/>
                    </w:rPr>
                  </w:pPr>
                </w:p>
              </w:tc>
              <w:tc>
                <w:tcPr>
                  <w:tcW w:w="2079" w:type="pct"/>
                  <w:vMerge w:val="continue"/>
                  <w:tcBorders>
                    <w:tl2br w:val="nil"/>
                    <w:tr2bl w:val="nil"/>
                  </w:tcBorders>
                  <w:noWrap/>
                  <w:vAlign w:val="center"/>
                </w:tcPr>
                <w:p w14:paraId="3A84FE81">
                  <w:pPr>
                    <w:jc w:val="center"/>
                    <w:textAlignment w:val="center"/>
                    <w:rPr>
                      <w:b/>
                      <w:bCs/>
                      <w:color w:val="auto"/>
                      <w:kern w:val="0"/>
                    </w:rPr>
                  </w:pPr>
                </w:p>
              </w:tc>
              <w:tc>
                <w:tcPr>
                  <w:tcW w:w="834" w:type="pct"/>
                  <w:gridSpan w:val="3"/>
                  <w:tcBorders>
                    <w:tl2br w:val="nil"/>
                    <w:tr2bl w:val="nil"/>
                  </w:tcBorders>
                  <w:noWrap/>
                  <w:vAlign w:val="center"/>
                </w:tcPr>
                <w:p w14:paraId="3A84FE82">
                  <w:pPr>
                    <w:jc w:val="center"/>
                    <w:textAlignment w:val="center"/>
                    <w:rPr>
                      <w:color w:val="auto"/>
                      <w:kern w:val="0"/>
                    </w:rPr>
                  </w:pPr>
                  <w:r>
                    <w:rPr>
                      <w:color w:val="auto"/>
                      <w:kern w:val="0"/>
                    </w:rPr>
                    <w:t>L≤1000</w:t>
                  </w:r>
                </w:p>
              </w:tc>
              <w:tc>
                <w:tcPr>
                  <w:tcW w:w="890" w:type="pct"/>
                  <w:gridSpan w:val="3"/>
                  <w:tcBorders>
                    <w:tl2br w:val="nil"/>
                    <w:tr2bl w:val="nil"/>
                  </w:tcBorders>
                  <w:noWrap/>
                  <w:vAlign w:val="center"/>
                </w:tcPr>
                <w:p w14:paraId="3A84FE83">
                  <w:pPr>
                    <w:jc w:val="center"/>
                    <w:textAlignment w:val="center"/>
                    <w:rPr>
                      <w:color w:val="auto"/>
                      <w:kern w:val="0"/>
                    </w:rPr>
                  </w:pPr>
                  <w:r>
                    <w:rPr>
                      <w:color w:val="auto"/>
                      <w:kern w:val="0"/>
                    </w:rPr>
                    <w:t>1000&lt;L≤2000</w:t>
                  </w:r>
                </w:p>
              </w:tc>
              <w:tc>
                <w:tcPr>
                  <w:tcW w:w="716" w:type="pct"/>
                  <w:gridSpan w:val="3"/>
                  <w:tcBorders>
                    <w:tl2br w:val="nil"/>
                    <w:tr2bl w:val="nil"/>
                  </w:tcBorders>
                  <w:noWrap/>
                  <w:vAlign w:val="center"/>
                </w:tcPr>
                <w:p w14:paraId="3A84FE84">
                  <w:pPr>
                    <w:jc w:val="center"/>
                    <w:textAlignment w:val="center"/>
                    <w:rPr>
                      <w:color w:val="auto"/>
                      <w:kern w:val="0"/>
                    </w:rPr>
                  </w:pPr>
                  <w:r>
                    <w:rPr>
                      <w:color w:val="auto"/>
                      <w:kern w:val="0"/>
                    </w:rPr>
                    <w:t>L&gt;2000</w:t>
                  </w:r>
                </w:p>
              </w:tc>
            </w:tr>
            <w:tr w14:paraId="3A84FE8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tcBorders>
                    <w:tl2br w:val="nil"/>
                    <w:tr2bl w:val="nil"/>
                  </w:tcBorders>
                  <w:noWrap/>
                  <w:vAlign w:val="center"/>
                </w:tcPr>
                <w:p w14:paraId="3A84FE86">
                  <w:pPr>
                    <w:jc w:val="center"/>
                    <w:textAlignment w:val="center"/>
                    <w:rPr>
                      <w:b/>
                      <w:bCs/>
                      <w:color w:val="auto"/>
                      <w:kern w:val="0"/>
                    </w:rPr>
                  </w:pPr>
                </w:p>
              </w:tc>
              <w:tc>
                <w:tcPr>
                  <w:tcW w:w="2079" w:type="pct"/>
                  <w:vMerge w:val="continue"/>
                  <w:tcBorders>
                    <w:tl2br w:val="nil"/>
                    <w:tr2bl w:val="nil"/>
                  </w:tcBorders>
                  <w:noWrap/>
                  <w:vAlign w:val="center"/>
                </w:tcPr>
                <w:p w14:paraId="3A84FE87">
                  <w:pPr>
                    <w:jc w:val="center"/>
                    <w:textAlignment w:val="center"/>
                    <w:rPr>
                      <w:b/>
                      <w:bCs/>
                      <w:color w:val="auto"/>
                      <w:kern w:val="0"/>
                    </w:rPr>
                  </w:pPr>
                </w:p>
              </w:tc>
              <w:tc>
                <w:tcPr>
                  <w:tcW w:w="2441" w:type="pct"/>
                  <w:gridSpan w:val="9"/>
                  <w:tcBorders>
                    <w:tl2br w:val="nil"/>
                    <w:tr2bl w:val="nil"/>
                  </w:tcBorders>
                  <w:noWrap/>
                  <w:vAlign w:val="center"/>
                </w:tcPr>
                <w:p w14:paraId="3A84FE88">
                  <w:pPr>
                    <w:jc w:val="center"/>
                    <w:textAlignment w:val="center"/>
                    <w:rPr>
                      <w:b/>
                      <w:bCs/>
                      <w:color w:val="auto"/>
                      <w:kern w:val="0"/>
                    </w:rPr>
                  </w:pPr>
                  <w:r>
                    <w:rPr>
                      <w:b/>
                      <w:bCs/>
                      <w:color w:val="auto"/>
                      <w:kern w:val="0"/>
                    </w:rPr>
                    <w:t>工业大气污染源构成类别</w:t>
                  </w:r>
                </w:p>
              </w:tc>
            </w:tr>
            <w:tr w14:paraId="3A84FE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tcBorders>
                    <w:tl2br w:val="nil"/>
                    <w:tr2bl w:val="nil"/>
                  </w:tcBorders>
                  <w:noWrap/>
                  <w:vAlign w:val="center"/>
                </w:tcPr>
                <w:p w14:paraId="3A84FE8A">
                  <w:pPr>
                    <w:jc w:val="center"/>
                    <w:textAlignment w:val="center"/>
                    <w:rPr>
                      <w:b/>
                      <w:bCs/>
                      <w:color w:val="auto"/>
                      <w:kern w:val="0"/>
                    </w:rPr>
                  </w:pPr>
                </w:p>
              </w:tc>
              <w:tc>
                <w:tcPr>
                  <w:tcW w:w="2079" w:type="pct"/>
                  <w:vMerge w:val="continue"/>
                  <w:tcBorders>
                    <w:tl2br w:val="nil"/>
                    <w:tr2bl w:val="nil"/>
                  </w:tcBorders>
                  <w:noWrap/>
                  <w:vAlign w:val="center"/>
                </w:tcPr>
                <w:p w14:paraId="3A84FE8B">
                  <w:pPr>
                    <w:jc w:val="center"/>
                    <w:textAlignment w:val="center"/>
                    <w:rPr>
                      <w:b/>
                      <w:bCs/>
                      <w:color w:val="auto"/>
                      <w:kern w:val="0"/>
                    </w:rPr>
                  </w:pPr>
                </w:p>
              </w:tc>
              <w:tc>
                <w:tcPr>
                  <w:tcW w:w="280" w:type="pct"/>
                  <w:tcBorders>
                    <w:tl2br w:val="nil"/>
                    <w:tr2bl w:val="nil"/>
                  </w:tcBorders>
                  <w:noWrap/>
                  <w:vAlign w:val="center"/>
                </w:tcPr>
                <w:p w14:paraId="3A84FE8C">
                  <w:pPr>
                    <w:jc w:val="center"/>
                    <w:textAlignment w:val="center"/>
                    <w:rPr>
                      <w:color w:val="auto"/>
                      <w:kern w:val="0"/>
                    </w:rPr>
                  </w:pPr>
                  <w:r>
                    <w:rPr>
                      <w:color w:val="auto"/>
                      <w:kern w:val="0"/>
                    </w:rPr>
                    <w:t>Ⅰ</w:t>
                  </w:r>
                </w:p>
              </w:tc>
              <w:tc>
                <w:tcPr>
                  <w:tcW w:w="300" w:type="pct"/>
                  <w:tcBorders>
                    <w:tl2br w:val="nil"/>
                    <w:tr2bl w:val="nil"/>
                  </w:tcBorders>
                  <w:noWrap/>
                  <w:vAlign w:val="center"/>
                </w:tcPr>
                <w:p w14:paraId="3A84FE8D">
                  <w:pPr>
                    <w:jc w:val="center"/>
                    <w:textAlignment w:val="center"/>
                    <w:rPr>
                      <w:color w:val="auto"/>
                      <w:kern w:val="0"/>
                    </w:rPr>
                  </w:pPr>
                  <w:r>
                    <w:rPr>
                      <w:color w:val="auto"/>
                      <w:kern w:val="0"/>
                    </w:rPr>
                    <w:t>Ⅱ</w:t>
                  </w:r>
                </w:p>
              </w:tc>
              <w:tc>
                <w:tcPr>
                  <w:tcW w:w="253" w:type="pct"/>
                  <w:tcBorders>
                    <w:tl2br w:val="nil"/>
                    <w:tr2bl w:val="nil"/>
                  </w:tcBorders>
                  <w:noWrap/>
                  <w:vAlign w:val="center"/>
                </w:tcPr>
                <w:p w14:paraId="3A84FE8E">
                  <w:pPr>
                    <w:jc w:val="center"/>
                    <w:textAlignment w:val="center"/>
                    <w:rPr>
                      <w:color w:val="auto"/>
                      <w:kern w:val="0"/>
                    </w:rPr>
                  </w:pPr>
                  <w:r>
                    <w:rPr>
                      <w:color w:val="auto"/>
                      <w:kern w:val="0"/>
                    </w:rPr>
                    <w:t>Ⅲ</w:t>
                  </w:r>
                </w:p>
              </w:tc>
              <w:tc>
                <w:tcPr>
                  <w:tcW w:w="294" w:type="pct"/>
                  <w:tcBorders>
                    <w:tl2br w:val="nil"/>
                    <w:tr2bl w:val="nil"/>
                  </w:tcBorders>
                  <w:noWrap/>
                  <w:vAlign w:val="center"/>
                </w:tcPr>
                <w:p w14:paraId="3A84FE8F">
                  <w:pPr>
                    <w:jc w:val="center"/>
                    <w:textAlignment w:val="center"/>
                    <w:rPr>
                      <w:color w:val="auto"/>
                      <w:kern w:val="0"/>
                    </w:rPr>
                  </w:pPr>
                  <w:r>
                    <w:rPr>
                      <w:color w:val="auto"/>
                      <w:kern w:val="0"/>
                    </w:rPr>
                    <w:t>Ⅰ</w:t>
                  </w:r>
                </w:p>
              </w:tc>
              <w:tc>
                <w:tcPr>
                  <w:tcW w:w="311" w:type="pct"/>
                  <w:tcBorders>
                    <w:tl2br w:val="nil"/>
                    <w:tr2bl w:val="nil"/>
                  </w:tcBorders>
                  <w:noWrap/>
                  <w:vAlign w:val="center"/>
                </w:tcPr>
                <w:p w14:paraId="3A84FE90">
                  <w:pPr>
                    <w:jc w:val="center"/>
                    <w:textAlignment w:val="center"/>
                    <w:rPr>
                      <w:color w:val="auto"/>
                      <w:kern w:val="0"/>
                    </w:rPr>
                  </w:pPr>
                  <w:r>
                    <w:rPr>
                      <w:color w:val="auto"/>
                      <w:kern w:val="0"/>
                    </w:rPr>
                    <w:t>Ⅱ</w:t>
                  </w:r>
                </w:p>
              </w:tc>
              <w:tc>
                <w:tcPr>
                  <w:tcW w:w="284" w:type="pct"/>
                  <w:tcBorders>
                    <w:tl2br w:val="nil"/>
                    <w:tr2bl w:val="nil"/>
                  </w:tcBorders>
                  <w:noWrap/>
                  <w:vAlign w:val="center"/>
                </w:tcPr>
                <w:p w14:paraId="3A84FE91">
                  <w:pPr>
                    <w:jc w:val="center"/>
                    <w:textAlignment w:val="center"/>
                    <w:rPr>
                      <w:color w:val="auto"/>
                      <w:kern w:val="0"/>
                    </w:rPr>
                  </w:pPr>
                  <w:r>
                    <w:rPr>
                      <w:color w:val="auto"/>
                      <w:kern w:val="0"/>
                    </w:rPr>
                    <w:t>Ⅲ</w:t>
                  </w:r>
                </w:p>
              </w:tc>
              <w:tc>
                <w:tcPr>
                  <w:tcW w:w="203" w:type="pct"/>
                  <w:tcBorders>
                    <w:tl2br w:val="nil"/>
                    <w:tr2bl w:val="nil"/>
                  </w:tcBorders>
                  <w:noWrap/>
                  <w:vAlign w:val="center"/>
                </w:tcPr>
                <w:p w14:paraId="3A84FE92">
                  <w:pPr>
                    <w:jc w:val="center"/>
                    <w:textAlignment w:val="center"/>
                    <w:rPr>
                      <w:color w:val="auto"/>
                      <w:kern w:val="0"/>
                    </w:rPr>
                  </w:pPr>
                  <w:r>
                    <w:rPr>
                      <w:color w:val="auto"/>
                      <w:kern w:val="0"/>
                    </w:rPr>
                    <w:t>Ⅰ</w:t>
                  </w:r>
                </w:p>
              </w:tc>
              <w:tc>
                <w:tcPr>
                  <w:tcW w:w="268" w:type="pct"/>
                  <w:tcBorders>
                    <w:tl2br w:val="nil"/>
                    <w:tr2bl w:val="nil"/>
                  </w:tcBorders>
                  <w:noWrap/>
                  <w:vAlign w:val="center"/>
                </w:tcPr>
                <w:p w14:paraId="3A84FE93">
                  <w:pPr>
                    <w:jc w:val="center"/>
                    <w:textAlignment w:val="center"/>
                    <w:rPr>
                      <w:color w:val="auto"/>
                      <w:kern w:val="0"/>
                    </w:rPr>
                  </w:pPr>
                  <w:r>
                    <w:rPr>
                      <w:color w:val="auto"/>
                      <w:kern w:val="0"/>
                    </w:rPr>
                    <w:t>Ⅱ</w:t>
                  </w:r>
                </w:p>
              </w:tc>
              <w:tc>
                <w:tcPr>
                  <w:tcW w:w="244" w:type="pct"/>
                  <w:tcBorders>
                    <w:tl2br w:val="nil"/>
                    <w:tr2bl w:val="nil"/>
                  </w:tcBorders>
                  <w:noWrap/>
                  <w:vAlign w:val="center"/>
                </w:tcPr>
                <w:p w14:paraId="3A84FE94">
                  <w:pPr>
                    <w:jc w:val="center"/>
                    <w:textAlignment w:val="center"/>
                    <w:rPr>
                      <w:color w:val="auto"/>
                      <w:kern w:val="0"/>
                    </w:rPr>
                  </w:pPr>
                  <w:r>
                    <w:rPr>
                      <w:color w:val="auto"/>
                      <w:kern w:val="0"/>
                    </w:rPr>
                    <w:t>Ⅲ</w:t>
                  </w:r>
                </w:p>
              </w:tc>
            </w:tr>
            <w:tr w14:paraId="3A84FEA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restart"/>
                  <w:tcBorders>
                    <w:tl2br w:val="nil"/>
                    <w:tr2bl w:val="nil"/>
                  </w:tcBorders>
                  <w:noWrap/>
                  <w:vAlign w:val="center"/>
                </w:tcPr>
                <w:p w14:paraId="3A84FE96">
                  <w:pPr>
                    <w:jc w:val="center"/>
                    <w:textAlignment w:val="center"/>
                    <w:rPr>
                      <w:color w:val="auto"/>
                      <w:kern w:val="0"/>
                    </w:rPr>
                  </w:pPr>
                  <w:r>
                    <w:rPr>
                      <w:color w:val="auto"/>
                      <w:kern w:val="0"/>
                    </w:rPr>
                    <w:t>A</w:t>
                  </w:r>
                </w:p>
              </w:tc>
              <w:tc>
                <w:tcPr>
                  <w:tcW w:w="2079" w:type="pct"/>
                  <w:tcBorders>
                    <w:tl2br w:val="nil"/>
                    <w:tr2bl w:val="nil"/>
                  </w:tcBorders>
                  <w:noWrap/>
                  <w:vAlign w:val="center"/>
                </w:tcPr>
                <w:p w14:paraId="3A84FE97">
                  <w:pPr>
                    <w:jc w:val="center"/>
                    <w:textAlignment w:val="center"/>
                    <w:rPr>
                      <w:color w:val="auto"/>
                      <w:kern w:val="0"/>
                    </w:rPr>
                  </w:pPr>
                  <w:r>
                    <w:rPr>
                      <w:color w:val="auto"/>
                      <w:kern w:val="0"/>
                    </w:rPr>
                    <w:t>&lt;2</w:t>
                  </w:r>
                </w:p>
              </w:tc>
              <w:tc>
                <w:tcPr>
                  <w:tcW w:w="280" w:type="pct"/>
                  <w:tcBorders>
                    <w:tl2br w:val="nil"/>
                    <w:tr2bl w:val="nil"/>
                  </w:tcBorders>
                  <w:noWrap/>
                  <w:vAlign w:val="center"/>
                </w:tcPr>
                <w:p w14:paraId="3A84FE98">
                  <w:pPr>
                    <w:jc w:val="center"/>
                    <w:textAlignment w:val="center"/>
                    <w:rPr>
                      <w:color w:val="auto"/>
                      <w:kern w:val="0"/>
                    </w:rPr>
                  </w:pPr>
                  <w:r>
                    <w:rPr>
                      <w:color w:val="auto"/>
                      <w:kern w:val="0"/>
                    </w:rPr>
                    <w:t>400</w:t>
                  </w:r>
                </w:p>
              </w:tc>
              <w:tc>
                <w:tcPr>
                  <w:tcW w:w="300" w:type="pct"/>
                  <w:tcBorders>
                    <w:tl2br w:val="nil"/>
                    <w:tr2bl w:val="nil"/>
                  </w:tcBorders>
                  <w:noWrap/>
                  <w:vAlign w:val="center"/>
                </w:tcPr>
                <w:p w14:paraId="3A84FE99">
                  <w:pPr>
                    <w:jc w:val="center"/>
                    <w:textAlignment w:val="center"/>
                    <w:rPr>
                      <w:color w:val="auto"/>
                      <w:kern w:val="0"/>
                    </w:rPr>
                  </w:pPr>
                  <w:r>
                    <w:rPr>
                      <w:color w:val="auto"/>
                      <w:kern w:val="0"/>
                    </w:rPr>
                    <w:t>400</w:t>
                  </w:r>
                </w:p>
              </w:tc>
              <w:tc>
                <w:tcPr>
                  <w:tcW w:w="253" w:type="pct"/>
                  <w:tcBorders>
                    <w:tl2br w:val="nil"/>
                    <w:tr2bl w:val="nil"/>
                  </w:tcBorders>
                  <w:noWrap/>
                  <w:vAlign w:val="center"/>
                </w:tcPr>
                <w:p w14:paraId="3A84FE9A">
                  <w:pPr>
                    <w:jc w:val="center"/>
                    <w:textAlignment w:val="center"/>
                    <w:rPr>
                      <w:color w:val="auto"/>
                      <w:kern w:val="0"/>
                    </w:rPr>
                  </w:pPr>
                  <w:r>
                    <w:rPr>
                      <w:color w:val="auto"/>
                      <w:kern w:val="0"/>
                    </w:rPr>
                    <w:t>400</w:t>
                  </w:r>
                </w:p>
              </w:tc>
              <w:tc>
                <w:tcPr>
                  <w:tcW w:w="294" w:type="pct"/>
                  <w:tcBorders>
                    <w:tl2br w:val="nil"/>
                    <w:tr2bl w:val="nil"/>
                  </w:tcBorders>
                  <w:noWrap/>
                  <w:vAlign w:val="center"/>
                </w:tcPr>
                <w:p w14:paraId="3A84FE9B">
                  <w:pPr>
                    <w:jc w:val="center"/>
                    <w:textAlignment w:val="center"/>
                    <w:rPr>
                      <w:color w:val="auto"/>
                      <w:kern w:val="0"/>
                    </w:rPr>
                  </w:pPr>
                  <w:r>
                    <w:rPr>
                      <w:color w:val="auto"/>
                      <w:kern w:val="0"/>
                    </w:rPr>
                    <w:t>400</w:t>
                  </w:r>
                </w:p>
              </w:tc>
              <w:tc>
                <w:tcPr>
                  <w:tcW w:w="311" w:type="pct"/>
                  <w:tcBorders>
                    <w:tl2br w:val="nil"/>
                    <w:tr2bl w:val="nil"/>
                  </w:tcBorders>
                  <w:noWrap/>
                  <w:vAlign w:val="center"/>
                </w:tcPr>
                <w:p w14:paraId="3A84FE9C">
                  <w:pPr>
                    <w:jc w:val="center"/>
                    <w:textAlignment w:val="center"/>
                    <w:rPr>
                      <w:color w:val="auto"/>
                      <w:kern w:val="0"/>
                    </w:rPr>
                  </w:pPr>
                  <w:r>
                    <w:rPr>
                      <w:color w:val="auto"/>
                      <w:kern w:val="0"/>
                    </w:rPr>
                    <w:t>400</w:t>
                  </w:r>
                </w:p>
              </w:tc>
              <w:tc>
                <w:tcPr>
                  <w:tcW w:w="284" w:type="pct"/>
                  <w:tcBorders>
                    <w:tl2br w:val="nil"/>
                    <w:tr2bl w:val="nil"/>
                  </w:tcBorders>
                  <w:noWrap/>
                  <w:vAlign w:val="center"/>
                </w:tcPr>
                <w:p w14:paraId="3A84FE9D">
                  <w:pPr>
                    <w:jc w:val="center"/>
                    <w:textAlignment w:val="center"/>
                    <w:rPr>
                      <w:color w:val="auto"/>
                      <w:kern w:val="0"/>
                    </w:rPr>
                  </w:pPr>
                  <w:r>
                    <w:rPr>
                      <w:color w:val="auto"/>
                      <w:kern w:val="0"/>
                    </w:rPr>
                    <w:t>400</w:t>
                  </w:r>
                </w:p>
              </w:tc>
              <w:tc>
                <w:tcPr>
                  <w:tcW w:w="203" w:type="pct"/>
                  <w:tcBorders>
                    <w:tl2br w:val="nil"/>
                    <w:tr2bl w:val="nil"/>
                  </w:tcBorders>
                  <w:noWrap/>
                  <w:vAlign w:val="center"/>
                </w:tcPr>
                <w:p w14:paraId="3A84FE9E">
                  <w:pPr>
                    <w:jc w:val="center"/>
                    <w:textAlignment w:val="center"/>
                    <w:rPr>
                      <w:color w:val="auto"/>
                      <w:kern w:val="0"/>
                    </w:rPr>
                  </w:pPr>
                  <w:r>
                    <w:rPr>
                      <w:color w:val="auto"/>
                      <w:kern w:val="0"/>
                    </w:rPr>
                    <w:t>80</w:t>
                  </w:r>
                </w:p>
              </w:tc>
              <w:tc>
                <w:tcPr>
                  <w:tcW w:w="268" w:type="pct"/>
                  <w:tcBorders>
                    <w:tl2br w:val="nil"/>
                    <w:tr2bl w:val="nil"/>
                  </w:tcBorders>
                  <w:noWrap/>
                  <w:vAlign w:val="center"/>
                </w:tcPr>
                <w:p w14:paraId="3A84FE9F">
                  <w:pPr>
                    <w:jc w:val="center"/>
                    <w:textAlignment w:val="center"/>
                    <w:rPr>
                      <w:color w:val="auto"/>
                      <w:kern w:val="0"/>
                    </w:rPr>
                  </w:pPr>
                  <w:r>
                    <w:rPr>
                      <w:color w:val="auto"/>
                      <w:kern w:val="0"/>
                    </w:rPr>
                    <w:t>80</w:t>
                  </w:r>
                </w:p>
              </w:tc>
              <w:tc>
                <w:tcPr>
                  <w:tcW w:w="244" w:type="pct"/>
                  <w:tcBorders>
                    <w:tl2br w:val="nil"/>
                    <w:tr2bl w:val="nil"/>
                  </w:tcBorders>
                  <w:noWrap/>
                  <w:vAlign w:val="center"/>
                </w:tcPr>
                <w:p w14:paraId="3A84FEA0">
                  <w:pPr>
                    <w:jc w:val="center"/>
                    <w:textAlignment w:val="center"/>
                    <w:rPr>
                      <w:color w:val="auto"/>
                      <w:kern w:val="0"/>
                    </w:rPr>
                  </w:pPr>
                  <w:r>
                    <w:rPr>
                      <w:color w:val="auto"/>
                      <w:kern w:val="0"/>
                    </w:rPr>
                    <w:t>80</w:t>
                  </w:r>
                </w:p>
              </w:tc>
            </w:tr>
            <w:tr w14:paraId="3A84FE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tcBorders>
                    <w:tl2br w:val="nil"/>
                    <w:tr2bl w:val="nil"/>
                  </w:tcBorders>
                  <w:noWrap/>
                  <w:vAlign w:val="center"/>
                </w:tcPr>
                <w:p w14:paraId="3A84FEA2">
                  <w:pPr>
                    <w:jc w:val="center"/>
                    <w:textAlignment w:val="center"/>
                    <w:rPr>
                      <w:color w:val="auto"/>
                      <w:kern w:val="0"/>
                    </w:rPr>
                  </w:pPr>
                </w:p>
              </w:tc>
              <w:tc>
                <w:tcPr>
                  <w:tcW w:w="2079" w:type="pct"/>
                  <w:tcBorders>
                    <w:tl2br w:val="nil"/>
                    <w:tr2bl w:val="nil"/>
                  </w:tcBorders>
                  <w:noWrap/>
                  <w:vAlign w:val="center"/>
                </w:tcPr>
                <w:p w14:paraId="3A84FEA3">
                  <w:pPr>
                    <w:jc w:val="center"/>
                    <w:textAlignment w:val="center"/>
                    <w:rPr>
                      <w:color w:val="auto"/>
                      <w:kern w:val="0"/>
                    </w:rPr>
                  </w:pPr>
                  <w:r>
                    <w:rPr>
                      <w:color w:val="auto"/>
                      <w:kern w:val="0"/>
                    </w:rPr>
                    <w:t>2~4</w:t>
                  </w:r>
                </w:p>
              </w:tc>
              <w:tc>
                <w:tcPr>
                  <w:tcW w:w="280" w:type="pct"/>
                  <w:tcBorders>
                    <w:tl2br w:val="nil"/>
                    <w:tr2bl w:val="nil"/>
                  </w:tcBorders>
                  <w:noWrap/>
                  <w:vAlign w:val="center"/>
                </w:tcPr>
                <w:p w14:paraId="3A84FEA4">
                  <w:pPr>
                    <w:jc w:val="center"/>
                    <w:textAlignment w:val="center"/>
                    <w:rPr>
                      <w:color w:val="auto"/>
                      <w:kern w:val="0"/>
                    </w:rPr>
                  </w:pPr>
                  <w:r>
                    <w:rPr>
                      <w:color w:val="auto"/>
                      <w:kern w:val="0"/>
                    </w:rPr>
                    <w:t>700</w:t>
                  </w:r>
                </w:p>
              </w:tc>
              <w:tc>
                <w:tcPr>
                  <w:tcW w:w="300" w:type="pct"/>
                  <w:tcBorders>
                    <w:tl2br w:val="nil"/>
                    <w:tr2bl w:val="nil"/>
                  </w:tcBorders>
                  <w:noWrap/>
                  <w:vAlign w:val="center"/>
                </w:tcPr>
                <w:p w14:paraId="3A84FEA5">
                  <w:pPr>
                    <w:jc w:val="center"/>
                    <w:textAlignment w:val="center"/>
                    <w:rPr>
                      <w:color w:val="auto"/>
                      <w:kern w:val="0"/>
                    </w:rPr>
                  </w:pPr>
                  <w:r>
                    <w:rPr>
                      <w:color w:val="auto"/>
                      <w:kern w:val="0"/>
                    </w:rPr>
                    <w:t>470</w:t>
                  </w:r>
                </w:p>
              </w:tc>
              <w:tc>
                <w:tcPr>
                  <w:tcW w:w="253" w:type="pct"/>
                  <w:tcBorders>
                    <w:tl2br w:val="nil"/>
                    <w:tr2bl w:val="nil"/>
                  </w:tcBorders>
                  <w:noWrap/>
                  <w:vAlign w:val="center"/>
                </w:tcPr>
                <w:p w14:paraId="3A84FEA6">
                  <w:pPr>
                    <w:jc w:val="center"/>
                    <w:textAlignment w:val="center"/>
                    <w:rPr>
                      <w:color w:val="auto"/>
                      <w:kern w:val="0"/>
                    </w:rPr>
                  </w:pPr>
                  <w:r>
                    <w:rPr>
                      <w:color w:val="auto"/>
                      <w:kern w:val="0"/>
                    </w:rPr>
                    <w:t>350</w:t>
                  </w:r>
                </w:p>
              </w:tc>
              <w:tc>
                <w:tcPr>
                  <w:tcW w:w="294" w:type="pct"/>
                  <w:tcBorders>
                    <w:tl2br w:val="nil"/>
                    <w:tr2bl w:val="nil"/>
                  </w:tcBorders>
                  <w:noWrap/>
                  <w:vAlign w:val="center"/>
                </w:tcPr>
                <w:p w14:paraId="3A84FEA7">
                  <w:pPr>
                    <w:jc w:val="center"/>
                    <w:textAlignment w:val="center"/>
                    <w:rPr>
                      <w:color w:val="auto"/>
                      <w:kern w:val="0"/>
                    </w:rPr>
                  </w:pPr>
                  <w:r>
                    <w:rPr>
                      <w:color w:val="auto"/>
                      <w:kern w:val="0"/>
                    </w:rPr>
                    <w:t>700</w:t>
                  </w:r>
                </w:p>
              </w:tc>
              <w:tc>
                <w:tcPr>
                  <w:tcW w:w="311" w:type="pct"/>
                  <w:tcBorders>
                    <w:tl2br w:val="nil"/>
                    <w:tr2bl w:val="nil"/>
                  </w:tcBorders>
                  <w:noWrap/>
                  <w:vAlign w:val="center"/>
                </w:tcPr>
                <w:p w14:paraId="3A84FEA8">
                  <w:pPr>
                    <w:jc w:val="center"/>
                    <w:textAlignment w:val="center"/>
                    <w:rPr>
                      <w:color w:val="auto"/>
                      <w:kern w:val="0"/>
                    </w:rPr>
                  </w:pPr>
                  <w:r>
                    <w:rPr>
                      <w:color w:val="auto"/>
                      <w:kern w:val="0"/>
                    </w:rPr>
                    <w:t>470</w:t>
                  </w:r>
                </w:p>
              </w:tc>
              <w:tc>
                <w:tcPr>
                  <w:tcW w:w="284" w:type="pct"/>
                  <w:tcBorders>
                    <w:tl2br w:val="nil"/>
                    <w:tr2bl w:val="nil"/>
                  </w:tcBorders>
                  <w:noWrap/>
                  <w:vAlign w:val="center"/>
                </w:tcPr>
                <w:p w14:paraId="3A84FEA9">
                  <w:pPr>
                    <w:jc w:val="center"/>
                    <w:textAlignment w:val="center"/>
                    <w:rPr>
                      <w:color w:val="auto"/>
                      <w:kern w:val="0"/>
                    </w:rPr>
                  </w:pPr>
                  <w:r>
                    <w:rPr>
                      <w:color w:val="auto"/>
                      <w:kern w:val="0"/>
                    </w:rPr>
                    <w:t>350</w:t>
                  </w:r>
                </w:p>
              </w:tc>
              <w:tc>
                <w:tcPr>
                  <w:tcW w:w="203" w:type="pct"/>
                  <w:tcBorders>
                    <w:tl2br w:val="nil"/>
                    <w:tr2bl w:val="nil"/>
                  </w:tcBorders>
                  <w:noWrap/>
                  <w:vAlign w:val="center"/>
                </w:tcPr>
                <w:p w14:paraId="3A84FEAA">
                  <w:pPr>
                    <w:jc w:val="center"/>
                    <w:textAlignment w:val="center"/>
                    <w:rPr>
                      <w:color w:val="auto"/>
                      <w:kern w:val="0"/>
                    </w:rPr>
                  </w:pPr>
                  <w:r>
                    <w:rPr>
                      <w:color w:val="auto"/>
                      <w:kern w:val="0"/>
                    </w:rPr>
                    <w:t>380</w:t>
                  </w:r>
                </w:p>
              </w:tc>
              <w:tc>
                <w:tcPr>
                  <w:tcW w:w="268" w:type="pct"/>
                  <w:tcBorders>
                    <w:tl2br w:val="nil"/>
                    <w:tr2bl w:val="nil"/>
                  </w:tcBorders>
                  <w:noWrap/>
                  <w:vAlign w:val="center"/>
                </w:tcPr>
                <w:p w14:paraId="3A84FEAB">
                  <w:pPr>
                    <w:jc w:val="center"/>
                    <w:textAlignment w:val="center"/>
                    <w:rPr>
                      <w:color w:val="auto"/>
                      <w:kern w:val="0"/>
                    </w:rPr>
                  </w:pPr>
                  <w:r>
                    <w:rPr>
                      <w:color w:val="auto"/>
                      <w:kern w:val="0"/>
                    </w:rPr>
                    <w:t>250</w:t>
                  </w:r>
                </w:p>
              </w:tc>
              <w:tc>
                <w:tcPr>
                  <w:tcW w:w="244" w:type="pct"/>
                  <w:tcBorders>
                    <w:tl2br w:val="nil"/>
                    <w:tr2bl w:val="nil"/>
                  </w:tcBorders>
                  <w:noWrap/>
                  <w:vAlign w:val="center"/>
                </w:tcPr>
                <w:p w14:paraId="3A84FEAC">
                  <w:pPr>
                    <w:jc w:val="center"/>
                    <w:textAlignment w:val="center"/>
                    <w:rPr>
                      <w:color w:val="auto"/>
                      <w:kern w:val="0"/>
                    </w:rPr>
                  </w:pPr>
                  <w:r>
                    <w:rPr>
                      <w:color w:val="auto"/>
                      <w:kern w:val="0"/>
                    </w:rPr>
                    <w:t>190</w:t>
                  </w:r>
                </w:p>
              </w:tc>
            </w:tr>
            <w:tr w14:paraId="3A84FEB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tcBorders>
                    <w:tl2br w:val="nil"/>
                    <w:tr2bl w:val="nil"/>
                  </w:tcBorders>
                  <w:noWrap/>
                  <w:vAlign w:val="center"/>
                </w:tcPr>
                <w:p w14:paraId="3A84FEAE">
                  <w:pPr>
                    <w:jc w:val="center"/>
                    <w:textAlignment w:val="center"/>
                    <w:rPr>
                      <w:color w:val="auto"/>
                      <w:kern w:val="0"/>
                    </w:rPr>
                  </w:pPr>
                </w:p>
              </w:tc>
              <w:tc>
                <w:tcPr>
                  <w:tcW w:w="2079" w:type="pct"/>
                  <w:tcBorders>
                    <w:tl2br w:val="nil"/>
                    <w:tr2bl w:val="nil"/>
                  </w:tcBorders>
                  <w:noWrap/>
                  <w:vAlign w:val="center"/>
                </w:tcPr>
                <w:p w14:paraId="3A84FEAF">
                  <w:pPr>
                    <w:jc w:val="center"/>
                    <w:textAlignment w:val="center"/>
                    <w:rPr>
                      <w:color w:val="auto"/>
                      <w:kern w:val="0"/>
                    </w:rPr>
                  </w:pPr>
                  <w:r>
                    <w:rPr>
                      <w:color w:val="auto"/>
                      <w:kern w:val="0"/>
                    </w:rPr>
                    <w:t>&gt;4</w:t>
                  </w:r>
                </w:p>
              </w:tc>
              <w:tc>
                <w:tcPr>
                  <w:tcW w:w="280" w:type="pct"/>
                  <w:tcBorders>
                    <w:tl2br w:val="nil"/>
                    <w:tr2bl w:val="nil"/>
                  </w:tcBorders>
                  <w:noWrap/>
                  <w:vAlign w:val="center"/>
                </w:tcPr>
                <w:p w14:paraId="3A84FEB0">
                  <w:pPr>
                    <w:jc w:val="center"/>
                    <w:textAlignment w:val="center"/>
                    <w:rPr>
                      <w:color w:val="auto"/>
                      <w:kern w:val="0"/>
                    </w:rPr>
                  </w:pPr>
                  <w:r>
                    <w:rPr>
                      <w:color w:val="auto"/>
                      <w:kern w:val="0"/>
                    </w:rPr>
                    <w:t>530</w:t>
                  </w:r>
                </w:p>
              </w:tc>
              <w:tc>
                <w:tcPr>
                  <w:tcW w:w="300" w:type="pct"/>
                  <w:tcBorders>
                    <w:tl2br w:val="nil"/>
                    <w:tr2bl w:val="nil"/>
                  </w:tcBorders>
                  <w:noWrap/>
                  <w:vAlign w:val="center"/>
                </w:tcPr>
                <w:p w14:paraId="3A84FEB1">
                  <w:pPr>
                    <w:jc w:val="center"/>
                    <w:textAlignment w:val="center"/>
                    <w:rPr>
                      <w:color w:val="auto"/>
                      <w:kern w:val="0"/>
                    </w:rPr>
                  </w:pPr>
                  <w:r>
                    <w:rPr>
                      <w:color w:val="auto"/>
                      <w:kern w:val="0"/>
                    </w:rPr>
                    <w:t>350</w:t>
                  </w:r>
                </w:p>
              </w:tc>
              <w:tc>
                <w:tcPr>
                  <w:tcW w:w="253" w:type="pct"/>
                  <w:tcBorders>
                    <w:tl2br w:val="nil"/>
                    <w:tr2bl w:val="nil"/>
                  </w:tcBorders>
                  <w:noWrap/>
                  <w:vAlign w:val="center"/>
                </w:tcPr>
                <w:p w14:paraId="3A84FEB2">
                  <w:pPr>
                    <w:jc w:val="center"/>
                    <w:textAlignment w:val="center"/>
                    <w:rPr>
                      <w:color w:val="auto"/>
                      <w:kern w:val="0"/>
                    </w:rPr>
                  </w:pPr>
                  <w:r>
                    <w:rPr>
                      <w:color w:val="auto"/>
                      <w:kern w:val="0"/>
                    </w:rPr>
                    <w:t>260</w:t>
                  </w:r>
                </w:p>
              </w:tc>
              <w:tc>
                <w:tcPr>
                  <w:tcW w:w="294" w:type="pct"/>
                  <w:tcBorders>
                    <w:tl2br w:val="nil"/>
                    <w:tr2bl w:val="nil"/>
                  </w:tcBorders>
                  <w:noWrap/>
                  <w:vAlign w:val="center"/>
                </w:tcPr>
                <w:p w14:paraId="3A84FEB3">
                  <w:pPr>
                    <w:jc w:val="center"/>
                    <w:textAlignment w:val="center"/>
                    <w:rPr>
                      <w:color w:val="auto"/>
                      <w:kern w:val="0"/>
                    </w:rPr>
                  </w:pPr>
                  <w:r>
                    <w:rPr>
                      <w:color w:val="auto"/>
                      <w:kern w:val="0"/>
                    </w:rPr>
                    <w:t>530</w:t>
                  </w:r>
                </w:p>
              </w:tc>
              <w:tc>
                <w:tcPr>
                  <w:tcW w:w="311" w:type="pct"/>
                  <w:tcBorders>
                    <w:tl2br w:val="nil"/>
                    <w:tr2bl w:val="nil"/>
                  </w:tcBorders>
                  <w:noWrap/>
                  <w:vAlign w:val="center"/>
                </w:tcPr>
                <w:p w14:paraId="3A84FEB4">
                  <w:pPr>
                    <w:jc w:val="center"/>
                    <w:textAlignment w:val="center"/>
                    <w:rPr>
                      <w:color w:val="auto"/>
                      <w:kern w:val="0"/>
                    </w:rPr>
                  </w:pPr>
                  <w:r>
                    <w:rPr>
                      <w:color w:val="auto"/>
                      <w:kern w:val="0"/>
                    </w:rPr>
                    <w:t>350</w:t>
                  </w:r>
                </w:p>
              </w:tc>
              <w:tc>
                <w:tcPr>
                  <w:tcW w:w="284" w:type="pct"/>
                  <w:tcBorders>
                    <w:tl2br w:val="nil"/>
                    <w:tr2bl w:val="nil"/>
                  </w:tcBorders>
                  <w:noWrap/>
                  <w:vAlign w:val="center"/>
                </w:tcPr>
                <w:p w14:paraId="3A84FEB5">
                  <w:pPr>
                    <w:jc w:val="center"/>
                    <w:textAlignment w:val="center"/>
                    <w:rPr>
                      <w:color w:val="auto"/>
                      <w:kern w:val="0"/>
                    </w:rPr>
                  </w:pPr>
                  <w:r>
                    <w:rPr>
                      <w:color w:val="auto"/>
                      <w:kern w:val="0"/>
                    </w:rPr>
                    <w:t>260</w:t>
                  </w:r>
                </w:p>
              </w:tc>
              <w:tc>
                <w:tcPr>
                  <w:tcW w:w="203" w:type="pct"/>
                  <w:tcBorders>
                    <w:tl2br w:val="nil"/>
                    <w:tr2bl w:val="nil"/>
                  </w:tcBorders>
                  <w:noWrap/>
                  <w:vAlign w:val="center"/>
                </w:tcPr>
                <w:p w14:paraId="3A84FEB6">
                  <w:pPr>
                    <w:jc w:val="center"/>
                    <w:textAlignment w:val="center"/>
                    <w:rPr>
                      <w:color w:val="auto"/>
                      <w:kern w:val="0"/>
                    </w:rPr>
                  </w:pPr>
                  <w:r>
                    <w:rPr>
                      <w:color w:val="auto"/>
                      <w:kern w:val="0"/>
                    </w:rPr>
                    <w:t>290</w:t>
                  </w:r>
                </w:p>
              </w:tc>
              <w:tc>
                <w:tcPr>
                  <w:tcW w:w="268" w:type="pct"/>
                  <w:tcBorders>
                    <w:tl2br w:val="nil"/>
                    <w:tr2bl w:val="nil"/>
                  </w:tcBorders>
                  <w:noWrap/>
                  <w:vAlign w:val="center"/>
                </w:tcPr>
                <w:p w14:paraId="3A84FEB7">
                  <w:pPr>
                    <w:jc w:val="center"/>
                    <w:textAlignment w:val="center"/>
                    <w:rPr>
                      <w:color w:val="auto"/>
                      <w:kern w:val="0"/>
                    </w:rPr>
                  </w:pPr>
                  <w:r>
                    <w:rPr>
                      <w:color w:val="auto"/>
                      <w:kern w:val="0"/>
                    </w:rPr>
                    <w:t>190</w:t>
                  </w:r>
                </w:p>
              </w:tc>
              <w:tc>
                <w:tcPr>
                  <w:tcW w:w="244" w:type="pct"/>
                  <w:tcBorders>
                    <w:tl2br w:val="nil"/>
                    <w:tr2bl w:val="nil"/>
                  </w:tcBorders>
                  <w:noWrap/>
                  <w:vAlign w:val="center"/>
                </w:tcPr>
                <w:p w14:paraId="3A84FEB8">
                  <w:pPr>
                    <w:jc w:val="center"/>
                    <w:textAlignment w:val="center"/>
                    <w:rPr>
                      <w:color w:val="auto"/>
                      <w:kern w:val="0"/>
                    </w:rPr>
                  </w:pPr>
                  <w:r>
                    <w:rPr>
                      <w:color w:val="auto"/>
                      <w:kern w:val="0"/>
                    </w:rPr>
                    <w:t>140</w:t>
                  </w:r>
                </w:p>
              </w:tc>
            </w:tr>
            <w:tr w14:paraId="3A84FEB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restart"/>
                  <w:tcBorders>
                    <w:tl2br w:val="nil"/>
                    <w:tr2bl w:val="nil"/>
                  </w:tcBorders>
                  <w:noWrap/>
                  <w:vAlign w:val="center"/>
                </w:tcPr>
                <w:p w14:paraId="3A84FEBA">
                  <w:pPr>
                    <w:jc w:val="center"/>
                    <w:textAlignment w:val="center"/>
                    <w:rPr>
                      <w:color w:val="auto"/>
                      <w:kern w:val="0"/>
                    </w:rPr>
                  </w:pPr>
                  <w:r>
                    <w:rPr>
                      <w:color w:val="auto"/>
                      <w:kern w:val="0"/>
                    </w:rPr>
                    <w:t>B</w:t>
                  </w:r>
                </w:p>
              </w:tc>
              <w:tc>
                <w:tcPr>
                  <w:tcW w:w="2079" w:type="pct"/>
                  <w:tcBorders>
                    <w:tl2br w:val="nil"/>
                    <w:tr2bl w:val="nil"/>
                  </w:tcBorders>
                  <w:noWrap/>
                  <w:vAlign w:val="center"/>
                </w:tcPr>
                <w:p w14:paraId="3A84FEBB">
                  <w:pPr>
                    <w:jc w:val="center"/>
                    <w:textAlignment w:val="center"/>
                    <w:rPr>
                      <w:color w:val="auto"/>
                      <w:kern w:val="0"/>
                    </w:rPr>
                  </w:pPr>
                  <w:r>
                    <w:rPr>
                      <w:color w:val="auto"/>
                      <w:kern w:val="0"/>
                    </w:rPr>
                    <w:t>&lt;2</w:t>
                  </w:r>
                </w:p>
              </w:tc>
              <w:tc>
                <w:tcPr>
                  <w:tcW w:w="834" w:type="pct"/>
                  <w:gridSpan w:val="3"/>
                  <w:tcBorders>
                    <w:tl2br w:val="nil"/>
                    <w:tr2bl w:val="nil"/>
                  </w:tcBorders>
                  <w:noWrap/>
                  <w:vAlign w:val="center"/>
                </w:tcPr>
                <w:p w14:paraId="3A84FEBC">
                  <w:pPr>
                    <w:jc w:val="center"/>
                    <w:textAlignment w:val="center"/>
                    <w:rPr>
                      <w:color w:val="auto"/>
                      <w:kern w:val="0"/>
                    </w:rPr>
                  </w:pPr>
                  <w:r>
                    <w:rPr>
                      <w:color w:val="auto"/>
                      <w:kern w:val="0"/>
                    </w:rPr>
                    <w:t>0.01</w:t>
                  </w:r>
                </w:p>
              </w:tc>
              <w:tc>
                <w:tcPr>
                  <w:tcW w:w="890" w:type="pct"/>
                  <w:gridSpan w:val="3"/>
                  <w:tcBorders>
                    <w:tl2br w:val="nil"/>
                    <w:tr2bl w:val="nil"/>
                  </w:tcBorders>
                  <w:noWrap/>
                  <w:vAlign w:val="center"/>
                </w:tcPr>
                <w:p w14:paraId="3A84FEBD">
                  <w:pPr>
                    <w:jc w:val="center"/>
                    <w:textAlignment w:val="center"/>
                    <w:rPr>
                      <w:color w:val="auto"/>
                      <w:kern w:val="0"/>
                    </w:rPr>
                  </w:pPr>
                  <w:r>
                    <w:rPr>
                      <w:color w:val="auto"/>
                      <w:kern w:val="0"/>
                    </w:rPr>
                    <w:t>0.015</w:t>
                  </w:r>
                </w:p>
              </w:tc>
              <w:tc>
                <w:tcPr>
                  <w:tcW w:w="716" w:type="pct"/>
                  <w:gridSpan w:val="3"/>
                  <w:tcBorders>
                    <w:tl2br w:val="nil"/>
                    <w:tr2bl w:val="nil"/>
                  </w:tcBorders>
                  <w:noWrap/>
                  <w:vAlign w:val="center"/>
                </w:tcPr>
                <w:p w14:paraId="3A84FEBE">
                  <w:pPr>
                    <w:jc w:val="center"/>
                    <w:textAlignment w:val="center"/>
                    <w:rPr>
                      <w:color w:val="auto"/>
                      <w:kern w:val="0"/>
                    </w:rPr>
                  </w:pPr>
                  <w:r>
                    <w:rPr>
                      <w:color w:val="auto"/>
                      <w:kern w:val="0"/>
                    </w:rPr>
                    <w:t>0.015</w:t>
                  </w:r>
                </w:p>
              </w:tc>
            </w:tr>
            <w:tr w14:paraId="3A84FEC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tcBorders>
                    <w:tl2br w:val="nil"/>
                    <w:tr2bl w:val="nil"/>
                  </w:tcBorders>
                  <w:noWrap/>
                  <w:vAlign w:val="center"/>
                </w:tcPr>
                <w:p w14:paraId="3A84FEC0">
                  <w:pPr>
                    <w:jc w:val="center"/>
                    <w:textAlignment w:val="center"/>
                    <w:rPr>
                      <w:color w:val="auto"/>
                      <w:kern w:val="0"/>
                    </w:rPr>
                  </w:pPr>
                </w:p>
              </w:tc>
              <w:tc>
                <w:tcPr>
                  <w:tcW w:w="2079" w:type="pct"/>
                  <w:tcBorders>
                    <w:tl2br w:val="nil"/>
                    <w:tr2bl w:val="nil"/>
                  </w:tcBorders>
                  <w:noWrap/>
                  <w:vAlign w:val="center"/>
                </w:tcPr>
                <w:p w14:paraId="3A84FEC1">
                  <w:pPr>
                    <w:jc w:val="center"/>
                    <w:textAlignment w:val="center"/>
                    <w:rPr>
                      <w:color w:val="auto"/>
                      <w:kern w:val="0"/>
                    </w:rPr>
                  </w:pPr>
                  <w:r>
                    <w:rPr>
                      <w:color w:val="auto"/>
                      <w:kern w:val="0"/>
                    </w:rPr>
                    <w:t>&gt;2</w:t>
                  </w:r>
                </w:p>
              </w:tc>
              <w:tc>
                <w:tcPr>
                  <w:tcW w:w="834" w:type="pct"/>
                  <w:gridSpan w:val="3"/>
                  <w:tcBorders>
                    <w:tl2br w:val="nil"/>
                    <w:tr2bl w:val="nil"/>
                  </w:tcBorders>
                  <w:noWrap/>
                  <w:vAlign w:val="center"/>
                </w:tcPr>
                <w:p w14:paraId="3A84FEC2">
                  <w:pPr>
                    <w:jc w:val="center"/>
                    <w:textAlignment w:val="center"/>
                    <w:rPr>
                      <w:color w:val="auto"/>
                      <w:kern w:val="0"/>
                    </w:rPr>
                  </w:pPr>
                  <w:r>
                    <w:rPr>
                      <w:color w:val="auto"/>
                      <w:kern w:val="0"/>
                    </w:rPr>
                    <w:t>0.021</w:t>
                  </w:r>
                </w:p>
              </w:tc>
              <w:tc>
                <w:tcPr>
                  <w:tcW w:w="890" w:type="pct"/>
                  <w:gridSpan w:val="3"/>
                  <w:tcBorders>
                    <w:tl2br w:val="nil"/>
                    <w:tr2bl w:val="nil"/>
                  </w:tcBorders>
                  <w:noWrap/>
                  <w:vAlign w:val="center"/>
                </w:tcPr>
                <w:p w14:paraId="3A84FEC3">
                  <w:pPr>
                    <w:jc w:val="center"/>
                    <w:textAlignment w:val="center"/>
                    <w:rPr>
                      <w:color w:val="auto"/>
                      <w:kern w:val="0"/>
                    </w:rPr>
                  </w:pPr>
                  <w:r>
                    <w:rPr>
                      <w:color w:val="auto"/>
                      <w:kern w:val="0"/>
                    </w:rPr>
                    <w:t>0.036</w:t>
                  </w:r>
                </w:p>
              </w:tc>
              <w:tc>
                <w:tcPr>
                  <w:tcW w:w="716" w:type="pct"/>
                  <w:gridSpan w:val="3"/>
                  <w:tcBorders>
                    <w:tl2br w:val="nil"/>
                    <w:tr2bl w:val="nil"/>
                  </w:tcBorders>
                  <w:noWrap/>
                  <w:vAlign w:val="center"/>
                </w:tcPr>
                <w:p w14:paraId="3A84FEC4">
                  <w:pPr>
                    <w:jc w:val="center"/>
                    <w:textAlignment w:val="center"/>
                    <w:rPr>
                      <w:color w:val="auto"/>
                      <w:kern w:val="0"/>
                    </w:rPr>
                  </w:pPr>
                  <w:r>
                    <w:rPr>
                      <w:color w:val="auto"/>
                      <w:kern w:val="0"/>
                    </w:rPr>
                    <w:t>0.036</w:t>
                  </w:r>
                </w:p>
              </w:tc>
            </w:tr>
            <w:tr w14:paraId="3A84FEC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restart"/>
                  <w:tcBorders>
                    <w:tl2br w:val="nil"/>
                    <w:tr2bl w:val="nil"/>
                  </w:tcBorders>
                  <w:noWrap/>
                  <w:vAlign w:val="center"/>
                </w:tcPr>
                <w:p w14:paraId="3A84FEC6">
                  <w:pPr>
                    <w:jc w:val="center"/>
                    <w:textAlignment w:val="center"/>
                    <w:rPr>
                      <w:color w:val="auto"/>
                      <w:kern w:val="0"/>
                    </w:rPr>
                  </w:pPr>
                  <w:r>
                    <w:rPr>
                      <w:color w:val="auto"/>
                      <w:kern w:val="0"/>
                    </w:rPr>
                    <w:t>C</w:t>
                  </w:r>
                </w:p>
              </w:tc>
              <w:tc>
                <w:tcPr>
                  <w:tcW w:w="2079" w:type="pct"/>
                  <w:tcBorders>
                    <w:tl2br w:val="nil"/>
                    <w:tr2bl w:val="nil"/>
                  </w:tcBorders>
                  <w:noWrap/>
                  <w:vAlign w:val="center"/>
                </w:tcPr>
                <w:p w14:paraId="3A84FEC7">
                  <w:pPr>
                    <w:jc w:val="center"/>
                    <w:textAlignment w:val="center"/>
                    <w:rPr>
                      <w:color w:val="auto"/>
                      <w:kern w:val="0"/>
                    </w:rPr>
                  </w:pPr>
                  <w:r>
                    <w:rPr>
                      <w:color w:val="auto"/>
                      <w:kern w:val="0"/>
                    </w:rPr>
                    <w:t>&lt;2</w:t>
                  </w:r>
                </w:p>
              </w:tc>
              <w:tc>
                <w:tcPr>
                  <w:tcW w:w="834" w:type="pct"/>
                  <w:gridSpan w:val="3"/>
                  <w:tcBorders>
                    <w:tl2br w:val="nil"/>
                    <w:tr2bl w:val="nil"/>
                  </w:tcBorders>
                  <w:noWrap/>
                  <w:vAlign w:val="center"/>
                </w:tcPr>
                <w:p w14:paraId="3A84FEC8">
                  <w:pPr>
                    <w:jc w:val="center"/>
                    <w:textAlignment w:val="center"/>
                    <w:rPr>
                      <w:color w:val="auto"/>
                      <w:kern w:val="0"/>
                    </w:rPr>
                  </w:pPr>
                  <w:r>
                    <w:rPr>
                      <w:color w:val="auto"/>
                      <w:kern w:val="0"/>
                    </w:rPr>
                    <w:t>1.85</w:t>
                  </w:r>
                </w:p>
              </w:tc>
              <w:tc>
                <w:tcPr>
                  <w:tcW w:w="890" w:type="pct"/>
                  <w:gridSpan w:val="3"/>
                  <w:tcBorders>
                    <w:tl2br w:val="nil"/>
                    <w:tr2bl w:val="nil"/>
                  </w:tcBorders>
                  <w:noWrap/>
                  <w:vAlign w:val="center"/>
                </w:tcPr>
                <w:p w14:paraId="3A84FEC9">
                  <w:pPr>
                    <w:jc w:val="center"/>
                    <w:textAlignment w:val="center"/>
                    <w:rPr>
                      <w:color w:val="auto"/>
                      <w:kern w:val="0"/>
                    </w:rPr>
                  </w:pPr>
                  <w:r>
                    <w:rPr>
                      <w:color w:val="auto"/>
                      <w:kern w:val="0"/>
                    </w:rPr>
                    <w:t>1.79</w:t>
                  </w:r>
                </w:p>
              </w:tc>
              <w:tc>
                <w:tcPr>
                  <w:tcW w:w="716" w:type="pct"/>
                  <w:gridSpan w:val="3"/>
                  <w:tcBorders>
                    <w:tl2br w:val="nil"/>
                    <w:tr2bl w:val="nil"/>
                  </w:tcBorders>
                  <w:noWrap/>
                  <w:vAlign w:val="center"/>
                </w:tcPr>
                <w:p w14:paraId="3A84FECA">
                  <w:pPr>
                    <w:jc w:val="center"/>
                    <w:textAlignment w:val="center"/>
                    <w:rPr>
                      <w:color w:val="auto"/>
                      <w:kern w:val="0"/>
                    </w:rPr>
                  </w:pPr>
                  <w:r>
                    <w:rPr>
                      <w:color w:val="auto"/>
                      <w:kern w:val="0"/>
                    </w:rPr>
                    <w:t>1.79</w:t>
                  </w:r>
                </w:p>
              </w:tc>
            </w:tr>
            <w:tr w14:paraId="3A84FED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tcBorders>
                    <w:tl2br w:val="nil"/>
                    <w:tr2bl w:val="nil"/>
                  </w:tcBorders>
                  <w:noWrap/>
                  <w:vAlign w:val="center"/>
                </w:tcPr>
                <w:p w14:paraId="3A84FECC">
                  <w:pPr>
                    <w:jc w:val="center"/>
                    <w:textAlignment w:val="center"/>
                    <w:rPr>
                      <w:color w:val="auto"/>
                      <w:kern w:val="0"/>
                    </w:rPr>
                  </w:pPr>
                </w:p>
              </w:tc>
              <w:tc>
                <w:tcPr>
                  <w:tcW w:w="2079" w:type="pct"/>
                  <w:tcBorders>
                    <w:tl2br w:val="nil"/>
                    <w:tr2bl w:val="nil"/>
                  </w:tcBorders>
                  <w:noWrap/>
                  <w:vAlign w:val="center"/>
                </w:tcPr>
                <w:p w14:paraId="3A84FECD">
                  <w:pPr>
                    <w:jc w:val="center"/>
                    <w:textAlignment w:val="center"/>
                    <w:rPr>
                      <w:color w:val="auto"/>
                      <w:kern w:val="0"/>
                    </w:rPr>
                  </w:pPr>
                  <w:r>
                    <w:rPr>
                      <w:color w:val="auto"/>
                      <w:kern w:val="0"/>
                    </w:rPr>
                    <w:t>&gt;2</w:t>
                  </w:r>
                </w:p>
              </w:tc>
              <w:tc>
                <w:tcPr>
                  <w:tcW w:w="834" w:type="pct"/>
                  <w:gridSpan w:val="3"/>
                  <w:tcBorders>
                    <w:tl2br w:val="nil"/>
                    <w:tr2bl w:val="nil"/>
                  </w:tcBorders>
                  <w:noWrap/>
                  <w:vAlign w:val="center"/>
                </w:tcPr>
                <w:p w14:paraId="3A84FECE">
                  <w:pPr>
                    <w:jc w:val="center"/>
                    <w:textAlignment w:val="center"/>
                    <w:rPr>
                      <w:color w:val="auto"/>
                      <w:kern w:val="0"/>
                    </w:rPr>
                  </w:pPr>
                  <w:r>
                    <w:rPr>
                      <w:color w:val="auto"/>
                      <w:kern w:val="0"/>
                    </w:rPr>
                    <w:t>1.85</w:t>
                  </w:r>
                </w:p>
              </w:tc>
              <w:tc>
                <w:tcPr>
                  <w:tcW w:w="890" w:type="pct"/>
                  <w:gridSpan w:val="3"/>
                  <w:tcBorders>
                    <w:tl2br w:val="nil"/>
                    <w:tr2bl w:val="nil"/>
                  </w:tcBorders>
                  <w:noWrap/>
                  <w:vAlign w:val="center"/>
                </w:tcPr>
                <w:p w14:paraId="3A84FECF">
                  <w:pPr>
                    <w:jc w:val="center"/>
                    <w:textAlignment w:val="center"/>
                    <w:rPr>
                      <w:color w:val="auto"/>
                      <w:kern w:val="0"/>
                    </w:rPr>
                  </w:pPr>
                  <w:r>
                    <w:rPr>
                      <w:color w:val="auto"/>
                      <w:kern w:val="0"/>
                    </w:rPr>
                    <w:t>1.77</w:t>
                  </w:r>
                </w:p>
              </w:tc>
              <w:tc>
                <w:tcPr>
                  <w:tcW w:w="716" w:type="pct"/>
                  <w:gridSpan w:val="3"/>
                  <w:tcBorders>
                    <w:tl2br w:val="nil"/>
                    <w:tr2bl w:val="nil"/>
                  </w:tcBorders>
                  <w:noWrap/>
                  <w:vAlign w:val="center"/>
                </w:tcPr>
                <w:p w14:paraId="3A84FED0">
                  <w:pPr>
                    <w:jc w:val="center"/>
                    <w:textAlignment w:val="center"/>
                    <w:rPr>
                      <w:color w:val="auto"/>
                      <w:kern w:val="0"/>
                    </w:rPr>
                  </w:pPr>
                  <w:r>
                    <w:rPr>
                      <w:color w:val="auto"/>
                      <w:kern w:val="0"/>
                    </w:rPr>
                    <w:t>1.77</w:t>
                  </w:r>
                </w:p>
              </w:tc>
            </w:tr>
            <w:tr w14:paraId="3A84FE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restart"/>
                  <w:tcBorders>
                    <w:tl2br w:val="nil"/>
                    <w:tr2bl w:val="nil"/>
                  </w:tcBorders>
                  <w:noWrap/>
                  <w:vAlign w:val="center"/>
                </w:tcPr>
                <w:p w14:paraId="3A84FED2">
                  <w:pPr>
                    <w:jc w:val="center"/>
                    <w:textAlignment w:val="center"/>
                    <w:rPr>
                      <w:color w:val="auto"/>
                      <w:kern w:val="0"/>
                    </w:rPr>
                  </w:pPr>
                  <w:r>
                    <w:rPr>
                      <w:color w:val="auto"/>
                      <w:kern w:val="0"/>
                    </w:rPr>
                    <w:t>D</w:t>
                  </w:r>
                </w:p>
              </w:tc>
              <w:tc>
                <w:tcPr>
                  <w:tcW w:w="2079" w:type="pct"/>
                  <w:tcBorders>
                    <w:tl2br w:val="nil"/>
                    <w:tr2bl w:val="nil"/>
                  </w:tcBorders>
                  <w:noWrap/>
                  <w:vAlign w:val="center"/>
                </w:tcPr>
                <w:p w14:paraId="3A84FED3">
                  <w:pPr>
                    <w:jc w:val="center"/>
                    <w:textAlignment w:val="center"/>
                    <w:rPr>
                      <w:color w:val="auto"/>
                      <w:kern w:val="0"/>
                    </w:rPr>
                  </w:pPr>
                  <w:r>
                    <w:rPr>
                      <w:color w:val="auto"/>
                      <w:kern w:val="0"/>
                    </w:rPr>
                    <w:t>&lt;2</w:t>
                  </w:r>
                </w:p>
              </w:tc>
              <w:tc>
                <w:tcPr>
                  <w:tcW w:w="834" w:type="pct"/>
                  <w:gridSpan w:val="3"/>
                  <w:tcBorders>
                    <w:tl2br w:val="nil"/>
                    <w:tr2bl w:val="nil"/>
                  </w:tcBorders>
                  <w:noWrap/>
                  <w:vAlign w:val="center"/>
                </w:tcPr>
                <w:p w14:paraId="3A84FED4">
                  <w:pPr>
                    <w:jc w:val="center"/>
                    <w:textAlignment w:val="center"/>
                    <w:rPr>
                      <w:color w:val="auto"/>
                      <w:kern w:val="0"/>
                    </w:rPr>
                  </w:pPr>
                  <w:r>
                    <w:rPr>
                      <w:color w:val="auto"/>
                      <w:kern w:val="0"/>
                    </w:rPr>
                    <w:t>0.78</w:t>
                  </w:r>
                </w:p>
              </w:tc>
              <w:tc>
                <w:tcPr>
                  <w:tcW w:w="890" w:type="pct"/>
                  <w:gridSpan w:val="3"/>
                  <w:tcBorders>
                    <w:tl2br w:val="nil"/>
                    <w:tr2bl w:val="nil"/>
                  </w:tcBorders>
                  <w:noWrap/>
                  <w:vAlign w:val="center"/>
                </w:tcPr>
                <w:p w14:paraId="3A84FED5">
                  <w:pPr>
                    <w:jc w:val="center"/>
                    <w:textAlignment w:val="center"/>
                    <w:rPr>
                      <w:color w:val="auto"/>
                      <w:kern w:val="0"/>
                    </w:rPr>
                  </w:pPr>
                  <w:r>
                    <w:rPr>
                      <w:color w:val="auto"/>
                      <w:kern w:val="0"/>
                    </w:rPr>
                    <w:t>0.78</w:t>
                  </w:r>
                </w:p>
              </w:tc>
              <w:tc>
                <w:tcPr>
                  <w:tcW w:w="716" w:type="pct"/>
                  <w:gridSpan w:val="3"/>
                  <w:tcBorders>
                    <w:tl2br w:val="nil"/>
                    <w:tr2bl w:val="nil"/>
                  </w:tcBorders>
                  <w:noWrap/>
                  <w:vAlign w:val="center"/>
                </w:tcPr>
                <w:p w14:paraId="3A84FED6">
                  <w:pPr>
                    <w:jc w:val="center"/>
                    <w:textAlignment w:val="center"/>
                    <w:rPr>
                      <w:color w:val="auto"/>
                      <w:kern w:val="0"/>
                    </w:rPr>
                  </w:pPr>
                  <w:r>
                    <w:rPr>
                      <w:color w:val="auto"/>
                      <w:kern w:val="0"/>
                    </w:rPr>
                    <w:t>0.57</w:t>
                  </w:r>
                </w:p>
              </w:tc>
            </w:tr>
            <w:tr w14:paraId="3A84FED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tcBorders>
                    <w:tl2br w:val="nil"/>
                    <w:tr2bl w:val="nil"/>
                  </w:tcBorders>
                  <w:noWrap/>
                  <w:vAlign w:val="center"/>
                </w:tcPr>
                <w:p w14:paraId="3A84FED8">
                  <w:pPr>
                    <w:jc w:val="center"/>
                    <w:rPr>
                      <w:color w:val="auto"/>
                      <w:kern w:val="0"/>
                    </w:rPr>
                  </w:pPr>
                </w:p>
              </w:tc>
              <w:tc>
                <w:tcPr>
                  <w:tcW w:w="2079" w:type="pct"/>
                  <w:tcBorders>
                    <w:tl2br w:val="nil"/>
                    <w:tr2bl w:val="nil"/>
                  </w:tcBorders>
                  <w:noWrap/>
                  <w:vAlign w:val="center"/>
                </w:tcPr>
                <w:p w14:paraId="3A84FED9">
                  <w:pPr>
                    <w:jc w:val="center"/>
                    <w:textAlignment w:val="center"/>
                    <w:rPr>
                      <w:color w:val="auto"/>
                      <w:kern w:val="0"/>
                    </w:rPr>
                  </w:pPr>
                  <w:r>
                    <w:rPr>
                      <w:color w:val="auto"/>
                      <w:kern w:val="0"/>
                    </w:rPr>
                    <w:t>&gt;2</w:t>
                  </w:r>
                </w:p>
              </w:tc>
              <w:tc>
                <w:tcPr>
                  <w:tcW w:w="834" w:type="pct"/>
                  <w:gridSpan w:val="3"/>
                  <w:tcBorders>
                    <w:tl2br w:val="nil"/>
                    <w:tr2bl w:val="nil"/>
                  </w:tcBorders>
                  <w:noWrap/>
                  <w:vAlign w:val="center"/>
                </w:tcPr>
                <w:p w14:paraId="3A84FEDA">
                  <w:pPr>
                    <w:widowControl/>
                    <w:jc w:val="center"/>
                    <w:textAlignment w:val="bottom"/>
                    <w:rPr>
                      <w:color w:val="auto"/>
                      <w:kern w:val="0"/>
                    </w:rPr>
                  </w:pPr>
                  <w:r>
                    <w:rPr>
                      <w:color w:val="auto"/>
                      <w:kern w:val="0"/>
                    </w:rPr>
                    <w:t>0.84</w:t>
                  </w:r>
                </w:p>
              </w:tc>
              <w:tc>
                <w:tcPr>
                  <w:tcW w:w="890" w:type="pct"/>
                  <w:gridSpan w:val="3"/>
                  <w:tcBorders>
                    <w:tl2br w:val="nil"/>
                    <w:tr2bl w:val="nil"/>
                  </w:tcBorders>
                  <w:noWrap/>
                  <w:vAlign w:val="center"/>
                </w:tcPr>
                <w:p w14:paraId="3A84FEDB">
                  <w:pPr>
                    <w:widowControl/>
                    <w:jc w:val="center"/>
                    <w:textAlignment w:val="bottom"/>
                    <w:rPr>
                      <w:color w:val="auto"/>
                      <w:kern w:val="0"/>
                    </w:rPr>
                  </w:pPr>
                  <w:r>
                    <w:rPr>
                      <w:color w:val="auto"/>
                      <w:kern w:val="0"/>
                    </w:rPr>
                    <w:t>0.84</w:t>
                  </w:r>
                </w:p>
              </w:tc>
              <w:tc>
                <w:tcPr>
                  <w:tcW w:w="716" w:type="pct"/>
                  <w:gridSpan w:val="3"/>
                  <w:tcBorders>
                    <w:tl2br w:val="nil"/>
                    <w:tr2bl w:val="nil"/>
                  </w:tcBorders>
                  <w:noWrap/>
                  <w:vAlign w:val="center"/>
                </w:tcPr>
                <w:p w14:paraId="3A84FEDC">
                  <w:pPr>
                    <w:widowControl/>
                    <w:jc w:val="center"/>
                    <w:textAlignment w:val="bottom"/>
                    <w:rPr>
                      <w:color w:val="auto"/>
                      <w:kern w:val="0"/>
                    </w:rPr>
                  </w:pPr>
                  <w:r>
                    <w:rPr>
                      <w:color w:val="auto"/>
                      <w:kern w:val="0"/>
                    </w:rPr>
                    <w:t>0.76</w:t>
                  </w:r>
                </w:p>
              </w:tc>
            </w:tr>
          </w:tbl>
          <w:p w14:paraId="3A84FEFB">
            <w:pPr>
              <w:pStyle w:val="697"/>
              <w:adjustRightInd w:val="0"/>
              <w:snapToGrid w:val="0"/>
              <w:spacing w:line="360" w:lineRule="auto"/>
              <w:ind w:firstLine="420"/>
              <w:jc w:val="both"/>
              <w:rPr>
                <w:rFonts w:eastAsia="宋体"/>
                <w:bCs/>
                <w:color w:val="auto"/>
                <w:kern w:val="0"/>
                <w:sz w:val="21"/>
                <w:szCs w:val="21"/>
              </w:rPr>
            </w:pPr>
            <w:r>
              <w:rPr>
                <w:rFonts w:eastAsia="宋体"/>
                <w:bCs/>
                <w:color w:val="auto"/>
                <w:kern w:val="0"/>
                <w:sz w:val="21"/>
                <w:szCs w:val="21"/>
              </w:rPr>
              <w:t>根据《大气有害物质无组织排放卫生防护距离推导技术导则》（GB/T39499-2020）：</w:t>
            </w:r>
            <w:r>
              <w:rPr>
                <w:rFonts w:hint="eastAsia" w:eastAsia="宋体"/>
                <w:bCs/>
                <w:color w:val="auto"/>
                <w:kern w:val="0"/>
                <w:sz w:val="21"/>
                <w:szCs w:val="21"/>
              </w:rPr>
              <w:t>“</w:t>
            </w:r>
            <w:r>
              <w:rPr>
                <w:rFonts w:eastAsia="宋体"/>
                <w:bCs/>
                <w:color w:val="auto"/>
                <w:kern w:val="0"/>
                <w:sz w:val="21"/>
                <w:szCs w:val="21"/>
              </w:rPr>
              <w:t>当企业某生产单元的无组织排放存在多种特征大气有害物质时，如果分别推导出的卫生防护距离初值在同一级别时，则该企业的卫生防护距离终值应提高一级；卫生防护距离初值不在同一级别的，以卫生防护距离终值较大者为准</w:t>
            </w:r>
            <w:r>
              <w:rPr>
                <w:rFonts w:hint="eastAsia" w:eastAsia="宋体"/>
                <w:bCs/>
                <w:color w:val="auto"/>
                <w:kern w:val="0"/>
                <w:sz w:val="21"/>
                <w:szCs w:val="21"/>
              </w:rPr>
              <w:t>”</w:t>
            </w:r>
            <w:r>
              <w:rPr>
                <w:rFonts w:eastAsia="宋体"/>
                <w:bCs/>
                <w:color w:val="auto"/>
                <w:kern w:val="0"/>
                <w:sz w:val="21"/>
                <w:szCs w:val="21"/>
              </w:rPr>
              <w:t>。</w:t>
            </w:r>
            <w:r>
              <w:rPr>
                <w:rFonts w:hint="eastAsia" w:eastAsia="宋体"/>
                <w:bCs/>
                <w:color w:val="auto"/>
                <w:kern w:val="0"/>
                <w:sz w:val="21"/>
                <w:szCs w:val="21"/>
                <w:lang w:val="en-US" w:eastAsia="zh-CN"/>
              </w:rPr>
              <w:t>本项目不排放无组织废气，</w:t>
            </w:r>
            <w:r>
              <w:rPr>
                <w:rFonts w:hint="eastAsia" w:eastAsia="宋体"/>
                <w:bCs/>
                <w:color w:val="auto"/>
                <w:kern w:val="0"/>
                <w:sz w:val="21"/>
                <w:szCs w:val="21"/>
              </w:rPr>
              <w:t>本项目建成后</w:t>
            </w:r>
            <w:r>
              <w:rPr>
                <w:rFonts w:hint="eastAsia" w:eastAsia="宋体"/>
                <w:bCs/>
                <w:color w:val="auto"/>
                <w:kern w:val="0"/>
                <w:sz w:val="21"/>
                <w:szCs w:val="21"/>
                <w:lang w:val="en-US" w:eastAsia="zh-CN"/>
              </w:rPr>
              <w:t>依托</w:t>
            </w:r>
            <w:r>
              <w:rPr>
                <w:rFonts w:hint="eastAsia" w:eastAsia="宋体"/>
                <w:bCs/>
                <w:color w:val="auto"/>
                <w:kern w:val="0"/>
                <w:sz w:val="21"/>
                <w:szCs w:val="21"/>
              </w:rPr>
              <w:t>全厂卫生防护距离为：109工房、201工房、801工房、301工房、点火药生产工房</w:t>
            </w:r>
            <w:r>
              <w:rPr>
                <w:rFonts w:hint="eastAsia" w:eastAsia="宋体"/>
                <w:bCs/>
                <w:color w:val="auto"/>
                <w:kern w:val="0"/>
                <w:sz w:val="21"/>
                <w:szCs w:val="21"/>
                <w:lang w:eastAsia="zh-CN"/>
              </w:rPr>
              <w:t>（</w:t>
            </w:r>
            <w:r>
              <w:rPr>
                <w:rFonts w:hint="eastAsia" w:eastAsia="宋体"/>
                <w:bCs/>
                <w:color w:val="auto"/>
                <w:kern w:val="0"/>
                <w:sz w:val="21"/>
                <w:szCs w:val="21"/>
                <w:lang w:val="en-US" w:eastAsia="zh-CN"/>
              </w:rPr>
              <w:t>201.2</w:t>
            </w:r>
            <w:r>
              <w:rPr>
                <w:rFonts w:hint="eastAsia" w:eastAsia="宋体"/>
                <w:bCs/>
                <w:color w:val="auto"/>
                <w:kern w:val="0"/>
                <w:sz w:val="21"/>
                <w:szCs w:val="21"/>
                <w:lang w:eastAsia="zh-CN"/>
              </w:rPr>
              <w:t>）</w:t>
            </w:r>
            <w:r>
              <w:rPr>
                <w:rFonts w:hint="eastAsia" w:eastAsia="宋体"/>
                <w:bCs/>
                <w:color w:val="auto"/>
                <w:kern w:val="0"/>
                <w:sz w:val="21"/>
                <w:szCs w:val="21"/>
              </w:rPr>
              <w:t>、气体发生器生产工房（301）车间边界外扩50米；压片工房、清洗机配套污水处理站车间边界外扩100米形成的包络线范围。</w:t>
            </w:r>
            <w:r>
              <w:rPr>
                <w:rFonts w:eastAsia="宋体"/>
                <w:bCs/>
                <w:color w:val="auto"/>
                <w:kern w:val="0"/>
                <w:sz w:val="21"/>
                <w:szCs w:val="21"/>
              </w:rPr>
              <w:t>卫生防护距离范围内目前无居民点以及其他环境空气敏感保护点，今后在此范围内也不得建设居民点、学校、医院等环境敏感项目。在此条件下，对当地的环境空气质量影响较小，可满足环境管理要求。</w:t>
            </w:r>
          </w:p>
          <w:p w14:paraId="56885591">
            <w:pPr>
              <w:pStyle w:val="697"/>
              <w:spacing w:line="360" w:lineRule="auto"/>
              <w:ind w:firstLine="482"/>
              <w:rPr>
                <w:rFonts w:eastAsia="宋体"/>
                <w:bCs/>
                <w:color w:val="auto"/>
                <w:spacing w:val="0"/>
                <w:kern w:val="0"/>
                <w:sz w:val="21"/>
                <w:szCs w:val="21"/>
                <w:highlight w:val="none"/>
              </w:rPr>
            </w:pPr>
            <w:r>
              <w:rPr>
                <w:rFonts w:hint="eastAsia" w:eastAsia="宋体"/>
                <w:b/>
                <w:color w:val="auto"/>
                <w:spacing w:val="0"/>
                <w:kern w:val="0"/>
                <w:sz w:val="21"/>
                <w:szCs w:val="21"/>
                <w:highlight w:val="none"/>
                <w:lang w:eastAsia="zh-CN"/>
              </w:rPr>
              <w:t>（</w:t>
            </w:r>
            <w:r>
              <w:rPr>
                <w:rFonts w:hint="eastAsia" w:eastAsia="宋体"/>
                <w:b/>
                <w:color w:val="auto"/>
                <w:spacing w:val="0"/>
                <w:kern w:val="0"/>
                <w:sz w:val="21"/>
                <w:szCs w:val="21"/>
                <w:highlight w:val="none"/>
                <w:lang w:val="en-US" w:eastAsia="zh-CN"/>
              </w:rPr>
              <w:t>8</w:t>
            </w:r>
            <w:r>
              <w:rPr>
                <w:rFonts w:hint="eastAsia" w:eastAsia="宋体"/>
                <w:b/>
                <w:color w:val="auto"/>
                <w:spacing w:val="0"/>
                <w:kern w:val="0"/>
                <w:sz w:val="21"/>
                <w:szCs w:val="21"/>
                <w:highlight w:val="none"/>
                <w:lang w:eastAsia="zh-CN"/>
              </w:rPr>
              <w:t>）</w:t>
            </w:r>
            <w:r>
              <w:rPr>
                <w:rFonts w:hint="eastAsia" w:eastAsia="宋体"/>
                <w:b/>
                <w:color w:val="auto"/>
                <w:spacing w:val="0"/>
                <w:kern w:val="0"/>
                <w:sz w:val="21"/>
                <w:szCs w:val="21"/>
                <w:highlight w:val="none"/>
              </w:rPr>
              <w:t>异味环境影响分析</w:t>
            </w:r>
          </w:p>
          <w:p w14:paraId="0E1687D6">
            <w:pPr>
              <w:pStyle w:val="32"/>
              <w:spacing w:before="0" w:line="360" w:lineRule="auto"/>
              <w:ind w:firstLine="420" w:firstLineChars="200"/>
              <w:rPr>
                <w:rFonts w:ascii="Times New Roman" w:hAnsi="Times New Roman" w:eastAsia="宋体" w:cs="Times New Roman"/>
                <w:bCs/>
                <w:color w:val="auto"/>
                <w:spacing w:val="0"/>
                <w:kern w:val="0"/>
                <w:sz w:val="21"/>
                <w:szCs w:val="21"/>
                <w:lang w:val="en-US" w:eastAsia="zh-CN" w:bidi="ar-SA"/>
              </w:rPr>
            </w:pPr>
            <w:r>
              <w:rPr>
                <w:rFonts w:hint="eastAsia" w:ascii="Times New Roman" w:hAnsi="Times New Roman" w:eastAsia="宋体" w:cs="Times New Roman"/>
                <w:bCs/>
                <w:color w:val="auto"/>
                <w:spacing w:val="0"/>
                <w:kern w:val="0"/>
                <w:sz w:val="21"/>
                <w:szCs w:val="21"/>
                <w:lang w:val="en-US" w:eastAsia="zh-CN" w:bidi="ar-SA"/>
              </w:rPr>
              <w:t>建设项目</w:t>
            </w:r>
            <w:r>
              <w:rPr>
                <w:rFonts w:hint="eastAsia" w:ascii="Times New Roman" w:hAnsi="Times New Roman" w:cs="Times New Roman"/>
                <w:bCs/>
                <w:color w:val="auto"/>
                <w:spacing w:val="0"/>
                <w:kern w:val="0"/>
                <w:sz w:val="21"/>
                <w:szCs w:val="21"/>
                <w:lang w:val="en-US" w:eastAsia="zh-CN" w:bidi="ar-SA"/>
              </w:rPr>
              <w:t>危废焚烧</w:t>
            </w:r>
            <w:r>
              <w:rPr>
                <w:rFonts w:hint="eastAsia" w:ascii="Times New Roman" w:hAnsi="Times New Roman" w:eastAsia="宋体" w:cs="Times New Roman"/>
                <w:bCs/>
                <w:color w:val="auto"/>
                <w:spacing w:val="0"/>
                <w:kern w:val="0"/>
                <w:sz w:val="21"/>
                <w:szCs w:val="21"/>
                <w:lang w:val="en-US" w:eastAsia="zh-CN" w:bidi="ar-SA"/>
              </w:rPr>
              <w:t>时所产生的废气具有异味，主要为氨。其主要危害为：</w:t>
            </w:r>
          </w:p>
          <w:p w14:paraId="03D6E531">
            <w:pPr>
              <w:pStyle w:val="32"/>
              <w:spacing w:before="0" w:line="360" w:lineRule="auto"/>
              <w:ind w:firstLine="420" w:firstLineChars="200"/>
              <w:rPr>
                <w:rFonts w:ascii="Times New Roman" w:hAnsi="Times New Roman" w:eastAsia="宋体" w:cs="Times New Roman"/>
                <w:bCs/>
                <w:color w:val="auto"/>
                <w:spacing w:val="0"/>
                <w:kern w:val="0"/>
                <w:sz w:val="21"/>
                <w:szCs w:val="21"/>
                <w:lang w:val="en-US" w:eastAsia="zh-CN" w:bidi="ar-SA"/>
              </w:rPr>
            </w:pPr>
            <w:r>
              <w:rPr>
                <w:rFonts w:hint="eastAsia" w:ascii="Times New Roman" w:hAnsi="Times New Roman" w:eastAsia="宋体" w:cs="Times New Roman"/>
                <w:bCs/>
                <w:color w:val="auto"/>
                <w:spacing w:val="0"/>
                <w:kern w:val="0"/>
                <w:sz w:val="21"/>
                <w:szCs w:val="21"/>
                <w:lang w:val="en-US" w:eastAsia="zh-CN" w:bidi="ar-SA"/>
              </w:rPr>
              <w:t>异味危害主要有以下几个方面：</w:t>
            </w:r>
          </w:p>
          <w:p w14:paraId="633BD161">
            <w:pPr>
              <w:pStyle w:val="32"/>
              <w:spacing w:before="0" w:line="360" w:lineRule="auto"/>
              <w:ind w:firstLine="420" w:firstLineChars="200"/>
              <w:rPr>
                <w:rFonts w:ascii="Times New Roman" w:hAnsi="Times New Roman" w:eastAsia="宋体" w:cs="Times New Roman"/>
                <w:bCs/>
                <w:color w:val="auto"/>
                <w:spacing w:val="0"/>
                <w:kern w:val="0"/>
                <w:sz w:val="21"/>
                <w:szCs w:val="21"/>
                <w:lang w:val="en-US" w:eastAsia="zh-CN" w:bidi="ar-SA"/>
              </w:rPr>
            </w:pPr>
            <w:r>
              <w:rPr>
                <w:rFonts w:hint="eastAsia" w:ascii="Times New Roman" w:hAnsi="Times New Roman" w:eastAsia="宋体" w:cs="Times New Roman"/>
                <w:bCs/>
                <w:color w:val="auto"/>
                <w:spacing w:val="0"/>
                <w:kern w:val="0"/>
                <w:sz w:val="21"/>
                <w:szCs w:val="21"/>
                <w:lang w:val="en-US" w:eastAsia="zh-CN" w:bidi="ar-SA"/>
              </w:rPr>
              <w:t>①危害呼吸系统。人们突然闻到异味，就会产生反射性的抑制吸气，是呼吸次数减少，深度变浅，甚至会暂时停止呼吸，妨碍正常呼吸功能。</w:t>
            </w:r>
          </w:p>
          <w:p w14:paraId="6705DD0F">
            <w:pPr>
              <w:pStyle w:val="32"/>
              <w:spacing w:before="0" w:line="360" w:lineRule="auto"/>
              <w:ind w:firstLine="420" w:firstLineChars="200"/>
              <w:rPr>
                <w:rFonts w:ascii="Times New Roman" w:hAnsi="Times New Roman" w:eastAsia="宋体" w:cs="Times New Roman"/>
                <w:bCs/>
                <w:color w:val="auto"/>
                <w:spacing w:val="0"/>
                <w:kern w:val="0"/>
                <w:sz w:val="21"/>
                <w:szCs w:val="21"/>
                <w:lang w:val="en-US" w:eastAsia="zh-CN" w:bidi="ar-SA"/>
              </w:rPr>
            </w:pPr>
            <w:r>
              <w:rPr>
                <w:rFonts w:hint="eastAsia" w:ascii="Times New Roman" w:hAnsi="Times New Roman" w:eastAsia="宋体" w:cs="Times New Roman"/>
                <w:bCs/>
                <w:color w:val="auto"/>
                <w:spacing w:val="0"/>
                <w:kern w:val="0"/>
                <w:sz w:val="21"/>
                <w:szCs w:val="21"/>
                <w:lang w:val="en-US" w:eastAsia="zh-CN" w:bidi="ar-SA"/>
              </w:rPr>
              <w:t>②危害循环系统。随着呼吸的变化，会出现脉搏和血压的变化。刺激性异味气体会使血压出现先下降后上升，脉搏先减慢后加快的现象。</w:t>
            </w:r>
          </w:p>
          <w:p w14:paraId="400581A2">
            <w:pPr>
              <w:pStyle w:val="32"/>
              <w:spacing w:before="0" w:line="360" w:lineRule="auto"/>
              <w:ind w:firstLine="420" w:firstLineChars="200"/>
              <w:rPr>
                <w:rFonts w:ascii="Times New Roman" w:hAnsi="Times New Roman" w:eastAsia="宋体" w:cs="Times New Roman"/>
                <w:bCs/>
                <w:color w:val="auto"/>
                <w:spacing w:val="0"/>
                <w:kern w:val="0"/>
                <w:sz w:val="21"/>
                <w:szCs w:val="21"/>
                <w:lang w:val="en-US" w:eastAsia="zh-CN" w:bidi="ar-SA"/>
              </w:rPr>
            </w:pPr>
            <w:r>
              <w:rPr>
                <w:rFonts w:hint="eastAsia" w:ascii="Times New Roman" w:hAnsi="Times New Roman" w:eastAsia="宋体" w:cs="Times New Roman"/>
                <w:bCs/>
                <w:color w:val="auto"/>
                <w:spacing w:val="0"/>
                <w:kern w:val="0"/>
                <w:sz w:val="21"/>
                <w:szCs w:val="21"/>
                <w:lang w:val="en-US" w:eastAsia="zh-CN" w:bidi="ar-SA"/>
              </w:rPr>
              <w:t>③危害消化系统。经常接触异味，会使人厌食，恶心，甚至呕吐，进而发展为消化功能减退。</w:t>
            </w:r>
          </w:p>
          <w:p w14:paraId="66B34DF8">
            <w:pPr>
              <w:pStyle w:val="32"/>
              <w:spacing w:before="0" w:line="360" w:lineRule="auto"/>
              <w:ind w:firstLine="420" w:firstLineChars="200"/>
              <w:rPr>
                <w:rFonts w:ascii="Times New Roman" w:hAnsi="Times New Roman" w:eastAsia="宋体" w:cs="Times New Roman"/>
                <w:bCs/>
                <w:color w:val="auto"/>
                <w:spacing w:val="0"/>
                <w:kern w:val="0"/>
                <w:sz w:val="21"/>
                <w:szCs w:val="21"/>
                <w:lang w:val="en-US" w:eastAsia="zh-CN" w:bidi="ar-SA"/>
              </w:rPr>
            </w:pPr>
            <w:r>
              <w:rPr>
                <w:rFonts w:hint="eastAsia" w:ascii="Times New Roman" w:hAnsi="Times New Roman" w:eastAsia="宋体" w:cs="Times New Roman"/>
                <w:bCs/>
                <w:color w:val="auto"/>
                <w:spacing w:val="0"/>
                <w:kern w:val="0"/>
                <w:sz w:val="21"/>
                <w:szCs w:val="21"/>
                <w:lang w:val="en-US" w:eastAsia="zh-CN" w:bidi="ar-SA"/>
              </w:rPr>
              <w:t>④危害内分泌系统。经常受异味刺激，会使内分泌系统的分泌功能紊乱，影响机体的代谢活动。</w:t>
            </w:r>
          </w:p>
          <w:p w14:paraId="2EAA9256">
            <w:pPr>
              <w:pStyle w:val="32"/>
              <w:spacing w:before="0" w:line="360" w:lineRule="auto"/>
              <w:ind w:firstLine="420" w:firstLineChars="200"/>
              <w:rPr>
                <w:rFonts w:ascii="Times New Roman" w:hAnsi="Times New Roman" w:eastAsia="宋体" w:cs="Times New Roman"/>
                <w:bCs/>
                <w:color w:val="auto"/>
                <w:spacing w:val="0"/>
                <w:kern w:val="0"/>
                <w:sz w:val="21"/>
                <w:szCs w:val="21"/>
                <w:lang w:val="en-US" w:eastAsia="zh-CN" w:bidi="ar-SA"/>
              </w:rPr>
            </w:pPr>
            <w:r>
              <w:rPr>
                <w:rFonts w:hint="eastAsia" w:ascii="Times New Roman" w:hAnsi="Times New Roman" w:eastAsia="宋体" w:cs="Times New Roman"/>
                <w:bCs/>
                <w:color w:val="auto"/>
                <w:spacing w:val="0"/>
                <w:kern w:val="0"/>
                <w:sz w:val="21"/>
                <w:szCs w:val="21"/>
                <w:lang w:val="en-US" w:eastAsia="zh-CN" w:bidi="ar-SA"/>
              </w:rPr>
              <w:t>⑤危害神经系统。长期受到一种或几种低浓度异味物质的刺激，会引起嗅觉脱失、嗅觉疲劳等障碍。“久闻而不知其臭”，使嗅觉丧失了第一道防御功能，但脑神经仍不断收到刺激和损伤，最后导致大脑皮层兴奋和抑制的调节失调。</w:t>
            </w:r>
          </w:p>
          <w:p w14:paraId="406A1346">
            <w:pPr>
              <w:spacing w:line="360" w:lineRule="auto"/>
              <w:ind w:firstLine="420" w:firstLineChars="200"/>
              <w:rPr>
                <w:rFonts w:hint="eastAsia"/>
                <w:b/>
                <w:color w:val="auto"/>
                <w:spacing w:val="0"/>
                <w:kern w:val="0"/>
                <w:sz w:val="21"/>
                <w:szCs w:val="21"/>
              </w:rPr>
            </w:pPr>
            <w:r>
              <w:rPr>
                <w:rFonts w:hint="eastAsia" w:ascii="Times New Roman" w:hAnsi="Times New Roman" w:eastAsia="宋体" w:cs="Times New Roman"/>
                <w:bCs/>
                <w:color w:val="auto"/>
                <w:spacing w:val="0"/>
                <w:kern w:val="0"/>
                <w:sz w:val="21"/>
                <w:szCs w:val="21"/>
                <w:lang w:val="en-US" w:eastAsia="zh-CN" w:bidi="ar-SA"/>
              </w:rPr>
              <w:t>本项目主要恶臭物质主要为氨。查询可知，</w:t>
            </w:r>
            <w:r>
              <w:rPr>
                <w:rFonts w:hint="eastAsia"/>
                <w:color w:val="auto"/>
                <w:spacing w:val="0"/>
                <w:kern w:val="0"/>
                <w:sz w:val="21"/>
                <w:szCs w:val="21"/>
                <w:highlight w:val="none"/>
                <w:lang w:val="en-US" w:eastAsia="zh-CN"/>
              </w:rPr>
              <w:t>氨的嗅阈值为</w:t>
            </w:r>
            <w:r>
              <w:rPr>
                <w:rFonts w:hint="eastAsia" w:ascii="Times New Roman" w:hAnsi="Times New Roman" w:eastAsia="宋体" w:cs="Times New Roman"/>
                <w:color w:val="auto"/>
                <w:spacing w:val="0"/>
                <w:kern w:val="0"/>
                <w:sz w:val="21"/>
                <w:szCs w:val="21"/>
                <w:highlight w:val="none"/>
                <w:lang w:val="en-US" w:eastAsia="zh-CN"/>
              </w:rPr>
              <w:t>0.6</w:t>
            </w:r>
            <w:r>
              <w:rPr>
                <w:rFonts w:hint="default" w:ascii="Times New Roman" w:hAnsi="Times New Roman" w:eastAsia="宋体" w:cs="Times New Roman"/>
                <w:color w:val="auto"/>
                <w:spacing w:val="0"/>
                <w:kern w:val="0"/>
                <w:sz w:val="21"/>
                <w:szCs w:val="21"/>
                <w:highlight w:val="none"/>
                <w:lang w:val="en-US" w:eastAsia="zh-CN"/>
              </w:rPr>
              <w:t>mg/m</w:t>
            </w:r>
            <w:r>
              <w:rPr>
                <w:rFonts w:hint="default" w:ascii="Times New Roman" w:hAnsi="Times New Roman" w:eastAsia="宋体" w:cs="Times New Roman"/>
                <w:color w:val="auto"/>
                <w:spacing w:val="0"/>
                <w:kern w:val="0"/>
                <w:sz w:val="21"/>
                <w:szCs w:val="21"/>
                <w:highlight w:val="none"/>
                <w:vertAlign w:val="superscript"/>
                <w:lang w:val="en-US" w:eastAsia="zh-CN"/>
              </w:rPr>
              <w:t>3</w:t>
            </w:r>
            <w:r>
              <w:rPr>
                <w:rFonts w:hint="eastAsia"/>
                <w:color w:val="auto"/>
                <w:spacing w:val="0"/>
                <w:kern w:val="0"/>
                <w:sz w:val="21"/>
                <w:szCs w:val="21"/>
                <w:highlight w:val="none"/>
                <w:lang w:val="en-US" w:eastAsia="zh-CN"/>
              </w:rPr>
              <w:t>，</w:t>
            </w:r>
            <w:r>
              <w:rPr>
                <w:rFonts w:hint="eastAsia" w:ascii="Times New Roman" w:hAnsi="Times New Roman" w:eastAsia="宋体" w:cs="Times New Roman"/>
                <w:bCs/>
                <w:color w:val="auto"/>
                <w:spacing w:val="0"/>
                <w:kern w:val="0"/>
                <w:sz w:val="21"/>
                <w:szCs w:val="21"/>
                <w:lang w:val="en-US" w:eastAsia="zh-CN" w:bidi="ar-SA"/>
              </w:rPr>
              <w:t>项目异味排放对环境影响较小。</w:t>
            </w:r>
          </w:p>
          <w:p w14:paraId="3A84FEFC">
            <w:pPr>
              <w:pStyle w:val="5"/>
              <w:adjustRightInd w:val="0"/>
              <w:snapToGrid w:val="0"/>
              <w:spacing w:line="360" w:lineRule="auto"/>
              <w:ind w:firstLine="422" w:firstLineChars="200"/>
              <w:rPr>
                <w:b/>
                <w:color w:val="auto"/>
                <w:kern w:val="0"/>
                <w:szCs w:val="21"/>
              </w:rPr>
            </w:pPr>
            <w:r>
              <w:rPr>
                <w:rFonts w:hint="eastAsia"/>
                <w:b/>
                <w:color w:val="auto"/>
                <w:kern w:val="0"/>
                <w:szCs w:val="21"/>
              </w:rPr>
              <w:t>（</w:t>
            </w:r>
            <w:r>
              <w:rPr>
                <w:rFonts w:hint="eastAsia"/>
                <w:b/>
                <w:color w:val="auto"/>
                <w:kern w:val="0"/>
                <w:szCs w:val="21"/>
                <w:lang w:val="en-US" w:eastAsia="zh-CN"/>
              </w:rPr>
              <w:t>9</w:t>
            </w:r>
            <w:r>
              <w:rPr>
                <w:rFonts w:hint="eastAsia"/>
                <w:b/>
                <w:color w:val="auto"/>
                <w:kern w:val="0"/>
                <w:szCs w:val="21"/>
              </w:rPr>
              <w:t>）环境监测计划</w:t>
            </w:r>
          </w:p>
          <w:p w14:paraId="3A84FEFD">
            <w:pPr>
              <w:pStyle w:val="5"/>
              <w:adjustRightInd w:val="0"/>
              <w:snapToGrid w:val="0"/>
              <w:spacing w:line="360" w:lineRule="auto"/>
              <w:ind w:firstLineChars="200"/>
              <w:rPr>
                <w:b/>
                <w:color w:val="auto"/>
                <w:kern w:val="0"/>
                <w:szCs w:val="21"/>
              </w:rPr>
            </w:pPr>
            <w:r>
              <w:rPr>
                <w:rFonts w:hint="eastAsia"/>
                <w:bCs/>
                <w:color w:val="auto"/>
                <w:kern w:val="0"/>
                <w:szCs w:val="21"/>
              </w:rPr>
              <w:t>根据《排污单位自行监测技术指南 总则》</w:t>
            </w:r>
            <w:r>
              <w:rPr>
                <w:color w:val="auto"/>
              </w:rPr>
              <w:fldChar w:fldCharType="begin"/>
            </w:r>
            <w:r>
              <w:rPr>
                <w:color w:val="auto"/>
              </w:rPr>
              <w:instrText xml:space="preserve"> HYPERLINK "http://www.mee.gov.cn/ywgz/fgbz/bz/bzwb/jcffbz/202001/W020200113417476489912.pdf" </w:instrText>
            </w:r>
            <w:r>
              <w:rPr>
                <w:color w:val="auto"/>
              </w:rPr>
              <w:fldChar w:fldCharType="separate"/>
            </w:r>
            <w:r>
              <w:rPr>
                <w:rFonts w:hint="eastAsia"/>
                <w:bCs/>
                <w:color w:val="auto"/>
                <w:kern w:val="0"/>
                <w:szCs w:val="21"/>
              </w:rPr>
              <w:t>（HJ819-2017）</w:t>
            </w:r>
            <w:r>
              <w:rPr>
                <w:rFonts w:hint="eastAsia"/>
                <w:bCs/>
                <w:color w:val="auto"/>
                <w:kern w:val="0"/>
                <w:szCs w:val="21"/>
              </w:rPr>
              <w:fldChar w:fldCharType="end"/>
            </w:r>
            <w:r>
              <w:rPr>
                <w:rFonts w:hint="eastAsia"/>
                <w:bCs/>
                <w:color w:val="auto"/>
                <w:kern w:val="0"/>
                <w:szCs w:val="21"/>
                <w:lang w:eastAsia="zh-CN"/>
              </w:rPr>
              <w:t>、《</w:t>
            </w:r>
            <w:r>
              <w:rPr>
                <w:rFonts w:hint="eastAsia"/>
                <w:bCs/>
                <w:color w:val="auto"/>
                <w:kern w:val="0"/>
                <w:szCs w:val="21"/>
                <w:lang w:val="en-US" w:eastAsia="zh-CN"/>
              </w:rPr>
              <w:t>排污单位自行监测技术指南 固体废物焚烧</w:t>
            </w:r>
            <w:r>
              <w:rPr>
                <w:rFonts w:hint="eastAsia"/>
                <w:bCs/>
                <w:color w:val="auto"/>
                <w:kern w:val="0"/>
                <w:szCs w:val="21"/>
                <w:lang w:eastAsia="zh-CN"/>
              </w:rPr>
              <w:t>》（</w:t>
            </w:r>
            <w:r>
              <w:rPr>
                <w:rFonts w:hint="eastAsia"/>
                <w:bCs/>
                <w:color w:val="auto"/>
                <w:kern w:val="0"/>
                <w:szCs w:val="21"/>
                <w:lang w:val="en-US" w:eastAsia="zh-CN"/>
              </w:rPr>
              <w:t>HJ1205-2021</w:t>
            </w:r>
            <w:r>
              <w:rPr>
                <w:rFonts w:hint="eastAsia"/>
                <w:bCs/>
                <w:color w:val="auto"/>
                <w:kern w:val="0"/>
                <w:szCs w:val="21"/>
                <w:lang w:eastAsia="zh-CN"/>
              </w:rPr>
              <w:t>）</w:t>
            </w:r>
            <w:r>
              <w:rPr>
                <w:color w:val="auto"/>
                <w:kern w:val="0"/>
                <w:szCs w:val="21"/>
              </w:rPr>
              <w:t>中相关要求</w:t>
            </w:r>
            <w:r>
              <w:rPr>
                <w:bCs/>
                <w:color w:val="auto"/>
                <w:kern w:val="0"/>
                <w:szCs w:val="21"/>
              </w:rPr>
              <w:t>，</w:t>
            </w:r>
            <w:r>
              <w:rPr>
                <w:rFonts w:hint="eastAsia"/>
                <w:bCs/>
                <w:color w:val="auto"/>
                <w:kern w:val="0"/>
                <w:szCs w:val="21"/>
              </w:rPr>
              <w:t>本项目</w:t>
            </w:r>
            <w:r>
              <w:rPr>
                <w:bCs/>
                <w:color w:val="auto"/>
                <w:kern w:val="0"/>
                <w:szCs w:val="21"/>
              </w:rPr>
              <w:t>废气</w:t>
            </w:r>
            <w:r>
              <w:rPr>
                <w:rFonts w:hint="eastAsia"/>
                <w:bCs/>
                <w:color w:val="auto"/>
                <w:kern w:val="0"/>
                <w:szCs w:val="21"/>
              </w:rPr>
              <w:t>例行</w:t>
            </w:r>
            <w:r>
              <w:rPr>
                <w:bCs/>
                <w:color w:val="auto"/>
                <w:kern w:val="0"/>
                <w:szCs w:val="21"/>
              </w:rPr>
              <w:t>监测计划详见</w:t>
            </w:r>
            <w:r>
              <w:rPr>
                <w:rFonts w:hint="eastAsia"/>
                <w:bCs/>
                <w:color w:val="auto"/>
                <w:kern w:val="0"/>
                <w:szCs w:val="21"/>
              </w:rPr>
              <w:t>下表。</w:t>
            </w:r>
          </w:p>
          <w:p w14:paraId="3A84FEFE">
            <w:pPr>
              <w:adjustRightInd w:val="0"/>
              <w:snapToGrid w:val="0"/>
              <w:jc w:val="center"/>
              <w:rPr>
                <w:b/>
                <w:color w:val="auto"/>
                <w:kern w:val="0"/>
              </w:rPr>
            </w:pPr>
            <w:r>
              <w:rPr>
                <w:b/>
                <w:color w:val="auto"/>
                <w:kern w:val="0"/>
              </w:rPr>
              <w:t>表4-</w:t>
            </w:r>
            <w:r>
              <w:rPr>
                <w:rFonts w:hint="eastAsia"/>
                <w:b/>
                <w:color w:val="auto"/>
                <w:kern w:val="0"/>
                <w:lang w:val="en-US" w:eastAsia="zh-CN"/>
              </w:rPr>
              <w:t>9</w:t>
            </w:r>
            <w:r>
              <w:rPr>
                <w:rFonts w:hint="eastAsia"/>
                <w:b/>
                <w:color w:val="auto"/>
                <w:kern w:val="0"/>
              </w:rPr>
              <w:t xml:space="preserve">   </w:t>
            </w:r>
            <w:r>
              <w:rPr>
                <w:b/>
                <w:color w:val="auto"/>
                <w:kern w:val="0"/>
              </w:rPr>
              <w:t>污染源监测要求</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655"/>
              <w:gridCol w:w="1123"/>
              <w:gridCol w:w="1780"/>
              <w:gridCol w:w="3232"/>
              <w:gridCol w:w="1607"/>
              <w:gridCol w:w="1198"/>
            </w:tblGrid>
            <w:tr w14:paraId="3A84FF0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tcBorders>
                    <w:tl2br w:val="nil"/>
                    <w:tr2bl w:val="nil"/>
                  </w:tcBorders>
                  <w:vAlign w:val="center"/>
                </w:tcPr>
                <w:p w14:paraId="3A84FEFF">
                  <w:pPr>
                    <w:jc w:val="center"/>
                    <w:rPr>
                      <w:b/>
                      <w:color w:val="auto"/>
                      <w:kern w:val="0"/>
                    </w:rPr>
                  </w:pPr>
                  <w:r>
                    <w:rPr>
                      <w:b/>
                      <w:color w:val="auto"/>
                      <w:kern w:val="0"/>
                    </w:rPr>
                    <w:t>类型</w:t>
                  </w:r>
                </w:p>
              </w:tc>
              <w:tc>
                <w:tcPr>
                  <w:tcW w:w="585" w:type="pct"/>
                  <w:tcBorders>
                    <w:tl2br w:val="nil"/>
                    <w:tr2bl w:val="nil"/>
                  </w:tcBorders>
                  <w:vAlign w:val="center"/>
                </w:tcPr>
                <w:p w14:paraId="3A84FF00">
                  <w:pPr>
                    <w:jc w:val="center"/>
                    <w:rPr>
                      <w:b/>
                      <w:color w:val="auto"/>
                      <w:kern w:val="0"/>
                    </w:rPr>
                  </w:pPr>
                  <w:r>
                    <w:rPr>
                      <w:b/>
                      <w:color w:val="auto"/>
                      <w:kern w:val="0"/>
                    </w:rPr>
                    <w:t>监测项目</w:t>
                  </w:r>
                </w:p>
              </w:tc>
              <w:tc>
                <w:tcPr>
                  <w:tcW w:w="927" w:type="pct"/>
                  <w:tcBorders>
                    <w:tl2br w:val="nil"/>
                    <w:tr2bl w:val="nil"/>
                  </w:tcBorders>
                  <w:vAlign w:val="center"/>
                </w:tcPr>
                <w:p w14:paraId="3A84FF01">
                  <w:pPr>
                    <w:jc w:val="center"/>
                    <w:rPr>
                      <w:b/>
                      <w:color w:val="auto"/>
                      <w:kern w:val="0"/>
                    </w:rPr>
                  </w:pPr>
                  <w:r>
                    <w:rPr>
                      <w:b/>
                      <w:color w:val="auto"/>
                      <w:kern w:val="0"/>
                    </w:rPr>
                    <w:t>监测位置</w:t>
                  </w:r>
                </w:p>
              </w:tc>
              <w:tc>
                <w:tcPr>
                  <w:tcW w:w="1683" w:type="pct"/>
                  <w:tcBorders>
                    <w:tl2br w:val="nil"/>
                    <w:tr2bl w:val="nil"/>
                  </w:tcBorders>
                  <w:vAlign w:val="center"/>
                </w:tcPr>
                <w:p w14:paraId="3A84FF02">
                  <w:pPr>
                    <w:jc w:val="center"/>
                    <w:rPr>
                      <w:b/>
                      <w:color w:val="auto"/>
                      <w:kern w:val="0"/>
                    </w:rPr>
                  </w:pPr>
                  <w:r>
                    <w:rPr>
                      <w:b/>
                      <w:color w:val="auto"/>
                      <w:kern w:val="0"/>
                    </w:rPr>
                    <w:t>检测点位</w:t>
                  </w:r>
                </w:p>
              </w:tc>
              <w:tc>
                <w:tcPr>
                  <w:tcW w:w="837" w:type="pct"/>
                  <w:tcBorders>
                    <w:tl2br w:val="nil"/>
                    <w:tr2bl w:val="nil"/>
                  </w:tcBorders>
                  <w:vAlign w:val="center"/>
                </w:tcPr>
                <w:p w14:paraId="3A84FF03">
                  <w:pPr>
                    <w:jc w:val="center"/>
                    <w:rPr>
                      <w:b/>
                      <w:color w:val="auto"/>
                      <w:kern w:val="0"/>
                    </w:rPr>
                  </w:pPr>
                  <w:r>
                    <w:rPr>
                      <w:b/>
                      <w:color w:val="auto"/>
                      <w:kern w:val="0"/>
                    </w:rPr>
                    <w:t>监测因子</w:t>
                  </w:r>
                </w:p>
              </w:tc>
              <w:tc>
                <w:tcPr>
                  <w:tcW w:w="624" w:type="pct"/>
                  <w:tcBorders>
                    <w:tl2br w:val="nil"/>
                    <w:tr2bl w:val="nil"/>
                  </w:tcBorders>
                  <w:vAlign w:val="center"/>
                </w:tcPr>
                <w:p w14:paraId="3A84FF04">
                  <w:pPr>
                    <w:jc w:val="center"/>
                    <w:rPr>
                      <w:b/>
                      <w:color w:val="auto"/>
                      <w:kern w:val="0"/>
                    </w:rPr>
                  </w:pPr>
                  <w:r>
                    <w:rPr>
                      <w:b/>
                      <w:color w:val="auto"/>
                      <w:kern w:val="0"/>
                    </w:rPr>
                    <w:t>监测频率</w:t>
                  </w:r>
                </w:p>
              </w:tc>
            </w:tr>
            <w:tr w14:paraId="3A84FF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restart"/>
                  <w:tcBorders>
                    <w:tl2br w:val="nil"/>
                    <w:tr2bl w:val="nil"/>
                  </w:tcBorders>
                  <w:vAlign w:val="center"/>
                </w:tcPr>
                <w:p w14:paraId="3A84FF06">
                  <w:pPr>
                    <w:jc w:val="center"/>
                    <w:rPr>
                      <w:color w:val="auto"/>
                      <w:kern w:val="0"/>
                    </w:rPr>
                  </w:pPr>
                  <w:r>
                    <w:rPr>
                      <w:color w:val="auto"/>
                      <w:kern w:val="0"/>
                    </w:rPr>
                    <w:t>例行监测</w:t>
                  </w:r>
                </w:p>
              </w:tc>
              <w:tc>
                <w:tcPr>
                  <w:tcW w:w="585" w:type="pct"/>
                  <w:vMerge w:val="restart"/>
                  <w:tcBorders>
                    <w:tl2br w:val="nil"/>
                    <w:tr2bl w:val="nil"/>
                  </w:tcBorders>
                  <w:vAlign w:val="center"/>
                </w:tcPr>
                <w:p w14:paraId="3A84FF07">
                  <w:pPr>
                    <w:jc w:val="center"/>
                    <w:rPr>
                      <w:color w:val="auto"/>
                      <w:kern w:val="0"/>
                    </w:rPr>
                  </w:pPr>
                  <w:r>
                    <w:rPr>
                      <w:color w:val="auto"/>
                      <w:kern w:val="0"/>
                    </w:rPr>
                    <w:t>无组织废气监测</w:t>
                  </w:r>
                </w:p>
              </w:tc>
              <w:tc>
                <w:tcPr>
                  <w:tcW w:w="927" w:type="pct"/>
                  <w:vMerge w:val="restart"/>
                  <w:tcBorders>
                    <w:tl2br w:val="nil"/>
                    <w:tr2bl w:val="nil"/>
                  </w:tcBorders>
                  <w:vAlign w:val="center"/>
                </w:tcPr>
                <w:p w14:paraId="3A84FF08">
                  <w:pPr>
                    <w:jc w:val="center"/>
                    <w:rPr>
                      <w:color w:val="auto"/>
                      <w:kern w:val="0"/>
                    </w:rPr>
                  </w:pPr>
                  <w:r>
                    <w:rPr>
                      <w:color w:val="auto"/>
                      <w:kern w:val="0"/>
                    </w:rPr>
                    <w:t>厂界</w:t>
                  </w:r>
                </w:p>
              </w:tc>
              <w:tc>
                <w:tcPr>
                  <w:tcW w:w="1683" w:type="pct"/>
                  <w:vMerge w:val="restart"/>
                  <w:tcBorders>
                    <w:tl2br w:val="nil"/>
                    <w:tr2bl w:val="nil"/>
                  </w:tcBorders>
                  <w:vAlign w:val="center"/>
                </w:tcPr>
                <w:p w14:paraId="3A84FF09">
                  <w:pPr>
                    <w:jc w:val="center"/>
                    <w:rPr>
                      <w:color w:val="auto"/>
                      <w:kern w:val="0"/>
                    </w:rPr>
                  </w:pPr>
                  <w:r>
                    <w:rPr>
                      <w:color w:val="auto"/>
                      <w:kern w:val="0"/>
                    </w:rPr>
                    <w:t>厂界上风向设置一个监测点，下风向设置三个监测点</w:t>
                  </w:r>
                </w:p>
              </w:tc>
              <w:tc>
                <w:tcPr>
                  <w:tcW w:w="837" w:type="pct"/>
                  <w:tcBorders>
                    <w:tl2br w:val="nil"/>
                    <w:tr2bl w:val="nil"/>
                  </w:tcBorders>
                  <w:vAlign w:val="center"/>
                </w:tcPr>
                <w:p w14:paraId="3A84FF0A">
                  <w:pPr>
                    <w:jc w:val="center"/>
                    <w:rPr>
                      <w:color w:val="auto"/>
                      <w:kern w:val="0"/>
                    </w:rPr>
                  </w:pPr>
                  <w:r>
                    <w:rPr>
                      <w:rStyle w:val="71"/>
                      <w:color w:val="auto"/>
                      <w:kern w:val="0"/>
                    </w:rPr>
                    <w:t>非甲烷总烃</w:t>
                  </w:r>
                </w:p>
              </w:tc>
              <w:tc>
                <w:tcPr>
                  <w:tcW w:w="624" w:type="pct"/>
                  <w:tcBorders>
                    <w:tl2br w:val="nil"/>
                    <w:tr2bl w:val="nil"/>
                  </w:tcBorders>
                  <w:vAlign w:val="center"/>
                </w:tcPr>
                <w:p w14:paraId="3A84FF0B">
                  <w:pPr>
                    <w:jc w:val="center"/>
                    <w:rPr>
                      <w:color w:val="auto"/>
                      <w:kern w:val="0"/>
                    </w:rPr>
                  </w:pPr>
                  <w:r>
                    <w:rPr>
                      <w:color w:val="auto"/>
                      <w:kern w:val="0"/>
                    </w:rPr>
                    <w:t>1次/</w:t>
                  </w:r>
                  <w:r>
                    <w:rPr>
                      <w:rFonts w:hint="eastAsia"/>
                      <w:color w:val="auto"/>
                      <w:kern w:val="0"/>
                      <w:lang w:val="en-US" w:eastAsia="zh-CN"/>
                    </w:rPr>
                    <w:t>半</w:t>
                  </w:r>
                  <w:r>
                    <w:rPr>
                      <w:color w:val="auto"/>
                      <w:kern w:val="0"/>
                    </w:rPr>
                    <w:t>年</w:t>
                  </w:r>
                </w:p>
              </w:tc>
            </w:tr>
            <w:tr w14:paraId="3A84FF1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3A84FF0D">
                  <w:pPr>
                    <w:jc w:val="center"/>
                    <w:rPr>
                      <w:color w:val="auto"/>
                      <w:kern w:val="0"/>
                    </w:rPr>
                  </w:pPr>
                </w:p>
              </w:tc>
              <w:tc>
                <w:tcPr>
                  <w:tcW w:w="585" w:type="pct"/>
                  <w:vMerge w:val="continue"/>
                  <w:tcBorders>
                    <w:tl2br w:val="nil"/>
                    <w:tr2bl w:val="nil"/>
                  </w:tcBorders>
                  <w:vAlign w:val="center"/>
                </w:tcPr>
                <w:p w14:paraId="3A84FF0E">
                  <w:pPr>
                    <w:jc w:val="center"/>
                    <w:rPr>
                      <w:color w:val="auto"/>
                      <w:kern w:val="0"/>
                    </w:rPr>
                  </w:pPr>
                </w:p>
              </w:tc>
              <w:tc>
                <w:tcPr>
                  <w:tcW w:w="927" w:type="pct"/>
                  <w:vMerge w:val="continue"/>
                  <w:tcBorders>
                    <w:tl2br w:val="nil"/>
                    <w:tr2bl w:val="nil"/>
                  </w:tcBorders>
                  <w:vAlign w:val="center"/>
                </w:tcPr>
                <w:p w14:paraId="3A84FF0F">
                  <w:pPr>
                    <w:jc w:val="center"/>
                    <w:rPr>
                      <w:color w:val="auto"/>
                      <w:kern w:val="0"/>
                    </w:rPr>
                  </w:pPr>
                </w:p>
              </w:tc>
              <w:tc>
                <w:tcPr>
                  <w:tcW w:w="1683" w:type="pct"/>
                  <w:vMerge w:val="continue"/>
                  <w:tcBorders>
                    <w:tl2br w:val="nil"/>
                    <w:tr2bl w:val="nil"/>
                  </w:tcBorders>
                  <w:vAlign w:val="center"/>
                </w:tcPr>
                <w:p w14:paraId="3A84FF10">
                  <w:pPr>
                    <w:jc w:val="center"/>
                    <w:rPr>
                      <w:color w:val="auto"/>
                      <w:kern w:val="0"/>
                    </w:rPr>
                  </w:pPr>
                </w:p>
              </w:tc>
              <w:tc>
                <w:tcPr>
                  <w:tcW w:w="837" w:type="pct"/>
                  <w:tcBorders>
                    <w:tl2br w:val="nil"/>
                    <w:tr2bl w:val="nil"/>
                  </w:tcBorders>
                  <w:vAlign w:val="center"/>
                </w:tcPr>
                <w:p w14:paraId="3A84FF11">
                  <w:pPr>
                    <w:jc w:val="center"/>
                    <w:rPr>
                      <w:color w:val="auto"/>
                      <w:kern w:val="0"/>
                    </w:rPr>
                  </w:pPr>
                  <w:r>
                    <w:rPr>
                      <w:rFonts w:hint="eastAsia"/>
                      <w:color w:val="auto"/>
                      <w:kern w:val="0"/>
                    </w:rPr>
                    <w:t>颗粒物</w:t>
                  </w:r>
                </w:p>
              </w:tc>
              <w:tc>
                <w:tcPr>
                  <w:tcW w:w="624" w:type="pct"/>
                  <w:tcBorders>
                    <w:tl2br w:val="nil"/>
                    <w:tr2bl w:val="nil"/>
                  </w:tcBorders>
                  <w:vAlign w:val="center"/>
                </w:tcPr>
                <w:p w14:paraId="3A84FF12">
                  <w:pPr>
                    <w:jc w:val="center"/>
                    <w:rPr>
                      <w:color w:val="auto"/>
                      <w:kern w:val="0"/>
                    </w:rPr>
                  </w:pPr>
                  <w:r>
                    <w:rPr>
                      <w:color w:val="auto"/>
                      <w:kern w:val="0"/>
                    </w:rPr>
                    <w:t>1次/</w:t>
                  </w:r>
                  <w:r>
                    <w:rPr>
                      <w:rFonts w:hint="eastAsia"/>
                      <w:color w:val="auto"/>
                      <w:kern w:val="0"/>
                      <w:lang w:val="en-US" w:eastAsia="zh-CN"/>
                    </w:rPr>
                    <w:t>半</w:t>
                  </w:r>
                  <w:r>
                    <w:rPr>
                      <w:color w:val="auto"/>
                      <w:kern w:val="0"/>
                    </w:rPr>
                    <w:t>年</w:t>
                  </w:r>
                </w:p>
              </w:tc>
            </w:tr>
            <w:tr w14:paraId="3A84FF1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3A84FF14">
                  <w:pPr>
                    <w:jc w:val="center"/>
                    <w:rPr>
                      <w:color w:val="auto"/>
                      <w:kern w:val="0"/>
                    </w:rPr>
                  </w:pPr>
                </w:p>
              </w:tc>
              <w:tc>
                <w:tcPr>
                  <w:tcW w:w="585" w:type="pct"/>
                  <w:vMerge w:val="continue"/>
                  <w:tcBorders>
                    <w:tl2br w:val="nil"/>
                    <w:tr2bl w:val="nil"/>
                  </w:tcBorders>
                  <w:vAlign w:val="center"/>
                </w:tcPr>
                <w:p w14:paraId="3A84FF15">
                  <w:pPr>
                    <w:jc w:val="center"/>
                    <w:rPr>
                      <w:color w:val="auto"/>
                      <w:kern w:val="0"/>
                    </w:rPr>
                  </w:pPr>
                </w:p>
              </w:tc>
              <w:tc>
                <w:tcPr>
                  <w:tcW w:w="927" w:type="pct"/>
                  <w:tcBorders>
                    <w:tl2br w:val="nil"/>
                    <w:tr2bl w:val="nil"/>
                  </w:tcBorders>
                  <w:vAlign w:val="center"/>
                </w:tcPr>
                <w:p w14:paraId="3A84FF16">
                  <w:pPr>
                    <w:jc w:val="center"/>
                    <w:rPr>
                      <w:color w:val="auto"/>
                      <w:kern w:val="0"/>
                    </w:rPr>
                  </w:pPr>
                  <w:r>
                    <w:rPr>
                      <w:rFonts w:hint="eastAsia"/>
                      <w:color w:val="auto"/>
                      <w:kern w:val="0"/>
                    </w:rPr>
                    <w:t>车间外</w:t>
                  </w:r>
                </w:p>
              </w:tc>
              <w:tc>
                <w:tcPr>
                  <w:tcW w:w="1683" w:type="pct"/>
                  <w:tcBorders>
                    <w:tl2br w:val="nil"/>
                    <w:tr2bl w:val="nil"/>
                  </w:tcBorders>
                  <w:vAlign w:val="center"/>
                </w:tcPr>
                <w:p w14:paraId="3A84FF17">
                  <w:pPr>
                    <w:jc w:val="center"/>
                    <w:rPr>
                      <w:color w:val="auto"/>
                      <w:kern w:val="0"/>
                    </w:rPr>
                  </w:pPr>
                  <w:r>
                    <w:rPr>
                      <w:color w:val="auto"/>
                      <w:kern w:val="0"/>
                    </w:rPr>
                    <w:t>厂房门窗或通风口、其他开口（孔）等排放口外1m，距地面1.5m及以上位置</w:t>
                  </w:r>
                </w:p>
              </w:tc>
              <w:tc>
                <w:tcPr>
                  <w:tcW w:w="837" w:type="pct"/>
                  <w:tcBorders>
                    <w:tl2br w:val="nil"/>
                    <w:tr2bl w:val="nil"/>
                  </w:tcBorders>
                  <w:vAlign w:val="center"/>
                </w:tcPr>
                <w:p w14:paraId="3A84FF18">
                  <w:pPr>
                    <w:jc w:val="center"/>
                    <w:rPr>
                      <w:color w:val="auto"/>
                      <w:kern w:val="0"/>
                    </w:rPr>
                  </w:pPr>
                  <w:r>
                    <w:rPr>
                      <w:color w:val="auto"/>
                      <w:kern w:val="0"/>
                    </w:rPr>
                    <w:t>非甲烷总烃</w:t>
                  </w:r>
                </w:p>
              </w:tc>
              <w:tc>
                <w:tcPr>
                  <w:tcW w:w="624" w:type="pct"/>
                  <w:tcBorders>
                    <w:tl2br w:val="nil"/>
                    <w:tr2bl w:val="nil"/>
                  </w:tcBorders>
                  <w:vAlign w:val="center"/>
                </w:tcPr>
                <w:p w14:paraId="3A84FF19">
                  <w:pPr>
                    <w:jc w:val="center"/>
                    <w:rPr>
                      <w:color w:val="auto"/>
                      <w:kern w:val="0"/>
                    </w:rPr>
                  </w:pPr>
                  <w:r>
                    <w:rPr>
                      <w:color w:val="auto"/>
                      <w:kern w:val="0"/>
                    </w:rPr>
                    <w:t>1次/</w:t>
                  </w:r>
                  <w:r>
                    <w:rPr>
                      <w:rFonts w:hint="eastAsia"/>
                      <w:color w:val="auto"/>
                      <w:kern w:val="0"/>
                      <w:lang w:val="en-US" w:eastAsia="zh-CN"/>
                    </w:rPr>
                    <w:t>半</w:t>
                  </w:r>
                  <w:r>
                    <w:rPr>
                      <w:rFonts w:hint="eastAsia"/>
                      <w:color w:val="auto"/>
                      <w:kern w:val="0"/>
                    </w:rPr>
                    <w:t>年</w:t>
                  </w:r>
                </w:p>
              </w:tc>
            </w:tr>
            <w:tr w14:paraId="3A84FF2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3A84FF1B">
                  <w:pPr>
                    <w:jc w:val="center"/>
                    <w:rPr>
                      <w:color w:val="auto"/>
                      <w:kern w:val="0"/>
                    </w:rPr>
                  </w:pPr>
                </w:p>
              </w:tc>
              <w:tc>
                <w:tcPr>
                  <w:tcW w:w="585" w:type="pct"/>
                  <w:vMerge w:val="restart"/>
                  <w:tcBorders>
                    <w:tl2br w:val="nil"/>
                    <w:tr2bl w:val="nil"/>
                  </w:tcBorders>
                  <w:vAlign w:val="center"/>
                </w:tcPr>
                <w:p w14:paraId="3A84FF1C">
                  <w:pPr>
                    <w:jc w:val="center"/>
                    <w:rPr>
                      <w:color w:val="auto"/>
                      <w:kern w:val="0"/>
                    </w:rPr>
                  </w:pPr>
                  <w:r>
                    <w:rPr>
                      <w:color w:val="auto"/>
                      <w:kern w:val="0"/>
                    </w:rPr>
                    <w:t>有组织废气监测</w:t>
                  </w:r>
                </w:p>
              </w:tc>
              <w:tc>
                <w:tcPr>
                  <w:tcW w:w="927" w:type="pct"/>
                  <w:vMerge w:val="restart"/>
                  <w:tcBorders>
                    <w:tl2br w:val="nil"/>
                    <w:tr2bl w:val="nil"/>
                  </w:tcBorders>
                  <w:vAlign w:val="center"/>
                </w:tcPr>
                <w:p w14:paraId="3A84FF1D">
                  <w:pPr>
                    <w:jc w:val="center"/>
                    <w:rPr>
                      <w:rFonts w:hint="default" w:eastAsia="宋体"/>
                      <w:color w:val="auto"/>
                      <w:kern w:val="0"/>
                      <w:lang w:val="en-US" w:eastAsia="zh-CN"/>
                    </w:rPr>
                  </w:pPr>
                  <w:r>
                    <w:rPr>
                      <w:rFonts w:hint="eastAsia"/>
                      <w:color w:val="auto"/>
                      <w:kern w:val="0"/>
                      <w:lang w:val="en-US" w:eastAsia="zh-CN"/>
                    </w:rPr>
                    <w:t>3#</w:t>
                  </w:r>
                </w:p>
              </w:tc>
              <w:tc>
                <w:tcPr>
                  <w:tcW w:w="1683" w:type="pct"/>
                  <w:vMerge w:val="restart"/>
                  <w:tcBorders>
                    <w:tl2br w:val="nil"/>
                    <w:tr2bl w:val="nil"/>
                  </w:tcBorders>
                  <w:vAlign w:val="center"/>
                </w:tcPr>
                <w:p w14:paraId="3A84FF1E">
                  <w:pPr>
                    <w:jc w:val="center"/>
                    <w:rPr>
                      <w:color w:val="auto"/>
                      <w:kern w:val="0"/>
                    </w:rPr>
                  </w:pPr>
                  <w:r>
                    <w:rPr>
                      <w:rFonts w:hint="eastAsia"/>
                      <w:color w:val="auto"/>
                      <w:kern w:val="0"/>
                    </w:rPr>
                    <w:t>排气筒</w:t>
                  </w:r>
                  <w:r>
                    <w:rPr>
                      <w:color w:val="auto"/>
                      <w:kern w:val="0"/>
                    </w:rPr>
                    <w:t>进、出口处</w:t>
                  </w:r>
                </w:p>
              </w:tc>
              <w:tc>
                <w:tcPr>
                  <w:tcW w:w="837" w:type="pct"/>
                  <w:tcBorders>
                    <w:tl2br w:val="nil"/>
                    <w:tr2bl w:val="nil"/>
                  </w:tcBorders>
                  <w:vAlign w:val="center"/>
                </w:tcPr>
                <w:p w14:paraId="3A84FF1F">
                  <w:pPr>
                    <w:jc w:val="center"/>
                    <w:rPr>
                      <w:rFonts w:hint="default" w:eastAsia="宋体"/>
                      <w:color w:val="auto"/>
                      <w:kern w:val="0"/>
                      <w:lang w:val="en-US" w:eastAsia="zh-CN"/>
                    </w:rPr>
                  </w:pPr>
                  <w:r>
                    <w:rPr>
                      <w:rFonts w:hint="eastAsia"/>
                      <w:color w:val="auto"/>
                      <w:kern w:val="0"/>
                      <w:lang w:val="en-US" w:eastAsia="zh-CN"/>
                    </w:rPr>
                    <w:t>CO</w:t>
                  </w:r>
                </w:p>
              </w:tc>
              <w:tc>
                <w:tcPr>
                  <w:tcW w:w="624" w:type="pct"/>
                  <w:vMerge w:val="restart"/>
                  <w:tcBorders>
                    <w:tl2br w:val="nil"/>
                    <w:tr2bl w:val="nil"/>
                  </w:tcBorders>
                  <w:vAlign w:val="center"/>
                </w:tcPr>
                <w:p w14:paraId="3A84FF20">
                  <w:pPr>
                    <w:jc w:val="center"/>
                    <w:rPr>
                      <w:rFonts w:hint="eastAsia" w:eastAsia="宋体"/>
                      <w:color w:val="auto"/>
                      <w:kern w:val="0"/>
                      <w:lang w:val="en-US" w:eastAsia="zh-CN"/>
                    </w:rPr>
                  </w:pPr>
                  <w:r>
                    <w:rPr>
                      <w:rFonts w:hint="eastAsia"/>
                      <w:color w:val="auto"/>
                      <w:kern w:val="0"/>
                      <w:lang w:val="en-US" w:eastAsia="zh-CN"/>
                    </w:rPr>
                    <w:t>自动监测</w:t>
                  </w:r>
                </w:p>
              </w:tc>
            </w:tr>
            <w:tr w14:paraId="11C03A8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3745946F">
                  <w:pPr>
                    <w:jc w:val="center"/>
                    <w:rPr>
                      <w:color w:val="auto"/>
                      <w:kern w:val="0"/>
                    </w:rPr>
                  </w:pPr>
                </w:p>
              </w:tc>
              <w:tc>
                <w:tcPr>
                  <w:tcW w:w="585" w:type="pct"/>
                  <w:vMerge w:val="continue"/>
                  <w:tcBorders>
                    <w:tl2br w:val="nil"/>
                    <w:tr2bl w:val="nil"/>
                  </w:tcBorders>
                  <w:vAlign w:val="center"/>
                </w:tcPr>
                <w:p w14:paraId="20B00201">
                  <w:pPr>
                    <w:jc w:val="center"/>
                    <w:rPr>
                      <w:color w:val="auto"/>
                      <w:kern w:val="0"/>
                    </w:rPr>
                  </w:pPr>
                </w:p>
              </w:tc>
              <w:tc>
                <w:tcPr>
                  <w:tcW w:w="927" w:type="pct"/>
                  <w:vMerge w:val="continue"/>
                  <w:tcBorders>
                    <w:tl2br w:val="nil"/>
                    <w:tr2bl w:val="nil"/>
                  </w:tcBorders>
                  <w:vAlign w:val="center"/>
                </w:tcPr>
                <w:p w14:paraId="03B7FC99">
                  <w:pPr>
                    <w:jc w:val="center"/>
                    <w:rPr>
                      <w:rFonts w:hint="eastAsia"/>
                      <w:color w:val="auto"/>
                      <w:kern w:val="0"/>
                    </w:rPr>
                  </w:pPr>
                </w:p>
              </w:tc>
              <w:tc>
                <w:tcPr>
                  <w:tcW w:w="1683" w:type="pct"/>
                  <w:vMerge w:val="continue"/>
                  <w:tcBorders>
                    <w:tl2br w:val="nil"/>
                    <w:tr2bl w:val="nil"/>
                  </w:tcBorders>
                  <w:vAlign w:val="center"/>
                </w:tcPr>
                <w:p w14:paraId="7DC59953">
                  <w:pPr>
                    <w:jc w:val="center"/>
                    <w:rPr>
                      <w:rFonts w:hint="eastAsia"/>
                      <w:color w:val="auto"/>
                      <w:kern w:val="0"/>
                    </w:rPr>
                  </w:pPr>
                </w:p>
              </w:tc>
              <w:tc>
                <w:tcPr>
                  <w:tcW w:w="837" w:type="pct"/>
                  <w:tcBorders>
                    <w:tl2br w:val="nil"/>
                    <w:tr2bl w:val="nil"/>
                  </w:tcBorders>
                  <w:vAlign w:val="center"/>
                </w:tcPr>
                <w:p w14:paraId="7C798638">
                  <w:pPr>
                    <w:jc w:val="center"/>
                    <w:rPr>
                      <w:rFonts w:hint="default" w:eastAsia="宋体"/>
                      <w:color w:val="auto"/>
                      <w:kern w:val="0"/>
                      <w:lang w:val="en-US" w:eastAsia="zh-CN"/>
                    </w:rPr>
                  </w:pPr>
                  <w:r>
                    <w:rPr>
                      <w:rFonts w:hint="eastAsia"/>
                      <w:color w:val="auto"/>
                      <w:kern w:val="0"/>
                      <w:lang w:val="en-US" w:eastAsia="zh-CN"/>
                    </w:rPr>
                    <w:t>SO</w:t>
                  </w:r>
                  <w:r>
                    <w:rPr>
                      <w:rFonts w:hint="eastAsia"/>
                      <w:color w:val="auto"/>
                      <w:kern w:val="0"/>
                      <w:vertAlign w:val="subscript"/>
                      <w:lang w:val="en-US" w:eastAsia="zh-CN"/>
                    </w:rPr>
                    <w:t>2</w:t>
                  </w:r>
                </w:p>
              </w:tc>
              <w:tc>
                <w:tcPr>
                  <w:tcW w:w="624" w:type="pct"/>
                  <w:vMerge w:val="continue"/>
                  <w:tcBorders>
                    <w:tl2br w:val="nil"/>
                    <w:tr2bl w:val="nil"/>
                  </w:tcBorders>
                  <w:vAlign w:val="center"/>
                </w:tcPr>
                <w:p w14:paraId="326209C0">
                  <w:pPr>
                    <w:jc w:val="center"/>
                    <w:rPr>
                      <w:color w:val="auto"/>
                      <w:kern w:val="0"/>
                    </w:rPr>
                  </w:pPr>
                </w:p>
              </w:tc>
            </w:tr>
            <w:tr w14:paraId="216ECA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2DA208F3">
                  <w:pPr>
                    <w:jc w:val="center"/>
                    <w:rPr>
                      <w:color w:val="auto"/>
                      <w:kern w:val="0"/>
                    </w:rPr>
                  </w:pPr>
                </w:p>
              </w:tc>
              <w:tc>
                <w:tcPr>
                  <w:tcW w:w="585" w:type="pct"/>
                  <w:vMerge w:val="continue"/>
                  <w:tcBorders>
                    <w:tl2br w:val="nil"/>
                    <w:tr2bl w:val="nil"/>
                  </w:tcBorders>
                  <w:vAlign w:val="center"/>
                </w:tcPr>
                <w:p w14:paraId="17E2C5B2">
                  <w:pPr>
                    <w:jc w:val="center"/>
                    <w:rPr>
                      <w:color w:val="auto"/>
                      <w:kern w:val="0"/>
                    </w:rPr>
                  </w:pPr>
                </w:p>
              </w:tc>
              <w:tc>
                <w:tcPr>
                  <w:tcW w:w="927" w:type="pct"/>
                  <w:vMerge w:val="continue"/>
                  <w:tcBorders>
                    <w:tl2br w:val="nil"/>
                    <w:tr2bl w:val="nil"/>
                  </w:tcBorders>
                  <w:vAlign w:val="center"/>
                </w:tcPr>
                <w:p w14:paraId="07B38866">
                  <w:pPr>
                    <w:jc w:val="center"/>
                    <w:rPr>
                      <w:rFonts w:hint="eastAsia"/>
                      <w:color w:val="auto"/>
                      <w:kern w:val="0"/>
                    </w:rPr>
                  </w:pPr>
                </w:p>
              </w:tc>
              <w:tc>
                <w:tcPr>
                  <w:tcW w:w="1683" w:type="pct"/>
                  <w:vMerge w:val="continue"/>
                  <w:tcBorders>
                    <w:tl2br w:val="nil"/>
                    <w:tr2bl w:val="nil"/>
                  </w:tcBorders>
                  <w:vAlign w:val="center"/>
                </w:tcPr>
                <w:p w14:paraId="2BAA6119">
                  <w:pPr>
                    <w:jc w:val="center"/>
                    <w:rPr>
                      <w:rFonts w:hint="eastAsia"/>
                      <w:color w:val="auto"/>
                      <w:kern w:val="0"/>
                    </w:rPr>
                  </w:pPr>
                </w:p>
              </w:tc>
              <w:tc>
                <w:tcPr>
                  <w:tcW w:w="837" w:type="pct"/>
                  <w:tcBorders>
                    <w:tl2br w:val="nil"/>
                    <w:tr2bl w:val="nil"/>
                  </w:tcBorders>
                  <w:vAlign w:val="center"/>
                </w:tcPr>
                <w:p w14:paraId="1E4F6595">
                  <w:pPr>
                    <w:jc w:val="center"/>
                    <w:rPr>
                      <w:rFonts w:hint="default" w:eastAsia="宋体"/>
                      <w:color w:val="auto"/>
                      <w:kern w:val="0"/>
                      <w:lang w:val="en-US" w:eastAsia="zh-CN"/>
                    </w:rPr>
                  </w:pPr>
                  <w:r>
                    <w:rPr>
                      <w:rFonts w:hint="eastAsia"/>
                      <w:color w:val="auto"/>
                      <w:kern w:val="0"/>
                      <w:lang w:val="en-US" w:eastAsia="zh-CN"/>
                    </w:rPr>
                    <w:t>NOx</w:t>
                  </w:r>
                </w:p>
              </w:tc>
              <w:tc>
                <w:tcPr>
                  <w:tcW w:w="624" w:type="pct"/>
                  <w:vMerge w:val="continue"/>
                  <w:tcBorders>
                    <w:tl2br w:val="nil"/>
                    <w:tr2bl w:val="nil"/>
                  </w:tcBorders>
                  <w:vAlign w:val="center"/>
                </w:tcPr>
                <w:p w14:paraId="74D8C596">
                  <w:pPr>
                    <w:jc w:val="center"/>
                    <w:rPr>
                      <w:color w:val="auto"/>
                      <w:kern w:val="0"/>
                    </w:rPr>
                  </w:pPr>
                </w:p>
              </w:tc>
            </w:tr>
            <w:tr w14:paraId="54BC9D9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123B580F">
                  <w:pPr>
                    <w:jc w:val="center"/>
                    <w:rPr>
                      <w:color w:val="auto"/>
                      <w:kern w:val="0"/>
                    </w:rPr>
                  </w:pPr>
                </w:p>
              </w:tc>
              <w:tc>
                <w:tcPr>
                  <w:tcW w:w="585" w:type="pct"/>
                  <w:vMerge w:val="continue"/>
                  <w:tcBorders>
                    <w:tl2br w:val="nil"/>
                    <w:tr2bl w:val="nil"/>
                  </w:tcBorders>
                  <w:vAlign w:val="center"/>
                </w:tcPr>
                <w:p w14:paraId="04787E02">
                  <w:pPr>
                    <w:jc w:val="center"/>
                    <w:rPr>
                      <w:color w:val="auto"/>
                      <w:kern w:val="0"/>
                    </w:rPr>
                  </w:pPr>
                </w:p>
              </w:tc>
              <w:tc>
                <w:tcPr>
                  <w:tcW w:w="927" w:type="pct"/>
                  <w:vMerge w:val="continue"/>
                  <w:tcBorders>
                    <w:tl2br w:val="nil"/>
                    <w:tr2bl w:val="nil"/>
                  </w:tcBorders>
                  <w:vAlign w:val="center"/>
                </w:tcPr>
                <w:p w14:paraId="619E613C">
                  <w:pPr>
                    <w:jc w:val="center"/>
                    <w:rPr>
                      <w:rFonts w:hint="eastAsia"/>
                      <w:color w:val="auto"/>
                      <w:kern w:val="0"/>
                    </w:rPr>
                  </w:pPr>
                </w:p>
              </w:tc>
              <w:tc>
                <w:tcPr>
                  <w:tcW w:w="1683" w:type="pct"/>
                  <w:vMerge w:val="continue"/>
                  <w:tcBorders>
                    <w:tl2br w:val="nil"/>
                    <w:tr2bl w:val="nil"/>
                  </w:tcBorders>
                  <w:vAlign w:val="center"/>
                </w:tcPr>
                <w:p w14:paraId="27CEB568">
                  <w:pPr>
                    <w:jc w:val="center"/>
                    <w:rPr>
                      <w:rFonts w:hint="eastAsia"/>
                      <w:color w:val="auto"/>
                      <w:kern w:val="0"/>
                    </w:rPr>
                  </w:pPr>
                </w:p>
              </w:tc>
              <w:tc>
                <w:tcPr>
                  <w:tcW w:w="837" w:type="pct"/>
                  <w:tcBorders>
                    <w:tl2br w:val="nil"/>
                    <w:tr2bl w:val="nil"/>
                  </w:tcBorders>
                  <w:vAlign w:val="center"/>
                </w:tcPr>
                <w:p w14:paraId="1272B067">
                  <w:pPr>
                    <w:jc w:val="center"/>
                    <w:rPr>
                      <w:rFonts w:hint="eastAsia" w:eastAsia="宋体"/>
                      <w:color w:val="auto"/>
                      <w:kern w:val="0"/>
                      <w:lang w:val="en-US" w:eastAsia="zh-CN"/>
                    </w:rPr>
                  </w:pPr>
                  <w:r>
                    <w:rPr>
                      <w:rFonts w:hint="eastAsia"/>
                      <w:color w:val="auto"/>
                      <w:kern w:val="0"/>
                      <w:lang w:val="en-US" w:eastAsia="zh-CN"/>
                    </w:rPr>
                    <w:t>颗粒物</w:t>
                  </w:r>
                </w:p>
              </w:tc>
              <w:tc>
                <w:tcPr>
                  <w:tcW w:w="624" w:type="pct"/>
                  <w:vMerge w:val="continue"/>
                  <w:tcBorders>
                    <w:tl2br w:val="nil"/>
                    <w:tr2bl w:val="nil"/>
                  </w:tcBorders>
                  <w:vAlign w:val="center"/>
                </w:tcPr>
                <w:p w14:paraId="45B250E0">
                  <w:pPr>
                    <w:jc w:val="center"/>
                    <w:rPr>
                      <w:color w:val="auto"/>
                      <w:kern w:val="0"/>
                    </w:rPr>
                  </w:pPr>
                </w:p>
              </w:tc>
            </w:tr>
            <w:tr w14:paraId="5124EAB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658E8F4C">
                  <w:pPr>
                    <w:jc w:val="center"/>
                    <w:rPr>
                      <w:color w:val="auto"/>
                      <w:kern w:val="0"/>
                    </w:rPr>
                  </w:pPr>
                </w:p>
              </w:tc>
              <w:tc>
                <w:tcPr>
                  <w:tcW w:w="585" w:type="pct"/>
                  <w:vMerge w:val="continue"/>
                  <w:tcBorders>
                    <w:tl2br w:val="nil"/>
                    <w:tr2bl w:val="nil"/>
                  </w:tcBorders>
                  <w:vAlign w:val="center"/>
                </w:tcPr>
                <w:p w14:paraId="4BF489E7">
                  <w:pPr>
                    <w:jc w:val="center"/>
                    <w:rPr>
                      <w:color w:val="auto"/>
                      <w:kern w:val="0"/>
                    </w:rPr>
                  </w:pPr>
                </w:p>
              </w:tc>
              <w:tc>
                <w:tcPr>
                  <w:tcW w:w="927" w:type="pct"/>
                  <w:vMerge w:val="continue"/>
                  <w:tcBorders>
                    <w:tl2br w:val="nil"/>
                    <w:tr2bl w:val="nil"/>
                  </w:tcBorders>
                  <w:vAlign w:val="center"/>
                </w:tcPr>
                <w:p w14:paraId="6B93AFB3">
                  <w:pPr>
                    <w:jc w:val="center"/>
                    <w:rPr>
                      <w:rFonts w:hint="eastAsia"/>
                      <w:color w:val="auto"/>
                      <w:kern w:val="0"/>
                    </w:rPr>
                  </w:pPr>
                </w:p>
              </w:tc>
              <w:tc>
                <w:tcPr>
                  <w:tcW w:w="1683" w:type="pct"/>
                  <w:vMerge w:val="continue"/>
                  <w:tcBorders>
                    <w:tl2br w:val="nil"/>
                    <w:tr2bl w:val="nil"/>
                  </w:tcBorders>
                  <w:vAlign w:val="center"/>
                </w:tcPr>
                <w:p w14:paraId="22FF18F0">
                  <w:pPr>
                    <w:jc w:val="center"/>
                    <w:rPr>
                      <w:rFonts w:hint="eastAsia"/>
                      <w:color w:val="auto"/>
                      <w:kern w:val="0"/>
                    </w:rPr>
                  </w:pPr>
                </w:p>
              </w:tc>
              <w:tc>
                <w:tcPr>
                  <w:tcW w:w="837" w:type="pct"/>
                  <w:tcBorders>
                    <w:tl2br w:val="nil"/>
                    <w:tr2bl w:val="nil"/>
                  </w:tcBorders>
                  <w:vAlign w:val="center"/>
                </w:tcPr>
                <w:p w14:paraId="06FC86D9">
                  <w:pPr>
                    <w:jc w:val="center"/>
                    <w:rPr>
                      <w:rFonts w:hint="eastAsia" w:eastAsia="宋体"/>
                      <w:color w:val="auto"/>
                      <w:kern w:val="0"/>
                      <w:lang w:val="en-US" w:eastAsia="zh-CN"/>
                    </w:rPr>
                  </w:pPr>
                  <w:r>
                    <w:rPr>
                      <w:rFonts w:hint="eastAsia"/>
                      <w:color w:val="auto"/>
                      <w:kern w:val="0"/>
                      <w:lang w:val="en-US" w:eastAsia="zh-CN"/>
                    </w:rPr>
                    <w:t>氯化氢</w:t>
                  </w:r>
                </w:p>
              </w:tc>
              <w:tc>
                <w:tcPr>
                  <w:tcW w:w="624" w:type="pct"/>
                  <w:vMerge w:val="continue"/>
                  <w:tcBorders>
                    <w:tl2br w:val="nil"/>
                    <w:tr2bl w:val="nil"/>
                  </w:tcBorders>
                  <w:vAlign w:val="center"/>
                </w:tcPr>
                <w:p w14:paraId="3A485576">
                  <w:pPr>
                    <w:jc w:val="center"/>
                    <w:rPr>
                      <w:color w:val="auto"/>
                      <w:kern w:val="0"/>
                    </w:rPr>
                  </w:pPr>
                </w:p>
              </w:tc>
            </w:tr>
            <w:tr w14:paraId="5764B6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36D22016">
                  <w:pPr>
                    <w:jc w:val="center"/>
                    <w:rPr>
                      <w:color w:val="auto"/>
                      <w:kern w:val="0"/>
                    </w:rPr>
                  </w:pPr>
                </w:p>
              </w:tc>
              <w:tc>
                <w:tcPr>
                  <w:tcW w:w="585" w:type="pct"/>
                  <w:vMerge w:val="continue"/>
                  <w:tcBorders>
                    <w:tl2br w:val="nil"/>
                    <w:tr2bl w:val="nil"/>
                  </w:tcBorders>
                  <w:vAlign w:val="center"/>
                </w:tcPr>
                <w:p w14:paraId="69BDF525">
                  <w:pPr>
                    <w:jc w:val="center"/>
                    <w:rPr>
                      <w:color w:val="auto"/>
                      <w:kern w:val="0"/>
                    </w:rPr>
                  </w:pPr>
                </w:p>
              </w:tc>
              <w:tc>
                <w:tcPr>
                  <w:tcW w:w="927" w:type="pct"/>
                  <w:vMerge w:val="continue"/>
                  <w:tcBorders>
                    <w:tl2br w:val="nil"/>
                    <w:tr2bl w:val="nil"/>
                  </w:tcBorders>
                  <w:vAlign w:val="center"/>
                </w:tcPr>
                <w:p w14:paraId="6B4F03A8">
                  <w:pPr>
                    <w:jc w:val="center"/>
                    <w:rPr>
                      <w:rFonts w:hint="eastAsia"/>
                      <w:color w:val="auto"/>
                      <w:kern w:val="0"/>
                    </w:rPr>
                  </w:pPr>
                </w:p>
              </w:tc>
              <w:tc>
                <w:tcPr>
                  <w:tcW w:w="1683" w:type="pct"/>
                  <w:vMerge w:val="continue"/>
                  <w:tcBorders>
                    <w:tl2br w:val="nil"/>
                    <w:tr2bl w:val="nil"/>
                  </w:tcBorders>
                  <w:vAlign w:val="center"/>
                </w:tcPr>
                <w:p w14:paraId="515A3F9E">
                  <w:pPr>
                    <w:jc w:val="center"/>
                    <w:rPr>
                      <w:rFonts w:hint="eastAsia"/>
                      <w:color w:val="auto"/>
                      <w:kern w:val="0"/>
                    </w:rPr>
                  </w:pPr>
                </w:p>
              </w:tc>
              <w:tc>
                <w:tcPr>
                  <w:tcW w:w="837" w:type="pct"/>
                  <w:tcBorders>
                    <w:tl2br w:val="nil"/>
                    <w:tr2bl w:val="nil"/>
                  </w:tcBorders>
                  <w:vAlign w:val="center"/>
                </w:tcPr>
                <w:p w14:paraId="6AD2E124">
                  <w:pPr>
                    <w:jc w:val="center"/>
                    <w:rPr>
                      <w:rFonts w:hint="eastAsia" w:eastAsia="宋体"/>
                      <w:color w:val="auto"/>
                      <w:kern w:val="0"/>
                      <w:lang w:val="en-US" w:eastAsia="zh-CN"/>
                    </w:rPr>
                  </w:pPr>
                  <w:r>
                    <w:rPr>
                      <w:rFonts w:hint="eastAsia"/>
                      <w:color w:val="auto"/>
                      <w:kern w:val="0"/>
                      <w:lang w:val="en-US" w:eastAsia="zh-CN"/>
                    </w:rPr>
                    <w:t>非甲烷总烃</w:t>
                  </w:r>
                </w:p>
              </w:tc>
              <w:tc>
                <w:tcPr>
                  <w:tcW w:w="624" w:type="pct"/>
                  <w:vMerge w:val="restart"/>
                  <w:tcBorders>
                    <w:tl2br w:val="nil"/>
                    <w:tr2bl w:val="nil"/>
                  </w:tcBorders>
                  <w:vAlign w:val="center"/>
                </w:tcPr>
                <w:p w14:paraId="37B85AEF">
                  <w:pPr>
                    <w:jc w:val="center"/>
                    <w:rPr>
                      <w:color w:val="auto"/>
                      <w:kern w:val="0"/>
                    </w:rPr>
                  </w:pPr>
                  <w:r>
                    <w:rPr>
                      <w:color w:val="auto"/>
                      <w:kern w:val="0"/>
                    </w:rPr>
                    <w:t>1次/</w:t>
                  </w:r>
                  <w:r>
                    <w:rPr>
                      <w:rFonts w:hint="eastAsia"/>
                      <w:color w:val="auto"/>
                      <w:kern w:val="0"/>
                      <w:lang w:val="en-US" w:eastAsia="zh-CN"/>
                    </w:rPr>
                    <w:t>半</w:t>
                  </w:r>
                  <w:r>
                    <w:rPr>
                      <w:rFonts w:hint="eastAsia"/>
                      <w:color w:val="auto"/>
                      <w:kern w:val="0"/>
                    </w:rPr>
                    <w:t>年</w:t>
                  </w:r>
                </w:p>
              </w:tc>
            </w:tr>
            <w:tr w14:paraId="5912F0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53840259">
                  <w:pPr>
                    <w:jc w:val="center"/>
                    <w:rPr>
                      <w:color w:val="auto"/>
                      <w:kern w:val="0"/>
                    </w:rPr>
                  </w:pPr>
                </w:p>
              </w:tc>
              <w:tc>
                <w:tcPr>
                  <w:tcW w:w="585" w:type="pct"/>
                  <w:vMerge w:val="continue"/>
                  <w:tcBorders>
                    <w:tl2br w:val="nil"/>
                    <w:tr2bl w:val="nil"/>
                  </w:tcBorders>
                  <w:vAlign w:val="center"/>
                </w:tcPr>
                <w:p w14:paraId="35275F39">
                  <w:pPr>
                    <w:jc w:val="center"/>
                    <w:rPr>
                      <w:color w:val="auto"/>
                      <w:kern w:val="0"/>
                    </w:rPr>
                  </w:pPr>
                </w:p>
              </w:tc>
              <w:tc>
                <w:tcPr>
                  <w:tcW w:w="927" w:type="pct"/>
                  <w:vMerge w:val="continue"/>
                  <w:tcBorders>
                    <w:tl2br w:val="nil"/>
                    <w:tr2bl w:val="nil"/>
                  </w:tcBorders>
                  <w:vAlign w:val="center"/>
                </w:tcPr>
                <w:p w14:paraId="5CF580C6">
                  <w:pPr>
                    <w:jc w:val="center"/>
                    <w:rPr>
                      <w:rFonts w:hint="eastAsia"/>
                      <w:color w:val="auto"/>
                      <w:kern w:val="0"/>
                    </w:rPr>
                  </w:pPr>
                </w:p>
              </w:tc>
              <w:tc>
                <w:tcPr>
                  <w:tcW w:w="1683" w:type="pct"/>
                  <w:vMerge w:val="continue"/>
                  <w:tcBorders>
                    <w:tl2br w:val="nil"/>
                    <w:tr2bl w:val="nil"/>
                  </w:tcBorders>
                  <w:vAlign w:val="center"/>
                </w:tcPr>
                <w:p w14:paraId="4B1E02BE">
                  <w:pPr>
                    <w:jc w:val="center"/>
                    <w:rPr>
                      <w:rFonts w:hint="eastAsia"/>
                      <w:color w:val="auto"/>
                      <w:kern w:val="0"/>
                    </w:rPr>
                  </w:pPr>
                </w:p>
              </w:tc>
              <w:tc>
                <w:tcPr>
                  <w:tcW w:w="837" w:type="pct"/>
                  <w:tcBorders>
                    <w:tl2br w:val="nil"/>
                    <w:tr2bl w:val="nil"/>
                  </w:tcBorders>
                  <w:vAlign w:val="center"/>
                </w:tcPr>
                <w:p w14:paraId="21B1B8C7">
                  <w:pPr>
                    <w:jc w:val="center"/>
                    <w:rPr>
                      <w:rFonts w:hint="eastAsia" w:eastAsia="宋体"/>
                      <w:color w:val="auto"/>
                      <w:kern w:val="0"/>
                      <w:lang w:val="en-US" w:eastAsia="zh-CN"/>
                    </w:rPr>
                  </w:pPr>
                  <w:r>
                    <w:rPr>
                      <w:rFonts w:hint="eastAsia"/>
                      <w:color w:val="auto"/>
                      <w:kern w:val="0"/>
                      <w:lang w:val="en-US" w:eastAsia="zh-CN"/>
                    </w:rPr>
                    <w:t>二噁英类</w:t>
                  </w:r>
                </w:p>
              </w:tc>
              <w:tc>
                <w:tcPr>
                  <w:tcW w:w="624" w:type="pct"/>
                  <w:vMerge w:val="continue"/>
                  <w:tcBorders>
                    <w:tl2br w:val="nil"/>
                    <w:tr2bl w:val="nil"/>
                  </w:tcBorders>
                  <w:vAlign w:val="center"/>
                </w:tcPr>
                <w:p w14:paraId="5208A921">
                  <w:pPr>
                    <w:jc w:val="center"/>
                    <w:rPr>
                      <w:color w:val="auto"/>
                      <w:kern w:val="0"/>
                    </w:rPr>
                  </w:pPr>
                </w:p>
              </w:tc>
            </w:tr>
            <w:tr w14:paraId="302201A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7198ED59">
                  <w:pPr>
                    <w:jc w:val="center"/>
                    <w:rPr>
                      <w:color w:val="auto"/>
                      <w:kern w:val="0"/>
                    </w:rPr>
                  </w:pPr>
                </w:p>
              </w:tc>
              <w:tc>
                <w:tcPr>
                  <w:tcW w:w="585" w:type="pct"/>
                  <w:vMerge w:val="continue"/>
                  <w:tcBorders>
                    <w:tl2br w:val="nil"/>
                    <w:tr2bl w:val="nil"/>
                  </w:tcBorders>
                  <w:vAlign w:val="center"/>
                </w:tcPr>
                <w:p w14:paraId="7D92164C">
                  <w:pPr>
                    <w:jc w:val="center"/>
                    <w:rPr>
                      <w:color w:val="auto"/>
                      <w:kern w:val="0"/>
                    </w:rPr>
                  </w:pPr>
                </w:p>
              </w:tc>
              <w:tc>
                <w:tcPr>
                  <w:tcW w:w="927" w:type="pct"/>
                  <w:vMerge w:val="continue"/>
                  <w:tcBorders>
                    <w:tl2br w:val="nil"/>
                    <w:tr2bl w:val="nil"/>
                  </w:tcBorders>
                  <w:vAlign w:val="center"/>
                </w:tcPr>
                <w:p w14:paraId="61FD752A">
                  <w:pPr>
                    <w:jc w:val="center"/>
                    <w:rPr>
                      <w:rFonts w:hint="eastAsia"/>
                      <w:color w:val="auto"/>
                      <w:kern w:val="0"/>
                    </w:rPr>
                  </w:pPr>
                </w:p>
              </w:tc>
              <w:tc>
                <w:tcPr>
                  <w:tcW w:w="1683" w:type="pct"/>
                  <w:vMerge w:val="continue"/>
                  <w:tcBorders>
                    <w:tl2br w:val="nil"/>
                    <w:tr2bl w:val="nil"/>
                  </w:tcBorders>
                  <w:vAlign w:val="center"/>
                </w:tcPr>
                <w:p w14:paraId="2FA84532">
                  <w:pPr>
                    <w:jc w:val="center"/>
                    <w:rPr>
                      <w:rFonts w:hint="eastAsia"/>
                      <w:color w:val="auto"/>
                      <w:kern w:val="0"/>
                    </w:rPr>
                  </w:pPr>
                </w:p>
              </w:tc>
              <w:tc>
                <w:tcPr>
                  <w:tcW w:w="837" w:type="pct"/>
                  <w:tcBorders>
                    <w:tl2br w:val="nil"/>
                    <w:tr2bl w:val="nil"/>
                  </w:tcBorders>
                  <w:vAlign w:val="center"/>
                </w:tcPr>
                <w:p w14:paraId="6AAEA3BD">
                  <w:pPr>
                    <w:jc w:val="center"/>
                    <w:rPr>
                      <w:rFonts w:hint="eastAsia" w:eastAsia="宋体"/>
                      <w:color w:val="auto"/>
                      <w:kern w:val="0"/>
                      <w:lang w:val="en-US" w:eastAsia="zh-CN"/>
                    </w:rPr>
                  </w:pPr>
                  <w:r>
                    <w:rPr>
                      <w:rFonts w:hint="eastAsia"/>
                      <w:color w:val="auto"/>
                      <w:kern w:val="0"/>
                      <w:lang w:val="en-US" w:eastAsia="zh-CN"/>
                    </w:rPr>
                    <w:t>氨</w:t>
                  </w:r>
                </w:p>
              </w:tc>
              <w:tc>
                <w:tcPr>
                  <w:tcW w:w="624" w:type="pct"/>
                  <w:vMerge w:val="continue"/>
                  <w:tcBorders>
                    <w:tl2br w:val="nil"/>
                    <w:tr2bl w:val="nil"/>
                  </w:tcBorders>
                  <w:vAlign w:val="center"/>
                </w:tcPr>
                <w:p w14:paraId="28D58BD1">
                  <w:pPr>
                    <w:jc w:val="center"/>
                    <w:rPr>
                      <w:color w:val="auto"/>
                      <w:kern w:val="0"/>
                    </w:rPr>
                  </w:pPr>
                </w:p>
              </w:tc>
            </w:tr>
          </w:tbl>
          <w:p w14:paraId="3A84FF22">
            <w:pPr>
              <w:pStyle w:val="5"/>
              <w:adjustRightInd w:val="0"/>
              <w:snapToGrid w:val="0"/>
              <w:spacing w:line="360" w:lineRule="auto"/>
              <w:ind w:firstLine="422" w:firstLineChars="200"/>
              <w:rPr>
                <w:b/>
                <w:color w:val="auto"/>
                <w:kern w:val="0"/>
                <w:szCs w:val="21"/>
              </w:rPr>
            </w:pPr>
            <w:r>
              <w:rPr>
                <w:rFonts w:hint="eastAsia"/>
                <w:b/>
                <w:color w:val="auto"/>
                <w:kern w:val="0"/>
                <w:szCs w:val="21"/>
              </w:rPr>
              <w:t>（</w:t>
            </w:r>
            <w:r>
              <w:rPr>
                <w:rFonts w:hint="eastAsia"/>
                <w:b/>
                <w:color w:val="auto"/>
                <w:kern w:val="0"/>
                <w:szCs w:val="21"/>
                <w:lang w:val="en-US" w:eastAsia="zh-CN"/>
              </w:rPr>
              <w:t>10</w:t>
            </w:r>
            <w:r>
              <w:rPr>
                <w:rFonts w:hint="eastAsia"/>
                <w:b/>
                <w:color w:val="auto"/>
                <w:kern w:val="0"/>
                <w:szCs w:val="21"/>
              </w:rPr>
              <w:t>）大气环境影响分析结论</w:t>
            </w:r>
          </w:p>
          <w:p w14:paraId="3A84FF23">
            <w:pPr>
              <w:pStyle w:val="5"/>
              <w:adjustRightInd w:val="0"/>
              <w:snapToGrid w:val="0"/>
              <w:spacing w:line="360" w:lineRule="auto"/>
              <w:ind w:firstLine="480"/>
              <w:rPr>
                <w:color w:val="auto"/>
                <w:kern w:val="0"/>
                <w:szCs w:val="21"/>
              </w:rPr>
            </w:pPr>
            <w:r>
              <w:rPr>
                <w:color w:val="auto"/>
                <w:kern w:val="0"/>
                <w:szCs w:val="21"/>
              </w:rPr>
              <w:t>项目所在区域为环境空气非达标区，根据《202</w:t>
            </w:r>
            <w:r>
              <w:rPr>
                <w:rFonts w:hint="eastAsia"/>
                <w:color w:val="auto"/>
                <w:kern w:val="0"/>
                <w:szCs w:val="21"/>
              </w:rPr>
              <w:t>3</w:t>
            </w:r>
            <w:r>
              <w:rPr>
                <w:color w:val="auto"/>
                <w:kern w:val="0"/>
                <w:szCs w:val="21"/>
              </w:rPr>
              <w:t>年常州市金坛区深入打好污染防治攻坚战工作方案》，在落实大气污染防治措施的情况下，区域环境空气质量可以得到改善。</w:t>
            </w:r>
          </w:p>
          <w:p w14:paraId="3A84FF24">
            <w:pPr>
              <w:adjustRightInd w:val="0"/>
              <w:snapToGrid w:val="0"/>
              <w:spacing w:line="360" w:lineRule="auto"/>
              <w:ind w:firstLine="420" w:firstLineChars="200"/>
              <w:rPr>
                <w:color w:val="auto"/>
                <w:kern w:val="0"/>
              </w:rPr>
            </w:pPr>
            <w:r>
              <w:rPr>
                <w:rFonts w:hint="eastAsia"/>
                <w:color w:val="auto"/>
                <w:kern w:val="0"/>
              </w:rPr>
              <w:t>本</w:t>
            </w:r>
            <w:r>
              <w:rPr>
                <w:rFonts w:hint="eastAsia"/>
                <w:bCs/>
                <w:color w:val="auto"/>
                <w:kern w:val="0"/>
              </w:rPr>
              <w:t>项目</w:t>
            </w:r>
            <w:r>
              <w:rPr>
                <w:rFonts w:hint="eastAsia"/>
                <w:bCs/>
                <w:color w:val="auto"/>
                <w:kern w:val="0"/>
                <w:lang w:val="en-US" w:eastAsia="zh-CN"/>
              </w:rPr>
              <w:t>不合格品焚烧产生的有机废气、颗粒物、二噁英等</w:t>
            </w:r>
            <w:r>
              <w:rPr>
                <w:rFonts w:hint="eastAsia"/>
                <w:bCs/>
                <w:color w:val="auto"/>
                <w:kern w:val="0"/>
              </w:rPr>
              <w:t>废气经</w:t>
            </w:r>
            <w:r>
              <w:rPr>
                <w:rFonts w:hint="eastAsia"/>
                <w:bCs/>
                <w:color w:val="auto"/>
                <w:kern w:val="0"/>
                <w:lang w:val="en-US" w:eastAsia="zh-CN"/>
              </w:rPr>
              <w:t>管道密闭</w:t>
            </w:r>
            <w:r>
              <w:rPr>
                <w:rFonts w:hint="eastAsia"/>
                <w:bCs/>
                <w:color w:val="auto"/>
                <w:kern w:val="0"/>
              </w:rPr>
              <w:t>收集，收集后的废气进入1套“SNCR脱硝+急冷除盐+干粉吸收+布袋除尘+臭氧氧化+碱喷淋吸收装置”处理后通过1根</w:t>
            </w:r>
            <w:r>
              <w:rPr>
                <w:rFonts w:hint="eastAsia"/>
                <w:bCs/>
                <w:color w:val="auto"/>
                <w:kern w:val="0"/>
                <w:lang w:val="en-US" w:eastAsia="zh-CN"/>
              </w:rPr>
              <w:t>25</w:t>
            </w:r>
            <w:r>
              <w:rPr>
                <w:rFonts w:hint="eastAsia"/>
                <w:bCs/>
                <w:color w:val="auto"/>
                <w:kern w:val="0"/>
              </w:rPr>
              <w:t>m高的排气筒</w:t>
            </w:r>
            <w:r>
              <w:rPr>
                <w:rFonts w:hint="eastAsia"/>
                <w:bCs/>
                <w:color w:val="auto"/>
                <w:kern w:val="0"/>
                <w:lang w:val="en-US" w:eastAsia="zh-CN"/>
              </w:rPr>
              <w:t>3#</w:t>
            </w:r>
            <w:r>
              <w:rPr>
                <w:rFonts w:hint="eastAsia"/>
                <w:bCs/>
                <w:color w:val="auto"/>
                <w:kern w:val="0"/>
              </w:rPr>
              <w:t>排放</w:t>
            </w:r>
            <w:r>
              <w:rPr>
                <w:rFonts w:hint="eastAsia"/>
                <w:color w:val="auto"/>
                <w:kern w:val="0"/>
                <w:shd w:val="clear" w:color="auto" w:fill="FFFFFF"/>
              </w:rPr>
              <w:t>。</w:t>
            </w:r>
            <w:r>
              <w:rPr>
                <w:rFonts w:hint="eastAsia"/>
                <w:color w:val="auto"/>
                <w:kern w:val="0"/>
                <w:lang w:bidi="ar"/>
              </w:rPr>
              <w:t>废气收集效率较高，</w:t>
            </w:r>
            <w:r>
              <w:rPr>
                <w:color w:val="auto"/>
                <w:kern w:val="0"/>
                <w:lang w:bidi="ar"/>
              </w:rPr>
              <w:t>可最大限度的降低无组织排放。</w:t>
            </w:r>
          </w:p>
          <w:p w14:paraId="3A84FF25">
            <w:pPr>
              <w:pStyle w:val="5"/>
              <w:adjustRightInd w:val="0"/>
              <w:snapToGrid w:val="0"/>
              <w:spacing w:line="360" w:lineRule="auto"/>
              <w:ind w:firstLine="480"/>
              <w:rPr>
                <w:color w:val="auto"/>
                <w:kern w:val="0"/>
                <w:szCs w:val="21"/>
              </w:rPr>
            </w:pPr>
            <w:r>
              <w:rPr>
                <w:color w:val="auto"/>
                <w:kern w:val="0"/>
                <w:szCs w:val="21"/>
              </w:rPr>
              <w:t>项目</w:t>
            </w:r>
            <w:r>
              <w:rPr>
                <w:rFonts w:hint="eastAsia"/>
                <w:color w:val="auto"/>
                <w:kern w:val="0"/>
                <w:szCs w:val="21"/>
                <w:lang w:val="en-US" w:eastAsia="zh-CN"/>
              </w:rPr>
              <w:t>依托现有</w:t>
            </w:r>
            <w:r>
              <w:rPr>
                <w:color w:val="auto"/>
                <w:kern w:val="0"/>
                <w:szCs w:val="21"/>
              </w:rPr>
              <w:t>卫生防护距离。</w:t>
            </w:r>
          </w:p>
          <w:p w14:paraId="3A84FF26">
            <w:pPr>
              <w:adjustRightInd w:val="0"/>
              <w:snapToGrid w:val="0"/>
              <w:spacing w:line="360" w:lineRule="auto"/>
              <w:ind w:firstLine="420" w:firstLineChars="200"/>
              <w:jc w:val="left"/>
              <w:rPr>
                <w:color w:val="auto"/>
                <w:kern w:val="0"/>
              </w:rPr>
            </w:pPr>
            <w:r>
              <w:rPr>
                <w:rFonts w:hint="eastAsia"/>
                <w:color w:val="auto"/>
                <w:kern w:val="0"/>
              </w:rPr>
              <w:t>本</w:t>
            </w:r>
            <w:r>
              <w:rPr>
                <w:color w:val="auto"/>
                <w:kern w:val="0"/>
              </w:rPr>
              <w:t>项目污染物经合理处置后，排放量较低，因此本项目建成后对大气环境影响较小</w:t>
            </w:r>
            <w:r>
              <w:rPr>
                <w:rFonts w:hint="eastAsia"/>
                <w:color w:val="auto"/>
                <w:kern w:val="0"/>
              </w:rPr>
              <w:t>。</w:t>
            </w:r>
          </w:p>
          <w:p w14:paraId="3A84FF27">
            <w:pPr>
              <w:adjustRightInd w:val="0"/>
              <w:snapToGrid w:val="0"/>
              <w:spacing w:line="360" w:lineRule="auto"/>
              <w:rPr>
                <w:b/>
                <w:color w:val="auto"/>
                <w:kern w:val="0"/>
              </w:rPr>
            </w:pPr>
            <w:r>
              <w:rPr>
                <w:rFonts w:hint="eastAsia"/>
                <w:b/>
                <w:color w:val="auto"/>
                <w:kern w:val="0"/>
              </w:rPr>
              <w:t>2、地表水环境影响分析</w:t>
            </w:r>
          </w:p>
          <w:p w14:paraId="3A84FF28">
            <w:pPr>
              <w:pStyle w:val="5"/>
              <w:spacing w:line="360" w:lineRule="auto"/>
              <w:ind w:firstLine="482"/>
              <w:rPr>
                <w:b/>
                <w:bCs/>
                <w:color w:val="auto"/>
                <w:kern w:val="0"/>
                <w:szCs w:val="21"/>
              </w:rPr>
            </w:pPr>
            <w:r>
              <w:rPr>
                <w:b/>
                <w:bCs/>
                <w:color w:val="auto"/>
                <w:kern w:val="0"/>
                <w:szCs w:val="21"/>
              </w:rPr>
              <w:t>（1）废水源强</w:t>
            </w:r>
          </w:p>
          <w:p w14:paraId="3A84FF29">
            <w:pPr>
              <w:pStyle w:val="5"/>
              <w:adjustRightInd w:val="0"/>
              <w:snapToGrid w:val="0"/>
              <w:spacing w:line="360" w:lineRule="auto"/>
              <w:ind w:firstLine="480"/>
              <w:rPr>
                <w:color w:val="auto"/>
                <w:kern w:val="0"/>
                <w:szCs w:val="21"/>
              </w:rPr>
            </w:pPr>
            <w:r>
              <w:rPr>
                <w:color w:val="auto"/>
                <w:kern w:val="0"/>
                <w:szCs w:val="21"/>
              </w:rPr>
              <w:t>项目废水仅为生活污水，排水量为</w:t>
            </w:r>
            <w:r>
              <w:rPr>
                <w:rFonts w:hint="eastAsia"/>
                <w:color w:val="auto"/>
                <w:kern w:val="0"/>
                <w:szCs w:val="21"/>
                <w:lang w:val="en-US" w:eastAsia="zh-CN"/>
              </w:rPr>
              <w:t>896</w:t>
            </w:r>
            <w:r>
              <w:rPr>
                <w:color w:val="auto"/>
                <w:kern w:val="0"/>
                <w:szCs w:val="21"/>
              </w:rPr>
              <w:t>t/a，接管至</w:t>
            </w:r>
            <w:r>
              <w:rPr>
                <w:rFonts w:hint="eastAsia"/>
                <w:color w:val="auto"/>
                <w:kern w:val="0"/>
                <w:szCs w:val="21"/>
              </w:rPr>
              <w:t>常州市金坛区茅东污水处理厂</w:t>
            </w:r>
            <w:r>
              <w:rPr>
                <w:color w:val="auto"/>
                <w:kern w:val="0"/>
                <w:szCs w:val="21"/>
              </w:rPr>
              <w:t>集中处理，处理后尾水排入</w:t>
            </w:r>
            <w:r>
              <w:rPr>
                <w:rFonts w:hint="eastAsia"/>
                <w:color w:val="auto"/>
                <w:kern w:val="0"/>
                <w:szCs w:val="21"/>
              </w:rPr>
              <w:t>薛埠河</w:t>
            </w:r>
            <w:r>
              <w:rPr>
                <w:color w:val="auto"/>
                <w:kern w:val="0"/>
                <w:szCs w:val="21"/>
              </w:rPr>
              <w:t>。废水产生及排放情况见</w:t>
            </w:r>
            <w:r>
              <w:rPr>
                <w:rFonts w:hint="eastAsia"/>
                <w:color w:val="auto"/>
                <w:kern w:val="0"/>
                <w:szCs w:val="21"/>
              </w:rPr>
              <w:t>下表</w:t>
            </w:r>
            <w:r>
              <w:rPr>
                <w:color w:val="auto"/>
                <w:kern w:val="0"/>
                <w:szCs w:val="21"/>
              </w:rPr>
              <w:t>。</w:t>
            </w:r>
          </w:p>
          <w:p w14:paraId="3A84FF2A">
            <w:pPr>
              <w:adjustRightInd w:val="0"/>
              <w:snapToGrid w:val="0"/>
              <w:jc w:val="center"/>
              <w:rPr>
                <w:bCs/>
                <w:color w:val="auto"/>
                <w:kern w:val="0"/>
              </w:rPr>
            </w:pPr>
            <w:r>
              <w:rPr>
                <w:b/>
                <w:color w:val="auto"/>
                <w:kern w:val="0"/>
              </w:rPr>
              <w:t>表4-</w:t>
            </w:r>
            <w:r>
              <w:rPr>
                <w:rFonts w:hint="eastAsia"/>
                <w:b/>
                <w:color w:val="auto"/>
                <w:kern w:val="0"/>
              </w:rPr>
              <w:t>1</w:t>
            </w:r>
            <w:r>
              <w:rPr>
                <w:rFonts w:hint="eastAsia"/>
                <w:b/>
                <w:color w:val="auto"/>
                <w:kern w:val="0"/>
                <w:lang w:val="en-US" w:eastAsia="zh-CN"/>
              </w:rPr>
              <w:t>0</w:t>
            </w:r>
            <w:r>
              <w:rPr>
                <w:b/>
                <w:color w:val="auto"/>
                <w:kern w:val="0"/>
              </w:rPr>
              <w:t xml:space="preserve">   </w:t>
            </w:r>
            <w:r>
              <w:rPr>
                <w:rFonts w:hint="eastAsia"/>
                <w:b/>
                <w:bCs/>
                <w:color w:val="auto"/>
                <w:kern w:val="0"/>
              </w:rPr>
              <w:t>本项目</w:t>
            </w:r>
            <w:r>
              <w:rPr>
                <w:b/>
                <w:color w:val="auto"/>
                <w:kern w:val="0"/>
              </w:rPr>
              <w:t>水污染物产生和排放情况表</w:t>
            </w:r>
          </w:p>
          <w:tbl>
            <w:tblPr>
              <w:tblStyle w:val="59"/>
              <w:tblW w:w="4996"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708"/>
              <w:gridCol w:w="958"/>
              <w:gridCol w:w="908"/>
              <w:gridCol w:w="1038"/>
              <w:gridCol w:w="1286"/>
              <w:gridCol w:w="1105"/>
              <w:gridCol w:w="1086"/>
              <w:gridCol w:w="1270"/>
              <w:gridCol w:w="1228"/>
            </w:tblGrid>
            <w:tr w14:paraId="3A84FF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69" w:type="pct"/>
                  <w:tcBorders>
                    <w:tl2br w:val="nil"/>
                    <w:tr2bl w:val="nil"/>
                  </w:tcBorders>
                  <w:vAlign w:val="center"/>
                </w:tcPr>
                <w:p w14:paraId="3A84FF2B">
                  <w:pPr>
                    <w:adjustRightInd w:val="0"/>
                    <w:snapToGrid w:val="0"/>
                    <w:jc w:val="center"/>
                    <w:rPr>
                      <w:b/>
                      <w:bCs/>
                      <w:color w:val="auto"/>
                      <w:kern w:val="0"/>
                    </w:rPr>
                  </w:pPr>
                  <w:r>
                    <w:rPr>
                      <w:b/>
                      <w:bCs/>
                      <w:color w:val="auto"/>
                      <w:kern w:val="0"/>
                    </w:rPr>
                    <w:t>废水类型</w:t>
                  </w:r>
                </w:p>
              </w:tc>
              <w:tc>
                <w:tcPr>
                  <w:tcW w:w="499" w:type="pct"/>
                  <w:tcBorders>
                    <w:tl2br w:val="nil"/>
                    <w:tr2bl w:val="nil"/>
                  </w:tcBorders>
                  <w:vAlign w:val="center"/>
                </w:tcPr>
                <w:p w14:paraId="3A84FF2C">
                  <w:pPr>
                    <w:adjustRightInd w:val="0"/>
                    <w:snapToGrid w:val="0"/>
                    <w:jc w:val="center"/>
                    <w:rPr>
                      <w:b/>
                      <w:bCs/>
                      <w:color w:val="auto"/>
                      <w:kern w:val="0"/>
                    </w:rPr>
                  </w:pPr>
                  <w:r>
                    <w:rPr>
                      <w:b/>
                      <w:bCs/>
                      <w:color w:val="auto"/>
                      <w:kern w:val="0"/>
                    </w:rPr>
                    <w:t>废水量（t/a）</w:t>
                  </w:r>
                </w:p>
              </w:tc>
              <w:tc>
                <w:tcPr>
                  <w:tcW w:w="473" w:type="pct"/>
                  <w:tcBorders>
                    <w:tl2br w:val="nil"/>
                    <w:tr2bl w:val="nil"/>
                  </w:tcBorders>
                  <w:vAlign w:val="center"/>
                </w:tcPr>
                <w:p w14:paraId="3A84FF2D">
                  <w:pPr>
                    <w:adjustRightInd w:val="0"/>
                    <w:snapToGrid w:val="0"/>
                    <w:jc w:val="center"/>
                    <w:rPr>
                      <w:b/>
                      <w:bCs/>
                      <w:color w:val="auto"/>
                      <w:kern w:val="0"/>
                    </w:rPr>
                  </w:pPr>
                  <w:r>
                    <w:rPr>
                      <w:b/>
                      <w:bCs/>
                      <w:color w:val="auto"/>
                      <w:kern w:val="0"/>
                    </w:rPr>
                    <w:t>污染因子</w:t>
                  </w:r>
                </w:p>
              </w:tc>
              <w:tc>
                <w:tcPr>
                  <w:tcW w:w="541" w:type="pct"/>
                  <w:tcBorders>
                    <w:tl2br w:val="nil"/>
                    <w:tr2bl w:val="nil"/>
                  </w:tcBorders>
                  <w:vAlign w:val="center"/>
                </w:tcPr>
                <w:p w14:paraId="3A84FF2E">
                  <w:pPr>
                    <w:adjustRightInd w:val="0"/>
                    <w:snapToGrid w:val="0"/>
                    <w:jc w:val="center"/>
                    <w:rPr>
                      <w:b/>
                      <w:bCs/>
                      <w:color w:val="auto"/>
                      <w:kern w:val="0"/>
                    </w:rPr>
                  </w:pPr>
                  <w:r>
                    <w:rPr>
                      <w:b/>
                      <w:bCs/>
                      <w:color w:val="auto"/>
                      <w:kern w:val="0"/>
                    </w:rPr>
                    <w:t>浓度（mg/L）</w:t>
                  </w:r>
                </w:p>
              </w:tc>
              <w:tc>
                <w:tcPr>
                  <w:tcW w:w="670" w:type="pct"/>
                  <w:tcBorders>
                    <w:tl2br w:val="nil"/>
                    <w:tr2bl w:val="nil"/>
                  </w:tcBorders>
                  <w:vAlign w:val="center"/>
                </w:tcPr>
                <w:p w14:paraId="3A84FF2F">
                  <w:pPr>
                    <w:adjustRightInd w:val="0"/>
                    <w:snapToGrid w:val="0"/>
                    <w:jc w:val="center"/>
                    <w:rPr>
                      <w:b/>
                      <w:bCs/>
                      <w:color w:val="auto"/>
                      <w:kern w:val="0"/>
                    </w:rPr>
                  </w:pPr>
                  <w:r>
                    <w:rPr>
                      <w:b/>
                      <w:bCs/>
                      <w:color w:val="auto"/>
                      <w:kern w:val="0"/>
                    </w:rPr>
                    <w:t>产生量（t/a）</w:t>
                  </w:r>
                </w:p>
              </w:tc>
              <w:tc>
                <w:tcPr>
                  <w:tcW w:w="576" w:type="pct"/>
                  <w:tcBorders>
                    <w:tl2br w:val="nil"/>
                    <w:tr2bl w:val="nil"/>
                  </w:tcBorders>
                  <w:vAlign w:val="center"/>
                </w:tcPr>
                <w:p w14:paraId="3A84FF30">
                  <w:pPr>
                    <w:adjustRightInd w:val="0"/>
                    <w:snapToGrid w:val="0"/>
                    <w:jc w:val="center"/>
                    <w:rPr>
                      <w:b/>
                      <w:bCs/>
                      <w:color w:val="auto"/>
                      <w:kern w:val="0"/>
                    </w:rPr>
                  </w:pPr>
                  <w:r>
                    <w:rPr>
                      <w:b/>
                      <w:bCs/>
                      <w:color w:val="auto"/>
                      <w:kern w:val="0"/>
                    </w:rPr>
                    <w:t>拟采取的处理方式</w:t>
                  </w:r>
                </w:p>
              </w:tc>
              <w:tc>
                <w:tcPr>
                  <w:tcW w:w="566" w:type="pct"/>
                  <w:tcBorders>
                    <w:tl2br w:val="nil"/>
                    <w:tr2bl w:val="nil"/>
                  </w:tcBorders>
                  <w:vAlign w:val="center"/>
                </w:tcPr>
                <w:p w14:paraId="3A84FF31">
                  <w:pPr>
                    <w:adjustRightInd w:val="0"/>
                    <w:snapToGrid w:val="0"/>
                    <w:jc w:val="center"/>
                    <w:rPr>
                      <w:b/>
                      <w:bCs/>
                      <w:color w:val="auto"/>
                      <w:kern w:val="0"/>
                    </w:rPr>
                  </w:pPr>
                  <w:r>
                    <w:rPr>
                      <w:b/>
                      <w:bCs/>
                      <w:color w:val="auto"/>
                      <w:kern w:val="0"/>
                    </w:rPr>
                    <w:t>浓度（mg/L）</w:t>
                  </w:r>
                </w:p>
              </w:tc>
              <w:tc>
                <w:tcPr>
                  <w:tcW w:w="662" w:type="pct"/>
                  <w:tcBorders>
                    <w:tl2br w:val="nil"/>
                    <w:tr2bl w:val="nil"/>
                  </w:tcBorders>
                  <w:vAlign w:val="center"/>
                </w:tcPr>
                <w:p w14:paraId="3A84FF32">
                  <w:pPr>
                    <w:adjustRightInd w:val="0"/>
                    <w:snapToGrid w:val="0"/>
                    <w:jc w:val="center"/>
                    <w:rPr>
                      <w:b/>
                      <w:bCs/>
                      <w:color w:val="auto"/>
                      <w:kern w:val="0"/>
                    </w:rPr>
                  </w:pPr>
                  <w:r>
                    <w:rPr>
                      <w:b/>
                      <w:bCs/>
                      <w:color w:val="auto"/>
                      <w:kern w:val="0"/>
                    </w:rPr>
                    <w:t>排放量（t/a）</w:t>
                  </w:r>
                </w:p>
              </w:tc>
              <w:tc>
                <w:tcPr>
                  <w:tcW w:w="640" w:type="pct"/>
                  <w:tcBorders>
                    <w:tl2br w:val="nil"/>
                    <w:tr2bl w:val="nil"/>
                  </w:tcBorders>
                  <w:vAlign w:val="center"/>
                </w:tcPr>
                <w:p w14:paraId="3A84FF33">
                  <w:pPr>
                    <w:adjustRightInd w:val="0"/>
                    <w:snapToGrid w:val="0"/>
                    <w:jc w:val="center"/>
                    <w:rPr>
                      <w:b/>
                      <w:bCs/>
                      <w:color w:val="auto"/>
                      <w:kern w:val="0"/>
                    </w:rPr>
                  </w:pPr>
                  <w:r>
                    <w:rPr>
                      <w:b/>
                      <w:bCs/>
                      <w:color w:val="auto"/>
                      <w:kern w:val="0"/>
                    </w:rPr>
                    <w:t>排放去向</w:t>
                  </w:r>
                </w:p>
              </w:tc>
            </w:tr>
            <w:tr w14:paraId="3A84FF3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69" w:type="pct"/>
                  <w:vMerge w:val="restart"/>
                  <w:tcBorders>
                    <w:tl2br w:val="nil"/>
                    <w:tr2bl w:val="nil"/>
                  </w:tcBorders>
                  <w:vAlign w:val="center"/>
                </w:tcPr>
                <w:p w14:paraId="3A84FF35">
                  <w:pPr>
                    <w:adjustRightInd w:val="0"/>
                    <w:snapToGrid w:val="0"/>
                    <w:jc w:val="center"/>
                    <w:rPr>
                      <w:color w:val="auto"/>
                      <w:kern w:val="0"/>
                    </w:rPr>
                  </w:pPr>
                  <w:r>
                    <w:rPr>
                      <w:color w:val="auto"/>
                      <w:kern w:val="0"/>
                    </w:rPr>
                    <w:t>生活污水</w:t>
                  </w:r>
                </w:p>
              </w:tc>
              <w:tc>
                <w:tcPr>
                  <w:tcW w:w="499" w:type="pct"/>
                  <w:vMerge w:val="restart"/>
                  <w:tcBorders>
                    <w:tl2br w:val="nil"/>
                    <w:tr2bl w:val="nil"/>
                  </w:tcBorders>
                  <w:vAlign w:val="center"/>
                </w:tcPr>
                <w:p w14:paraId="3A84FF36">
                  <w:pPr>
                    <w:adjustRightInd w:val="0"/>
                    <w:snapToGrid w:val="0"/>
                    <w:jc w:val="center"/>
                    <w:rPr>
                      <w:rFonts w:hint="default" w:eastAsia="宋体"/>
                      <w:color w:val="auto"/>
                      <w:kern w:val="0"/>
                      <w:lang w:val="en-US" w:eastAsia="zh-CN"/>
                    </w:rPr>
                  </w:pPr>
                  <w:r>
                    <w:rPr>
                      <w:rFonts w:hint="eastAsia"/>
                      <w:color w:val="auto"/>
                      <w:kern w:val="0"/>
                      <w:lang w:val="en-US" w:eastAsia="zh-CN"/>
                    </w:rPr>
                    <w:t>896</w:t>
                  </w:r>
                </w:p>
              </w:tc>
              <w:tc>
                <w:tcPr>
                  <w:tcW w:w="473" w:type="pct"/>
                  <w:tcBorders>
                    <w:tl2br w:val="nil"/>
                    <w:tr2bl w:val="nil"/>
                  </w:tcBorders>
                  <w:vAlign w:val="center"/>
                </w:tcPr>
                <w:p w14:paraId="3A84FF37">
                  <w:pPr>
                    <w:adjustRightInd w:val="0"/>
                    <w:snapToGrid w:val="0"/>
                    <w:jc w:val="center"/>
                    <w:rPr>
                      <w:color w:val="auto"/>
                      <w:kern w:val="0"/>
                    </w:rPr>
                  </w:pPr>
                  <w:r>
                    <w:rPr>
                      <w:color w:val="auto"/>
                      <w:kern w:val="0"/>
                    </w:rPr>
                    <w:t>pH</w:t>
                  </w:r>
                </w:p>
              </w:tc>
              <w:tc>
                <w:tcPr>
                  <w:tcW w:w="1211" w:type="pct"/>
                  <w:gridSpan w:val="2"/>
                  <w:tcBorders>
                    <w:tl2br w:val="nil"/>
                    <w:tr2bl w:val="nil"/>
                  </w:tcBorders>
                  <w:vAlign w:val="center"/>
                </w:tcPr>
                <w:p w14:paraId="3A84FF38">
                  <w:pPr>
                    <w:adjustRightInd w:val="0"/>
                    <w:snapToGrid w:val="0"/>
                    <w:jc w:val="center"/>
                    <w:rPr>
                      <w:color w:val="auto"/>
                      <w:kern w:val="0"/>
                    </w:rPr>
                  </w:pPr>
                  <w:r>
                    <w:rPr>
                      <w:color w:val="auto"/>
                      <w:kern w:val="0"/>
                    </w:rPr>
                    <w:t>6~9</w:t>
                  </w:r>
                </w:p>
              </w:tc>
              <w:tc>
                <w:tcPr>
                  <w:tcW w:w="576" w:type="pct"/>
                  <w:vMerge w:val="restart"/>
                  <w:tcBorders>
                    <w:tl2br w:val="nil"/>
                    <w:tr2bl w:val="nil"/>
                  </w:tcBorders>
                  <w:vAlign w:val="center"/>
                </w:tcPr>
                <w:p w14:paraId="3A84FF39">
                  <w:pPr>
                    <w:adjustRightInd w:val="0"/>
                    <w:snapToGrid w:val="0"/>
                    <w:jc w:val="center"/>
                    <w:rPr>
                      <w:color w:val="auto"/>
                      <w:kern w:val="0"/>
                    </w:rPr>
                  </w:pPr>
                  <w:r>
                    <w:rPr>
                      <w:color w:val="auto"/>
                      <w:kern w:val="0"/>
                    </w:rPr>
                    <w:t>接市政污水管网</w:t>
                  </w:r>
                </w:p>
              </w:tc>
              <w:tc>
                <w:tcPr>
                  <w:tcW w:w="1228" w:type="pct"/>
                  <w:gridSpan w:val="2"/>
                  <w:tcBorders>
                    <w:tl2br w:val="nil"/>
                    <w:tr2bl w:val="nil"/>
                  </w:tcBorders>
                  <w:vAlign w:val="center"/>
                </w:tcPr>
                <w:p w14:paraId="3A84FF3A">
                  <w:pPr>
                    <w:adjustRightInd w:val="0"/>
                    <w:snapToGrid w:val="0"/>
                    <w:jc w:val="center"/>
                    <w:rPr>
                      <w:color w:val="auto"/>
                      <w:kern w:val="0"/>
                    </w:rPr>
                  </w:pPr>
                  <w:r>
                    <w:rPr>
                      <w:color w:val="auto"/>
                      <w:kern w:val="0"/>
                    </w:rPr>
                    <w:t>6~9</w:t>
                  </w:r>
                </w:p>
              </w:tc>
              <w:tc>
                <w:tcPr>
                  <w:tcW w:w="640" w:type="pct"/>
                  <w:vMerge w:val="restart"/>
                  <w:tcBorders>
                    <w:tl2br w:val="nil"/>
                    <w:tr2bl w:val="nil"/>
                  </w:tcBorders>
                  <w:vAlign w:val="center"/>
                </w:tcPr>
                <w:p w14:paraId="3A84FF3B">
                  <w:pPr>
                    <w:adjustRightInd w:val="0"/>
                    <w:snapToGrid w:val="0"/>
                    <w:jc w:val="center"/>
                    <w:rPr>
                      <w:color w:val="auto"/>
                      <w:kern w:val="0"/>
                    </w:rPr>
                  </w:pPr>
                  <w:r>
                    <w:rPr>
                      <w:rFonts w:hint="eastAsia"/>
                      <w:color w:val="auto"/>
                      <w:kern w:val="0"/>
                    </w:rPr>
                    <w:t>接管</w:t>
                  </w:r>
                  <w:r>
                    <w:rPr>
                      <w:color w:val="auto"/>
                      <w:kern w:val="0"/>
                    </w:rPr>
                    <w:t>进入</w:t>
                  </w:r>
                  <w:r>
                    <w:rPr>
                      <w:rFonts w:hint="eastAsia"/>
                      <w:color w:val="auto"/>
                      <w:kern w:val="0"/>
                    </w:rPr>
                    <w:t>常州市金坛区茅东污水处理厂处理</w:t>
                  </w:r>
                </w:p>
              </w:tc>
            </w:tr>
            <w:tr w14:paraId="3A84FF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69" w:type="pct"/>
                  <w:vMerge w:val="continue"/>
                  <w:tcBorders>
                    <w:tl2br w:val="nil"/>
                    <w:tr2bl w:val="nil"/>
                  </w:tcBorders>
                  <w:vAlign w:val="center"/>
                </w:tcPr>
                <w:p w14:paraId="3A84FF3D">
                  <w:pPr>
                    <w:adjustRightInd w:val="0"/>
                    <w:snapToGrid w:val="0"/>
                    <w:jc w:val="center"/>
                    <w:rPr>
                      <w:color w:val="auto"/>
                      <w:kern w:val="0"/>
                    </w:rPr>
                  </w:pPr>
                </w:p>
              </w:tc>
              <w:tc>
                <w:tcPr>
                  <w:tcW w:w="499" w:type="pct"/>
                  <w:vMerge w:val="continue"/>
                  <w:tcBorders>
                    <w:tl2br w:val="nil"/>
                    <w:tr2bl w:val="nil"/>
                  </w:tcBorders>
                  <w:vAlign w:val="center"/>
                </w:tcPr>
                <w:p w14:paraId="3A84FF3E">
                  <w:pPr>
                    <w:adjustRightInd w:val="0"/>
                    <w:snapToGrid w:val="0"/>
                    <w:jc w:val="center"/>
                    <w:rPr>
                      <w:color w:val="auto"/>
                      <w:kern w:val="0"/>
                    </w:rPr>
                  </w:pPr>
                </w:p>
              </w:tc>
              <w:tc>
                <w:tcPr>
                  <w:tcW w:w="473" w:type="pct"/>
                  <w:tcBorders>
                    <w:tl2br w:val="nil"/>
                    <w:tr2bl w:val="nil"/>
                  </w:tcBorders>
                  <w:vAlign w:val="center"/>
                </w:tcPr>
                <w:p w14:paraId="3A84FF3F">
                  <w:pPr>
                    <w:widowControl/>
                    <w:adjustRightInd w:val="0"/>
                    <w:snapToGrid w:val="0"/>
                    <w:jc w:val="center"/>
                    <w:rPr>
                      <w:color w:val="auto"/>
                      <w:kern w:val="0"/>
                    </w:rPr>
                  </w:pPr>
                  <w:r>
                    <w:rPr>
                      <w:color w:val="auto"/>
                      <w:kern w:val="0"/>
                    </w:rPr>
                    <w:t>COD</w:t>
                  </w:r>
                </w:p>
              </w:tc>
              <w:tc>
                <w:tcPr>
                  <w:tcW w:w="541" w:type="pct"/>
                  <w:tcBorders>
                    <w:tl2br w:val="nil"/>
                    <w:tr2bl w:val="nil"/>
                  </w:tcBorders>
                  <w:vAlign w:val="center"/>
                </w:tcPr>
                <w:p w14:paraId="3A84FF40">
                  <w:pPr>
                    <w:jc w:val="center"/>
                    <w:rPr>
                      <w:rFonts w:hint="default" w:eastAsia="宋体"/>
                      <w:color w:val="auto"/>
                      <w:kern w:val="0"/>
                      <w:lang w:val="en-US" w:eastAsia="zh-CN"/>
                    </w:rPr>
                  </w:pPr>
                  <w:r>
                    <w:rPr>
                      <w:rFonts w:hint="eastAsia" w:eastAsia="仿宋"/>
                      <w:color w:val="auto"/>
                      <w:kern w:val="0"/>
                      <w:lang w:val="en-US" w:eastAsia="zh-CN"/>
                    </w:rPr>
                    <w:t>300</w:t>
                  </w:r>
                </w:p>
              </w:tc>
              <w:tc>
                <w:tcPr>
                  <w:tcW w:w="1187" w:type="dxa"/>
                  <w:tcBorders>
                    <w:tl2br w:val="nil"/>
                    <w:tr2bl w:val="nil"/>
                  </w:tcBorders>
                  <w:vAlign w:val="center"/>
                </w:tcPr>
                <w:p w14:paraId="3A84FF41">
                  <w:pPr>
                    <w:jc w:val="center"/>
                    <w:rPr>
                      <w:rFonts w:hint="eastAsia" w:eastAsia="仿宋"/>
                      <w:color w:val="auto"/>
                      <w:kern w:val="0"/>
                      <w:lang w:val="en-US" w:eastAsia="zh-CN"/>
                    </w:rPr>
                  </w:pPr>
                  <w:r>
                    <w:rPr>
                      <w:rFonts w:hint="eastAsia" w:eastAsia="仿宋"/>
                      <w:color w:val="auto"/>
                      <w:kern w:val="0"/>
                      <w:lang w:val="en-US" w:eastAsia="zh-CN"/>
                    </w:rPr>
                    <w:t>0.2688</w:t>
                  </w:r>
                </w:p>
              </w:tc>
              <w:tc>
                <w:tcPr>
                  <w:tcW w:w="576" w:type="pct"/>
                  <w:vMerge w:val="continue"/>
                  <w:tcBorders>
                    <w:tl2br w:val="nil"/>
                    <w:tr2bl w:val="nil"/>
                  </w:tcBorders>
                  <w:vAlign w:val="center"/>
                </w:tcPr>
                <w:p w14:paraId="3A84FF42">
                  <w:pPr>
                    <w:adjustRightInd w:val="0"/>
                    <w:snapToGrid w:val="0"/>
                    <w:jc w:val="center"/>
                    <w:rPr>
                      <w:color w:val="auto"/>
                      <w:kern w:val="0"/>
                    </w:rPr>
                  </w:pPr>
                </w:p>
              </w:tc>
              <w:tc>
                <w:tcPr>
                  <w:tcW w:w="1003" w:type="dxa"/>
                  <w:tcBorders>
                    <w:tl2br w:val="nil"/>
                    <w:tr2bl w:val="nil"/>
                  </w:tcBorders>
                  <w:vAlign w:val="center"/>
                </w:tcPr>
                <w:p w14:paraId="3A84FF43">
                  <w:pPr>
                    <w:jc w:val="center"/>
                    <w:rPr>
                      <w:color w:val="auto"/>
                      <w:kern w:val="0"/>
                    </w:rPr>
                  </w:pPr>
                  <w:r>
                    <w:rPr>
                      <w:rFonts w:hint="eastAsia" w:eastAsia="仿宋"/>
                      <w:color w:val="auto"/>
                      <w:kern w:val="0"/>
                      <w:lang w:val="en-US" w:eastAsia="zh-CN"/>
                    </w:rPr>
                    <w:t>300</w:t>
                  </w:r>
                </w:p>
              </w:tc>
              <w:tc>
                <w:tcPr>
                  <w:tcW w:w="1173" w:type="dxa"/>
                  <w:tcBorders>
                    <w:tl2br w:val="nil"/>
                    <w:tr2bl w:val="nil"/>
                  </w:tcBorders>
                  <w:vAlign w:val="center"/>
                </w:tcPr>
                <w:p w14:paraId="3A84FF44">
                  <w:pPr>
                    <w:jc w:val="center"/>
                    <w:rPr>
                      <w:color w:val="auto"/>
                      <w:kern w:val="0"/>
                    </w:rPr>
                  </w:pPr>
                  <w:r>
                    <w:rPr>
                      <w:rFonts w:hint="eastAsia" w:eastAsia="仿宋"/>
                      <w:color w:val="auto"/>
                      <w:kern w:val="0"/>
                      <w:lang w:val="en-US" w:eastAsia="zh-CN"/>
                    </w:rPr>
                    <w:t>0.2688</w:t>
                  </w:r>
                </w:p>
              </w:tc>
              <w:tc>
                <w:tcPr>
                  <w:tcW w:w="640" w:type="pct"/>
                  <w:vMerge w:val="continue"/>
                  <w:tcBorders>
                    <w:tl2br w:val="nil"/>
                    <w:tr2bl w:val="nil"/>
                  </w:tcBorders>
                  <w:vAlign w:val="center"/>
                </w:tcPr>
                <w:p w14:paraId="3A84FF45">
                  <w:pPr>
                    <w:adjustRightInd w:val="0"/>
                    <w:snapToGrid w:val="0"/>
                    <w:jc w:val="center"/>
                    <w:rPr>
                      <w:color w:val="auto"/>
                      <w:kern w:val="0"/>
                    </w:rPr>
                  </w:pPr>
                </w:p>
              </w:tc>
            </w:tr>
            <w:tr w14:paraId="3A84FF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69" w:type="pct"/>
                  <w:vMerge w:val="continue"/>
                  <w:tcBorders>
                    <w:tl2br w:val="nil"/>
                    <w:tr2bl w:val="nil"/>
                  </w:tcBorders>
                  <w:vAlign w:val="center"/>
                </w:tcPr>
                <w:p w14:paraId="3A84FF47">
                  <w:pPr>
                    <w:adjustRightInd w:val="0"/>
                    <w:snapToGrid w:val="0"/>
                    <w:jc w:val="center"/>
                    <w:rPr>
                      <w:color w:val="auto"/>
                      <w:kern w:val="0"/>
                    </w:rPr>
                  </w:pPr>
                </w:p>
              </w:tc>
              <w:tc>
                <w:tcPr>
                  <w:tcW w:w="499" w:type="pct"/>
                  <w:vMerge w:val="continue"/>
                  <w:tcBorders>
                    <w:tl2br w:val="nil"/>
                    <w:tr2bl w:val="nil"/>
                  </w:tcBorders>
                  <w:vAlign w:val="center"/>
                </w:tcPr>
                <w:p w14:paraId="3A84FF48">
                  <w:pPr>
                    <w:adjustRightInd w:val="0"/>
                    <w:snapToGrid w:val="0"/>
                    <w:jc w:val="center"/>
                    <w:rPr>
                      <w:color w:val="auto"/>
                      <w:kern w:val="0"/>
                    </w:rPr>
                  </w:pPr>
                </w:p>
              </w:tc>
              <w:tc>
                <w:tcPr>
                  <w:tcW w:w="473" w:type="pct"/>
                  <w:tcBorders>
                    <w:tl2br w:val="nil"/>
                    <w:tr2bl w:val="nil"/>
                  </w:tcBorders>
                  <w:vAlign w:val="center"/>
                </w:tcPr>
                <w:p w14:paraId="3A84FF49">
                  <w:pPr>
                    <w:widowControl/>
                    <w:adjustRightInd w:val="0"/>
                    <w:snapToGrid w:val="0"/>
                    <w:jc w:val="center"/>
                    <w:rPr>
                      <w:color w:val="auto"/>
                      <w:kern w:val="0"/>
                    </w:rPr>
                  </w:pPr>
                  <w:r>
                    <w:rPr>
                      <w:color w:val="auto"/>
                      <w:kern w:val="0"/>
                    </w:rPr>
                    <w:t>SS</w:t>
                  </w:r>
                </w:p>
              </w:tc>
              <w:tc>
                <w:tcPr>
                  <w:tcW w:w="541" w:type="pct"/>
                  <w:tcBorders>
                    <w:tl2br w:val="nil"/>
                    <w:tr2bl w:val="nil"/>
                  </w:tcBorders>
                  <w:vAlign w:val="center"/>
                </w:tcPr>
                <w:p w14:paraId="3A84FF4A">
                  <w:pPr>
                    <w:jc w:val="center"/>
                    <w:rPr>
                      <w:rFonts w:hint="default" w:eastAsia="宋体"/>
                      <w:color w:val="auto"/>
                      <w:kern w:val="0"/>
                      <w:lang w:val="en-US" w:eastAsia="zh-CN"/>
                    </w:rPr>
                  </w:pPr>
                  <w:r>
                    <w:rPr>
                      <w:rFonts w:hint="eastAsia" w:eastAsia="仿宋"/>
                      <w:color w:val="auto"/>
                      <w:kern w:val="0"/>
                      <w:lang w:val="en-US" w:eastAsia="zh-CN"/>
                    </w:rPr>
                    <w:t>250</w:t>
                  </w:r>
                </w:p>
              </w:tc>
              <w:tc>
                <w:tcPr>
                  <w:tcW w:w="1187" w:type="dxa"/>
                  <w:tcBorders>
                    <w:tl2br w:val="nil"/>
                    <w:tr2bl w:val="nil"/>
                  </w:tcBorders>
                  <w:vAlign w:val="center"/>
                </w:tcPr>
                <w:p w14:paraId="3A84FF4B">
                  <w:pPr>
                    <w:jc w:val="center"/>
                    <w:rPr>
                      <w:rFonts w:hint="eastAsia" w:eastAsia="仿宋"/>
                      <w:color w:val="auto"/>
                      <w:kern w:val="0"/>
                      <w:lang w:val="en-US" w:eastAsia="zh-CN"/>
                    </w:rPr>
                  </w:pPr>
                  <w:r>
                    <w:rPr>
                      <w:rFonts w:hint="eastAsia" w:eastAsia="仿宋"/>
                      <w:color w:val="auto"/>
                      <w:kern w:val="0"/>
                      <w:lang w:val="en-US" w:eastAsia="zh-CN"/>
                    </w:rPr>
                    <w:t>0.224</w:t>
                  </w:r>
                </w:p>
              </w:tc>
              <w:tc>
                <w:tcPr>
                  <w:tcW w:w="576" w:type="pct"/>
                  <w:vMerge w:val="continue"/>
                  <w:tcBorders>
                    <w:tl2br w:val="nil"/>
                    <w:tr2bl w:val="nil"/>
                  </w:tcBorders>
                  <w:vAlign w:val="center"/>
                </w:tcPr>
                <w:p w14:paraId="3A84FF4C">
                  <w:pPr>
                    <w:adjustRightInd w:val="0"/>
                    <w:snapToGrid w:val="0"/>
                    <w:jc w:val="center"/>
                    <w:rPr>
                      <w:color w:val="auto"/>
                      <w:kern w:val="0"/>
                    </w:rPr>
                  </w:pPr>
                </w:p>
              </w:tc>
              <w:tc>
                <w:tcPr>
                  <w:tcW w:w="1003" w:type="dxa"/>
                  <w:tcBorders>
                    <w:tl2br w:val="nil"/>
                    <w:tr2bl w:val="nil"/>
                  </w:tcBorders>
                  <w:vAlign w:val="center"/>
                </w:tcPr>
                <w:p w14:paraId="3A84FF4D">
                  <w:pPr>
                    <w:jc w:val="center"/>
                    <w:rPr>
                      <w:color w:val="auto"/>
                      <w:kern w:val="0"/>
                    </w:rPr>
                  </w:pPr>
                  <w:r>
                    <w:rPr>
                      <w:rFonts w:hint="eastAsia" w:eastAsia="仿宋"/>
                      <w:color w:val="auto"/>
                      <w:kern w:val="0"/>
                      <w:lang w:val="en-US" w:eastAsia="zh-CN"/>
                    </w:rPr>
                    <w:t>250</w:t>
                  </w:r>
                </w:p>
              </w:tc>
              <w:tc>
                <w:tcPr>
                  <w:tcW w:w="1173" w:type="dxa"/>
                  <w:tcBorders>
                    <w:tl2br w:val="nil"/>
                    <w:tr2bl w:val="nil"/>
                  </w:tcBorders>
                  <w:vAlign w:val="center"/>
                </w:tcPr>
                <w:p w14:paraId="3A84FF4E">
                  <w:pPr>
                    <w:jc w:val="center"/>
                    <w:rPr>
                      <w:color w:val="auto"/>
                      <w:kern w:val="0"/>
                    </w:rPr>
                  </w:pPr>
                  <w:r>
                    <w:rPr>
                      <w:rFonts w:hint="eastAsia" w:eastAsia="仿宋"/>
                      <w:color w:val="auto"/>
                      <w:kern w:val="0"/>
                      <w:lang w:val="en-US" w:eastAsia="zh-CN"/>
                    </w:rPr>
                    <w:t>0.224</w:t>
                  </w:r>
                </w:p>
              </w:tc>
              <w:tc>
                <w:tcPr>
                  <w:tcW w:w="640" w:type="pct"/>
                  <w:vMerge w:val="continue"/>
                  <w:tcBorders>
                    <w:tl2br w:val="nil"/>
                    <w:tr2bl w:val="nil"/>
                  </w:tcBorders>
                  <w:vAlign w:val="center"/>
                </w:tcPr>
                <w:p w14:paraId="3A84FF4F">
                  <w:pPr>
                    <w:adjustRightInd w:val="0"/>
                    <w:snapToGrid w:val="0"/>
                    <w:jc w:val="center"/>
                    <w:rPr>
                      <w:color w:val="auto"/>
                      <w:kern w:val="0"/>
                    </w:rPr>
                  </w:pPr>
                </w:p>
              </w:tc>
            </w:tr>
            <w:tr w14:paraId="3A84FF5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69" w:type="pct"/>
                  <w:vMerge w:val="continue"/>
                  <w:tcBorders>
                    <w:tl2br w:val="nil"/>
                    <w:tr2bl w:val="nil"/>
                  </w:tcBorders>
                  <w:vAlign w:val="center"/>
                </w:tcPr>
                <w:p w14:paraId="3A84FF51">
                  <w:pPr>
                    <w:adjustRightInd w:val="0"/>
                    <w:snapToGrid w:val="0"/>
                    <w:jc w:val="center"/>
                    <w:rPr>
                      <w:color w:val="auto"/>
                      <w:kern w:val="0"/>
                    </w:rPr>
                  </w:pPr>
                </w:p>
              </w:tc>
              <w:tc>
                <w:tcPr>
                  <w:tcW w:w="499" w:type="pct"/>
                  <w:vMerge w:val="continue"/>
                  <w:tcBorders>
                    <w:tl2br w:val="nil"/>
                    <w:tr2bl w:val="nil"/>
                  </w:tcBorders>
                  <w:vAlign w:val="center"/>
                </w:tcPr>
                <w:p w14:paraId="3A84FF52">
                  <w:pPr>
                    <w:adjustRightInd w:val="0"/>
                    <w:snapToGrid w:val="0"/>
                    <w:jc w:val="center"/>
                    <w:rPr>
                      <w:color w:val="auto"/>
                      <w:kern w:val="0"/>
                    </w:rPr>
                  </w:pPr>
                </w:p>
              </w:tc>
              <w:tc>
                <w:tcPr>
                  <w:tcW w:w="473" w:type="pct"/>
                  <w:tcBorders>
                    <w:tl2br w:val="nil"/>
                    <w:tr2bl w:val="nil"/>
                  </w:tcBorders>
                  <w:vAlign w:val="center"/>
                </w:tcPr>
                <w:p w14:paraId="3A84FF53">
                  <w:pPr>
                    <w:widowControl/>
                    <w:adjustRightInd w:val="0"/>
                    <w:snapToGrid w:val="0"/>
                    <w:jc w:val="center"/>
                    <w:rPr>
                      <w:color w:val="auto"/>
                      <w:kern w:val="0"/>
                    </w:rPr>
                  </w:pPr>
                  <w:r>
                    <w:rPr>
                      <w:color w:val="auto"/>
                      <w:kern w:val="0"/>
                    </w:rPr>
                    <w:t>NH</w:t>
                  </w:r>
                  <w:r>
                    <w:rPr>
                      <w:color w:val="auto"/>
                      <w:kern w:val="0"/>
                      <w:vertAlign w:val="subscript"/>
                    </w:rPr>
                    <w:t>3</w:t>
                  </w:r>
                  <w:r>
                    <w:rPr>
                      <w:color w:val="auto"/>
                      <w:kern w:val="0"/>
                    </w:rPr>
                    <w:t>-N</w:t>
                  </w:r>
                </w:p>
              </w:tc>
              <w:tc>
                <w:tcPr>
                  <w:tcW w:w="541" w:type="pct"/>
                  <w:tcBorders>
                    <w:tl2br w:val="nil"/>
                    <w:tr2bl w:val="nil"/>
                  </w:tcBorders>
                  <w:vAlign w:val="center"/>
                </w:tcPr>
                <w:p w14:paraId="3A84FF54">
                  <w:pPr>
                    <w:jc w:val="center"/>
                    <w:rPr>
                      <w:rFonts w:hint="default" w:eastAsia="宋体"/>
                      <w:color w:val="auto"/>
                      <w:kern w:val="0"/>
                      <w:lang w:val="en-US" w:eastAsia="zh-CN"/>
                    </w:rPr>
                  </w:pPr>
                  <w:r>
                    <w:rPr>
                      <w:rFonts w:hint="eastAsia" w:eastAsia="仿宋"/>
                      <w:color w:val="auto"/>
                      <w:kern w:val="0"/>
                      <w:lang w:val="en-US" w:eastAsia="zh-CN"/>
                    </w:rPr>
                    <w:t>25</w:t>
                  </w:r>
                </w:p>
              </w:tc>
              <w:tc>
                <w:tcPr>
                  <w:tcW w:w="1187" w:type="dxa"/>
                  <w:tcBorders>
                    <w:tl2br w:val="nil"/>
                    <w:tr2bl w:val="nil"/>
                  </w:tcBorders>
                  <w:vAlign w:val="center"/>
                </w:tcPr>
                <w:p w14:paraId="3A84FF55">
                  <w:pPr>
                    <w:jc w:val="center"/>
                    <w:rPr>
                      <w:rFonts w:hint="eastAsia" w:eastAsia="仿宋"/>
                      <w:color w:val="auto"/>
                      <w:kern w:val="0"/>
                      <w:lang w:val="en-US" w:eastAsia="zh-CN"/>
                    </w:rPr>
                  </w:pPr>
                  <w:r>
                    <w:rPr>
                      <w:rFonts w:hint="eastAsia" w:eastAsia="仿宋"/>
                      <w:color w:val="auto"/>
                      <w:kern w:val="0"/>
                      <w:lang w:val="en-US" w:eastAsia="zh-CN"/>
                    </w:rPr>
                    <w:t>0.0224</w:t>
                  </w:r>
                </w:p>
              </w:tc>
              <w:tc>
                <w:tcPr>
                  <w:tcW w:w="576" w:type="pct"/>
                  <w:vMerge w:val="continue"/>
                  <w:tcBorders>
                    <w:tl2br w:val="nil"/>
                    <w:tr2bl w:val="nil"/>
                  </w:tcBorders>
                  <w:vAlign w:val="center"/>
                </w:tcPr>
                <w:p w14:paraId="3A84FF56">
                  <w:pPr>
                    <w:adjustRightInd w:val="0"/>
                    <w:snapToGrid w:val="0"/>
                    <w:jc w:val="center"/>
                    <w:rPr>
                      <w:color w:val="auto"/>
                      <w:kern w:val="0"/>
                    </w:rPr>
                  </w:pPr>
                </w:p>
              </w:tc>
              <w:tc>
                <w:tcPr>
                  <w:tcW w:w="1003" w:type="dxa"/>
                  <w:tcBorders>
                    <w:tl2br w:val="nil"/>
                    <w:tr2bl w:val="nil"/>
                  </w:tcBorders>
                  <w:vAlign w:val="center"/>
                </w:tcPr>
                <w:p w14:paraId="3A84FF57">
                  <w:pPr>
                    <w:jc w:val="center"/>
                    <w:rPr>
                      <w:color w:val="auto"/>
                      <w:kern w:val="0"/>
                    </w:rPr>
                  </w:pPr>
                  <w:r>
                    <w:rPr>
                      <w:rFonts w:hint="eastAsia" w:eastAsia="仿宋"/>
                      <w:color w:val="auto"/>
                      <w:kern w:val="0"/>
                      <w:lang w:val="en-US" w:eastAsia="zh-CN"/>
                    </w:rPr>
                    <w:t>25</w:t>
                  </w:r>
                </w:p>
              </w:tc>
              <w:tc>
                <w:tcPr>
                  <w:tcW w:w="1173" w:type="dxa"/>
                  <w:tcBorders>
                    <w:tl2br w:val="nil"/>
                    <w:tr2bl w:val="nil"/>
                  </w:tcBorders>
                  <w:vAlign w:val="center"/>
                </w:tcPr>
                <w:p w14:paraId="3A84FF58">
                  <w:pPr>
                    <w:jc w:val="center"/>
                    <w:rPr>
                      <w:color w:val="auto"/>
                      <w:kern w:val="0"/>
                    </w:rPr>
                  </w:pPr>
                  <w:r>
                    <w:rPr>
                      <w:rFonts w:hint="eastAsia" w:eastAsia="仿宋"/>
                      <w:color w:val="auto"/>
                      <w:kern w:val="0"/>
                      <w:lang w:val="en-US" w:eastAsia="zh-CN"/>
                    </w:rPr>
                    <w:t>0.0224</w:t>
                  </w:r>
                </w:p>
              </w:tc>
              <w:tc>
                <w:tcPr>
                  <w:tcW w:w="640" w:type="pct"/>
                  <w:vMerge w:val="continue"/>
                  <w:tcBorders>
                    <w:tl2br w:val="nil"/>
                    <w:tr2bl w:val="nil"/>
                  </w:tcBorders>
                  <w:vAlign w:val="center"/>
                </w:tcPr>
                <w:p w14:paraId="3A84FF59">
                  <w:pPr>
                    <w:adjustRightInd w:val="0"/>
                    <w:snapToGrid w:val="0"/>
                    <w:jc w:val="center"/>
                    <w:rPr>
                      <w:color w:val="auto"/>
                      <w:kern w:val="0"/>
                    </w:rPr>
                  </w:pPr>
                </w:p>
              </w:tc>
            </w:tr>
            <w:tr w14:paraId="3A84FF6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69" w:type="pct"/>
                  <w:vMerge w:val="continue"/>
                  <w:tcBorders>
                    <w:tl2br w:val="nil"/>
                    <w:tr2bl w:val="nil"/>
                  </w:tcBorders>
                  <w:vAlign w:val="center"/>
                </w:tcPr>
                <w:p w14:paraId="3A84FF5B">
                  <w:pPr>
                    <w:adjustRightInd w:val="0"/>
                    <w:snapToGrid w:val="0"/>
                    <w:jc w:val="center"/>
                    <w:rPr>
                      <w:color w:val="auto"/>
                      <w:kern w:val="0"/>
                    </w:rPr>
                  </w:pPr>
                </w:p>
              </w:tc>
              <w:tc>
                <w:tcPr>
                  <w:tcW w:w="499" w:type="pct"/>
                  <w:vMerge w:val="continue"/>
                  <w:tcBorders>
                    <w:tl2br w:val="nil"/>
                    <w:tr2bl w:val="nil"/>
                  </w:tcBorders>
                  <w:vAlign w:val="center"/>
                </w:tcPr>
                <w:p w14:paraId="3A84FF5C">
                  <w:pPr>
                    <w:adjustRightInd w:val="0"/>
                    <w:snapToGrid w:val="0"/>
                    <w:jc w:val="center"/>
                    <w:rPr>
                      <w:color w:val="auto"/>
                      <w:kern w:val="0"/>
                    </w:rPr>
                  </w:pPr>
                </w:p>
              </w:tc>
              <w:tc>
                <w:tcPr>
                  <w:tcW w:w="473" w:type="pct"/>
                  <w:tcBorders>
                    <w:tl2br w:val="nil"/>
                    <w:tr2bl w:val="nil"/>
                  </w:tcBorders>
                  <w:vAlign w:val="center"/>
                </w:tcPr>
                <w:p w14:paraId="3A84FF5D">
                  <w:pPr>
                    <w:adjustRightInd w:val="0"/>
                    <w:snapToGrid w:val="0"/>
                    <w:jc w:val="center"/>
                    <w:textAlignment w:val="center"/>
                    <w:rPr>
                      <w:color w:val="auto"/>
                      <w:kern w:val="0"/>
                    </w:rPr>
                  </w:pPr>
                  <w:r>
                    <w:rPr>
                      <w:color w:val="auto"/>
                      <w:kern w:val="0"/>
                    </w:rPr>
                    <w:t>TP</w:t>
                  </w:r>
                </w:p>
              </w:tc>
              <w:tc>
                <w:tcPr>
                  <w:tcW w:w="541" w:type="pct"/>
                  <w:tcBorders>
                    <w:tl2br w:val="nil"/>
                    <w:tr2bl w:val="nil"/>
                  </w:tcBorders>
                  <w:vAlign w:val="center"/>
                </w:tcPr>
                <w:p w14:paraId="3A84FF5E">
                  <w:pPr>
                    <w:jc w:val="center"/>
                    <w:rPr>
                      <w:rFonts w:hint="eastAsia" w:eastAsia="宋体"/>
                      <w:color w:val="auto"/>
                      <w:kern w:val="0"/>
                      <w:lang w:eastAsia="zh-CN"/>
                    </w:rPr>
                  </w:pPr>
                  <w:r>
                    <w:rPr>
                      <w:rFonts w:hint="eastAsia" w:eastAsia="仿宋"/>
                      <w:color w:val="auto"/>
                      <w:kern w:val="0"/>
                      <w:lang w:val="en-US" w:eastAsia="zh-CN"/>
                    </w:rPr>
                    <w:t>4</w:t>
                  </w:r>
                </w:p>
              </w:tc>
              <w:tc>
                <w:tcPr>
                  <w:tcW w:w="1187" w:type="dxa"/>
                  <w:tcBorders>
                    <w:tl2br w:val="nil"/>
                    <w:tr2bl w:val="nil"/>
                  </w:tcBorders>
                  <w:vAlign w:val="center"/>
                </w:tcPr>
                <w:p w14:paraId="3A84FF5F">
                  <w:pPr>
                    <w:jc w:val="center"/>
                    <w:rPr>
                      <w:rFonts w:hint="eastAsia" w:eastAsia="仿宋"/>
                      <w:color w:val="auto"/>
                      <w:kern w:val="0"/>
                      <w:lang w:val="en-US" w:eastAsia="zh-CN"/>
                    </w:rPr>
                  </w:pPr>
                  <w:r>
                    <w:rPr>
                      <w:rFonts w:hint="eastAsia" w:eastAsia="仿宋"/>
                      <w:color w:val="auto"/>
                      <w:kern w:val="0"/>
                      <w:lang w:val="en-US" w:eastAsia="zh-CN"/>
                    </w:rPr>
                    <w:t>0.003584</w:t>
                  </w:r>
                </w:p>
              </w:tc>
              <w:tc>
                <w:tcPr>
                  <w:tcW w:w="576" w:type="pct"/>
                  <w:vMerge w:val="continue"/>
                  <w:tcBorders>
                    <w:tl2br w:val="nil"/>
                    <w:tr2bl w:val="nil"/>
                  </w:tcBorders>
                  <w:vAlign w:val="center"/>
                </w:tcPr>
                <w:p w14:paraId="3A84FF60">
                  <w:pPr>
                    <w:adjustRightInd w:val="0"/>
                    <w:snapToGrid w:val="0"/>
                    <w:jc w:val="center"/>
                    <w:rPr>
                      <w:color w:val="auto"/>
                      <w:kern w:val="0"/>
                    </w:rPr>
                  </w:pPr>
                </w:p>
              </w:tc>
              <w:tc>
                <w:tcPr>
                  <w:tcW w:w="1003" w:type="dxa"/>
                  <w:tcBorders>
                    <w:tl2br w:val="nil"/>
                    <w:tr2bl w:val="nil"/>
                  </w:tcBorders>
                  <w:vAlign w:val="center"/>
                </w:tcPr>
                <w:p w14:paraId="3A84FF61">
                  <w:pPr>
                    <w:jc w:val="center"/>
                    <w:rPr>
                      <w:color w:val="auto"/>
                      <w:kern w:val="0"/>
                    </w:rPr>
                  </w:pPr>
                  <w:r>
                    <w:rPr>
                      <w:rFonts w:hint="eastAsia" w:eastAsia="仿宋"/>
                      <w:color w:val="auto"/>
                      <w:kern w:val="0"/>
                      <w:lang w:val="en-US" w:eastAsia="zh-CN"/>
                    </w:rPr>
                    <w:t>4</w:t>
                  </w:r>
                </w:p>
              </w:tc>
              <w:tc>
                <w:tcPr>
                  <w:tcW w:w="1173" w:type="dxa"/>
                  <w:tcBorders>
                    <w:tl2br w:val="nil"/>
                    <w:tr2bl w:val="nil"/>
                  </w:tcBorders>
                  <w:vAlign w:val="center"/>
                </w:tcPr>
                <w:p w14:paraId="3A84FF62">
                  <w:pPr>
                    <w:jc w:val="center"/>
                    <w:rPr>
                      <w:color w:val="auto"/>
                      <w:kern w:val="0"/>
                    </w:rPr>
                  </w:pPr>
                  <w:r>
                    <w:rPr>
                      <w:rFonts w:hint="eastAsia" w:eastAsia="仿宋"/>
                      <w:color w:val="auto"/>
                      <w:kern w:val="0"/>
                      <w:lang w:val="en-US" w:eastAsia="zh-CN"/>
                    </w:rPr>
                    <w:t>0.003584</w:t>
                  </w:r>
                </w:p>
              </w:tc>
              <w:tc>
                <w:tcPr>
                  <w:tcW w:w="640" w:type="pct"/>
                  <w:vMerge w:val="continue"/>
                  <w:tcBorders>
                    <w:tl2br w:val="nil"/>
                    <w:tr2bl w:val="nil"/>
                  </w:tcBorders>
                  <w:vAlign w:val="center"/>
                </w:tcPr>
                <w:p w14:paraId="3A84FF63">
                  <w:pPr>
                    <w:adjustRightInd w:val="0"/>
                    <w:snapToGrid w:val="0"/>
                    <w:jc w:val="center"/>
                    <w:rPr>
                      <w:color w:val="auto"/>
                      <w:kern w:val="0"/>
                    </w:rPr>
                  </w:pPr>
                </w:p>
              </w:tc>
            </w:tr>
            <w:tr w14:paraId="3A84FF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69" w:type="pct"/>
                  <w:vMerge w:val="continue"/>
                  <w:tcBorders>
                    <w:tl2br w:val="nil"/>
                    <w:tr2bl w:val="nil"/>
                  </w:tcBorders>
                  <w:vAlign w:val="center"/>
                </w:tcPr>
                <w:p w14:paraId="3A84FF65">
                  <w:pPr>
                    <w:adjustRightInd w:val="0"/>
                    <w:snapToGrid w:val="0"/>
                    <w:jc w:val="center"/>
                    <w:rPr>
                      <w:color w:val="auto"/>
                      <w:kern w:val="0"/>
                    </w:rPr>
                  </w:pPr>
                </w:p>
              </w:tc>
              <w:tc>
                <w:tcPr>
                  <w:tcW w:w="499" w:type="pct"/>
                  <w:vMerge w:val="continue"/>
                  <w:tcBorders>
                    <w:tl2br w:val="nil"/>
                    <w:tr2bl w:val="nil"/>
                  </w:tcBorders>
                  <w:vAlign w:val="center"/>
                </w:tcPr>
                <w:p w14:paraId="3A84FF66">
                  <w:pPr>
                    <w:adjustRightInd w:val="0"/>
                    <w:snapToGrid w:val="0"/>
                    <w:jc w:val="center"/>
                    <w:rPr>
                      <w:color w:val="auto"/>
                      <w:kern w:val="0"/>
                    </w:rPr>
                  </w:pPr>
                </w:p>
              </w:tc>
              <w:tc>
                <w:tcPr>
                  <w:tcW w:w="473" w:type="pct"/>
                  <w:tcBorders>
                    <w:tl2br w:val="nil"/>
                    <w:tr2bl w:val="nil"/>
                  </w:tcBorders>
                  <w:vAlign w:val="center"/>
                </w:tcPr>
                <w:p w14:paraId="3A84FF67">
                  <w:pPr>
                    <w:adjustRightInd w:val="0"/>
                    <w:snapToGrid w:val="0"/>
                    <w:jc w:val="center"/>
                    <w:textAlignment w:val="center"/>
                    <w:rPr>
                      <w:color w:val="auto"/>
                      <w:kern w:val="0"/>
                    </w:rPr>
                  </w:pPr>
                  <w:r>
                    <w:rPr>
                      <w:color w:val="auto"/>
                      <w:kern w:val="0"/>
                    </w:rPr>
                    <w:t>TN</w:t>
                  </w:r>
                </w:p>
              </w:tc>
              <w:tc>
                <w:tcPr>
                  <w:tcW w:w="541" w:type="pct"/>
                  <w:tcBorders>
                    <w:tl2br w:val="nil"/>
                    <w:tr2bl w:val="nil"/>
                  </w:tcBorders>
                  <w:vAlign w:val="center"/>
                </w:tcPr>
                <w:p w14:paraId="3A84FF68">
                  <w:pPr>
                    <w:jc w:val="center"/>
                    <w:rPr>
                      <w:rFonts w:hint="default" w:eastAsia="宋体"/>
                      <w:color w:val="auto"/>
                      <w:kern w:val="0"/>
                      <w:lang w:val="en-US" w:eastAsia="zh-CN"/>
                    </w:rPr>
                  </w:pPr>
                  <w:r>
                    <w:rPr>
                      <w:rFonts w:hint="eastAsia" w:eastAsia="仿宋"/>
                      <w:color w:val="auto"/>
                      <w:kern w:val="0"/>
                      <w:lang w:val="en-US" w:eastAsia="zh-CN"/>
                    </w:rPr>
                    <w:t>45</w:t>
                  </w:r>
                </w:p>
              </w:tc>
              <w:tc>
                <w:tcPr>
                  <w:tcW w:w="1187" w:type="dxa"/>
                  <w:tcBorders>
                    <w:tl2br w:val="nil"/>
                    <w:tr2bl w:val="nil"/>
                  </w:tcBorders>
                  <w:vAlign w:val="center"/>
                </w:tcPr>
                <w:p w14:paraId="3A84FF69">
                  <w:pPr>
                    <w:jc w:val="center"/>
                    <w:rPr>
                      <w:rFonts w:hint="eastAsia" w:eastAsia="仿宋"/>
                      <w:color w:val="auto"/>
                      <w:kern w:val="0"/>
                      <w:lang w:val="en-US" w:eastAsia="zh-CN"/>
                    </w:rPr>
                  </w:pPr>
                  <w:r>
                    <w:rPr>
                      <w:rFonts w:hint="eastAsia" w:eastAsia="仿宋"/>
                      <w:color w:val="auto"/>
                      <w:kern w:val="0"/>
                      <w:lang w:val="en-US" w:eastAsia="zh-CN"/>
                    </w:rPr>
                    <w:t>0.04032</w:t>
                  </w:r>
                </w:p>
              </w:tc>
              <w:tc>
                <w:tcPr>
                  <w:tcW w:w="576" w:type="pct"/>
                  <w:vMerge w:val="continue"/>
                  <w:tcBorders>
                    <w:tl2br w:val="nil"/>
                    <w:tr2bl w:val="nil"/>
                  </w:tcBorders>
                  <w:vAlign w:val="center"/>
                </w:tcPr>
                <w:p w14:paraId="3A84FF6A">
                  <w:pPr>
                    <w:adjustRightInd w:val="0"/>
                    <w:snapToGrid w:val="0"/>
                    <w:jc w:val="center"/>
                    <w:rPr>
                      <w:color w:val="auto"/>
                      <w:kern w:val="0"/>
                    </w:rPr>
                  </w:pPr>
                </w:p>
              </w:tc>
              <w:tc>
                <w:tcPr>
                  <w:tcW w:w="1003" w:type="dxa"/>
                  <w:tcBorders>
                    <w:tl2br w:val="nil"/>
                    <w:tr2bl w:val="nil"/>
                  </w:tcBorders>
                  <w:vAlign w:val="center"/>
                </w:tcPr>
                <w:p w14:paraId="3A84FF6B">
                  <w:pPr>
                    <w:jc w:val="center"/>
                    <w:rPr>
                      <w:color w:val="auto"/>
                      <w:kern w:val="0"/>
                    </w:rPr>
                  </w:pPr>
                  <w:r>
                    <w:rPr>
                      <w:rFonts w:hint="eastAsia" w:eastAsia="仿宋"/>
                      <w:color w:val="auto"/>
                      <w:kern w:val="0"/>
                      <w:lang w:val="en-US" w:eastAsia="zh-CN"/>
                    </w:rPr>
                    <w:t>45</w:t>
                  </w:r>
                </w:p>
              </w:tc>
              <w:tc>
                <w:tcPr>
                  <w:tcW w:w="1173" w:type="dxa"/>
                  <w:tcBorders>
                    <w:tl2br w:val="nil"/>
                    <w:tr2bl w:val="nil"/>
                  </w:tcBorders>
                  <w:vAlign w:val="center"/>
                </w:tcPr>
                <w:p w14:paraId="3A84FF6C">
                  <w:pPr>
                    <w:jc w:val="center"/>
                    <w:rPr>
                      <w:color w:val="auto"/>
                      <w:kern w:val="0"/>
                    </w:rPr>
                  </w:pPr>
                  <w:r>
                    <w:rPr>
                      <w:rFonts w:hint="eastAsia" w:eastAsia="仿宋"/>
                      <w:color w:val="auto"/>
                      <w:kern w:val="0"/>
                      <w:lang w:val="en-US" w:eastAsia="zh-CN"/>
                    </w:rPr>
                    <w:t>0.04032</w:t>
                  </w:r>
                </w:p>
              </w:tc>
              <w:tc>
                <w:tcPr>
                  <w:tcW w:w="640" w:type="pct"/>
                  <w:vMerge w:val="continue"/>
                  <w:tcBorders>
                    <w:tl2br w:val="nil"/>
                    <w:tr2bl w:val="nil"/>
                  </w:tcBorders>
                  <w:vAlign w:val="center"/>
                </w:tcPr>
                <w:p w14:paraId="3A84FF6D">
                  <w:pPr>
                    <w:adjustRightInd w:val="0"/>
                    <w:snapToGrid w:val="0"/>
                    <w:jc w:val="center"/>
                    <w:rPr>
                      <w:color w:val="auto"/>
                      <w:kern w:val="0"/>
                    </w:rPr>
                  </w:pPr>
                </w:p>
              </w:tc>
            </w:tr>
          </w:tbl>
          <w:p w14:paraId="3A84FF6F">
            <w:pPr>
              <w:pStyle w:val="23"/>
              <w:ind w:firstLine="422" w:firstLineChars="200"/>
              <w:rPr>
                <w:b/>
                <w:bCs/>
                <w:color w:val="auto"/>
                <w:sz w:val="21"/>
                <w:szCs w:val="21"/>
              </w:rPr>
            </w:pPr>
            <w:r>
              <w:rPr>
                <w:b/>
                <w:bCs/>
                <w:color w:val="auto"/>
                <w:sz w:val="21"/>
                <w:szCs w:val="21"/>
              </w:rPr>
              <w:t>（2）排放口基本情况</w:t>
            </w:r>
          </w:p>
          <w:p w14:paraId="3A84FF70">
            <w:pPr>
              <w:adjustRightInd w:val="0"/>
              <w:snapToGrid w:val="0"/>
              <w:jc w:val="center"/>
              <w:rPr>
                <w:b/>
                <w:color w:val="auto"/>
                <w:kern w:val="0"/>
              </w:rPr>
            </w:pPr>
            <w:r>
              <w:rPr>
                <w:b/>
                <w:color w:val="auto"/>
                <w:kern w:val="0"/>
              </w:rPr>
              <w:t>表4-</w:t>
            </w:r>
            <w:r>
              <w:rPr>
                <w:rFonts w:hint="eastAsia"/>
                <w:b/>
                <w:color w:val="auto"/>
                <w:kern w:val="0"/>
              </w:rPr>
              <w:t>1</w:t>
            </w:r>
            <w:r>
              <w:rPr>
                <w:rFonts w:hint="eastAsia"/>
                <w:b/>
                <w:color w:val="auto"/>
                <w:kern w:val="0"/>
                <w:lang w:val="en-US" w:eastAsia="zh-CN"/>
              </w:rPr>
              <w:t>1</w:t>
            </w:r>
            <w:r>
              <w:rPr>
                <w:b/>
                <w:color w:val="auto"/>
                <w:kern w:val="0"/>
              </w:rPr>
              <w:t xml:space="preserve">   废水类别、污染物及污染治理设施信息表</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05"/>
              <w:gridCol w:w="898"/>
              <w:gridCol w:w="910"/>
              <w:gridCol w:w="1295"/>
              <w:gridCol w:w="731"/>
              <w:gridCol w:w="860"/>
              <w:gridCol w:w="869"/>
              <w:gridCol w:w="768"/>
              <w:gridCol w:w="958"/>
              <w:gridCol w:w="1595"/>
            </w:tblGrid>
            <w:tr w14:paraId="3A84FF7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0" w:hRule="atLeast"/>
              </w:trPr>
              <w:tc>
                <w:tcPr>
                  <w:tcW w:w="368" w:type="pct"/>
                  <w:vMerge w:val="restart"/>
                  <w:vAlign w:val="center"/>
                </w:tcPr>
                <w:p w14:paraId="3A84FF71">
                  <w:pPr>
                    <w:adjustRightInd w:val="0"/>
                    <w:snapToGrid w:val="0"/>
                    <w:jc w:val="center"/>
                    <w:rPr>
                      <w:b/>
                      <w:color w:val="auto"/>
                      <w:kern w:val="0"/>
                      <w:sz w:val="18"/>
                      <w:szCs w:val="18"/>
                    </w:rPr>
                  </w:pPr>
                  <w:r>
                    <w:rPr>
                      <w:b/>
                      <w:color w:val="auto"/>
                      <w:kern w:val="0"/>
                      <w:sz w:val="18"/>
                      <w:szCs w:val="18"/>
                    </w:rPr>
                    <w:t>废水类别</w:t>
                  </w:r>
                </w:p>
              </w:tc>
              <w:tc>
                <w:tcPr>
                  <w:tcW w:w="468" w:type="pct"/>
                  <w:vMerge w:val="restart"/>
                  <w:vAlign w:val="center"/>
                </w:tcPr>
                <w:p w14:paraId="3A84FF72">
                  <w:pPr>
                    <w:adjustRightInd w:val="0"/>
                    <w:snapToGrid w:val="0"/>
                    <w:jc w:val="center"/>
                    <w:rPr>
                      <w:b/>
                      <w:color w:val="auto"/>
                      <w:kern w:val="0"/>
                      <w:sz w:val="18"/>
                      <w:szCs w:val="18"/>
                    </w:rPr>
                  </w:pPr>
                  <w:r>
                    <w:rPr>
                      <w:b/>
                      <w:color w:val="auto"/>
                      <w:kern w:val="0"/>
                      <w:sz w:val="18"/>
                      <w:szCs w:val="18"/>
                    </w:rPr>
                    <w:t>污染物种类</w:t>
                  </w:r>
                </w:p>
              </w:tc>
              <w:tc>
                <w:tcPr>
                  <w:tcW w:w="474" w:type="pct"/>
                  <w:vMerge w:val="restart"/>
                  <w:vAlign w:val="center"/>
                </w:tcPr>
                <w:p w14:paraId="3A84FF73">
                  <w:pPr>
                    <w:adjustRightInd w:val="0"/>
                    <w:snapToGrid w:val="0"/>
                    <w:jc w:val="center"/>
                    <w:rPr>
                      <w:b/>
                      <w:color w:val="auto"/>
                      <w:kern w:val="0"/>
                      <w:sz w:val="18"/>
                      <w:szCs w:val="18"/>
                    </w:rPr>
                  </w:pPr>
                  <w:r>
                    <w:rPr>
                      <w:b/>
                      <w:color w:val="auto"/>
                      <w:kern w:val="0"/>
                      <w:sz w:val="18"/>
                      <w:szCs w:val="18"/>
                    </w:rPr>
                    <w:t>排放去向</w:t>
                  </w:r>
                </w:p>
              </w:tc>
              <w:tc>
                <w:tcPr>
                  <w:tcW w:w="675" w:type="pct"/>
                  <w:vMerge w:val="restart"/>
                  <w:vAlign w:val="center"/>
                </w:tcPr>
                <w:p w14:paraId="3A84FF74">
                  <w:pPr>
                    <w:adjustRightInd w:val="0"/>
                    <w:snapToGrid w:val="0"/>
                    <w:jc w:val="center"/>
                    <w:rPr>
                      <w:b/>
                      <w:color w:val="auto"/>
                      <w:kern w:val="0"/>
                      <w:sz w:val="18"/>
                      <w:szCs w:val="18"/>
                    </w:rPr>
                  </w:pPr>
                  <w:r>
                    <w:rPr>
                      <w:b/>
                      <w:color w:val="auto"/>
                      <w:kern w:val="0"/>
                      <w:sz w:val="18"/>
                      <w:szCs w:val="18"/>
                    </w:rPr>
                    <w:t>排放规律</w:t>
                  </w:r>
                </w:p>
              </w:tc>
              <w:tc>
                <w:tcPr>
                  <w:tcW w:w="1282" w:type="pct"/>
                  <w:gridSpan w:val="3"/>
                  <w:vAlign w:val="center"/>
                </w:tcPr>
                <w:p w14:paraId="3A84FF75">
                  <w:pPr>
                    <w:adjustRightInd w:val="0"/>
                    <w:snapToGrid w:val="0"/>
                    <w:jc w:val="center"/>
                    <w:rPr>
                      <w:b/>
                      <w:color w:val="auto"/>
                      <w:kern w:val="0"/>
                      <w:sz w:val="18"/>
                      <w:szCs w:val="18"/>
                    </w:rPr>
                  </w:pPr>
                  <w:r>
                    <w:rPr>
                      <w:b/>
                      <w:color w:val="auto"/>
                      <w:kern w:val="0"/>
                      <w:sz w:val="18"/>
                      <w:szCs w:val="18"/>
                    </w:rPr>
                    <w:t>污染治理设施</w:t>
                  </w:r>
                </w:p>
              </w:tc>
              <w:tc>
                <w:tcPr>
                  <w:tcW w:w="400" w:type="pct"/>
                  <w:vMerge w:val="restart"/>
                  <w:tcMar>
                    <w:top w:w="0" w:type="dxa"/>
                    <w:left w:w="0" w:type="dxa"/>
                    <w:bottom w:w="0" w:type="dxa"/>
                    <w:right w:w="0" w:type="dxa"/>
                  </w:tcMar>
                  <w:vAlign w:val="center"/>
                </w:tcPr>
                <w:p w14:paraId="3A84FF76">
                  <w:pPr>
                    <w:adjustRightInd w:val="0"/>
                    <w:snapToGrid w:val="0"/>
                    <w:jc w:val="center"/>
                    <w:rPr>
                      <w:b/>
                      <w:color w:val="auto"/>
                      <w:kern w:val="0"/>
                      <w:sz w:val="18"/>
                      <w:szCs w:val="18"/>
                    </w:rPr>
                  </w:pPr>
                  <w:r>
                    <w:rPr>
                      <w:b/>
                      <w:color w:val="auto"/>
                      <w:kern w:val="0"/>
                      <w:sz w:val="18"/>
                      <w:szCs w:val="18"/>
                    </w:rPr>
                    <w:t>排放口编号</w:t>
                  </w:r>
                </w:p>
              </w:tc>
              <w:tc>
                <w:tcPr>
                  <w:tcW w:w="499" w:type="pct"/>
                  <w:vMerge w:val="restart"/>
                  <w:vAlign w:val="center"/>
                </w:tcPr>
                <w:p w14:paraId="3A84FF77">
                  <w:pPr>
                    <w:adjustRightInd w:val="0"/>
                    <w:snapToGrid w:val="0"/>
                    <w:jc w:val="center"/>
                    <w:rPr>
                      <w:b/>
                      <w:color w:val="auto"/>
                      <w:kern w:val="0"/>
                      <w:sz w:val="18"/>
                      <w:szCs w:val="18"/>
                    </w:rPr>
                  </w:pPr>
                  <w:r>
                    <w:rPr>
                      <w:b/>
                      <w:color w:val="auto"/>
                      <w:kern w:val="0"/>
                      <w:sz w:val="18"/>
                      <w:szCs w:val="18"/>
                    </w:rPr>
                    <w:t>排放口设置是否符合要求</w:t>
                  </w:r>
                </w:p>
              </w:tc>
              <w:tc>
                <w:tcPr>
                  <w:tcW w:w="831" w:type="pct"/>
                  <w:vMerge w:val="restart"/>
                  <w:vAlign w:val="center"/>
                </w:tcPr>
                <w:p w14:paraId="3A84FF78">
                  <w:pPr>
                    <w:adjustRightInd w:val="0"/>
                    <w:snapToGrid w:val="0"/>
                    <w:jc w:val="center"/>
                    <w:rPr>
                      <w:b/>
                      <w:color w:val="auto"/>
                      <w:kern w:val="0"/>
                      <w:sz w:val="18"/>
                      <w:szCs w:val="18"/>
                    </w:rPr>
                  </w:pPr>
                  <w:r>
                    <w:rPr>
                      <w:b/>
                      <w:color w:val="auto"/>
                      <w:kern w:val="0"/>
                      <w:sz w:val="18"/>
                      <w:szCs w:val="18"/>
                    </w:rPr>
                    <w:t>排放口类型</w:t>
                  </w:r>
                </w:p>
              </w:tc>
            </w:tr>
            <w:tr w14:paraId="3A84FF8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368" w:type="pct"/>
                  <w:vMerge w:val="continue"/>
                  <w:vAlign w:val="center"/>
                </w:tcPr>
                <w:p w14:paraId="3A84FF7A">
                  <w:pPr>
                    <w:widowControl/>
                    <w:adjustRightInd w:val="0"/>
                    <w:snapToGrid w:val="0"/>
                    <w:jc w:val="left"/>
                    <w:rPr>
                      <w:bCs/>
                      <w:color w:val="auto"/>
                      <w:kern w:val="0"/>
                      <w:sz w:val="18"/>
                      <w:szCs w:val="18"/>
                    </w:rPr>
                  </w:pPr>
                </w:p>
              </w:tc>
              <w:tc>
                <w:tcPr>
                  <w:tcW w:w="468" w:type="pct"/>
                  <w:vMerge w:val="continue"/>
                  <w:vAlign w:val="center"/>
                </w:tcPr>
                <w:p w14:paraId="3A84FF7B">
                  <w:pPr>
                    <w:widowControl/>
                    <w:adjustRightInd w:val="0"/>
                    <w:snapToGrid w:val="0"/>
                    <w:jc w:val="left"/>
                    <w:rPr>
                      <w:bCs/>
                      <w:color w:val="auto"/>
                      <w:kern w:val="0"/>
                      <w:sz w:val="18"/>
                      <w:szCs w:val="18"/>
                    </w:rPr>
                  </w:pPr>
                </w:p>
              </w:tc>
              <w:tc>
                <w:tcPr>
                  <w:tcW w:w="474" w:type="pct"/>
                  <w:vMerge w:val="continue"/>
                  <w:vAlign w:val="center"/>
                </w:tcPr>
                <w:p w14:paraId="3A84FF7C">
                  <w:pPr>
                    <w:widowControl/>
                    <w:adjustRightInd w:val="0"/>
                    <w:snapToGrid w:val="0"/>
                    <w:jc w:val="left"/>
                    <w:rPr>
                      <w:bCs/>
                      <w:color w:val="auto"/>
                      <w:kern w:val="0"/>
                      <w:sz w:val="18"/>
                      <w:szCs w:val="18"/>
                    </w:rPr>
                  </w:pPr>
                </w:p>
              </w:tc>
              <w:tc>
                <w:tcPr>
                  <w:tcW w:w="675" w:type="pct"/>
                  <w:vMerge w:val="continue"/>
                  <w:vAlign w:val="center"/>
                </w:tcPr>
                <w:p w14:paraId="3A84FF7D">
                  <w:pPr>
                    <w:widowControl/>
                    <w:adjustRightInd w:val="0"/>
                    <w:snapToGrid w:val="0"/>
                    <w:jc w:val="left"/>
                    <w:rPr>
                      <w:bCs/>
                      <w:color w:val="auto"/>
                      <w:kern w:val="0"/>
                      <w:sz w:val="18"/>
                      <w:szCs w:val="18"/>
                    </w:rPr>
                  </w:pPr>
                </w:p>
              </w:tc>
              <w:tc>
                <w:tcPr>
                  <w:tcW w:w="381" w:type="pct"/>
                  <w:tcMar>
                    <w:top w:w="0" w:type="dxa"/>
                    <w:left w:w="0" w:type="dxa"/>
                    <w:bottom w:w="0" w:type="dxa"/>
                    <w:right w:w="0" w:type="dxa"/>
                  </w:tcMar>
                  <w:vAlign w:val="center"/>
                </w:tcPr>
                <w:p w14:paraId="3A84FF7E">
                  <w:pPr>
                    <w:adjustRightInd w:val="0"/>
                    <w:snapToGrid w:val="0"/>
                    <w:jc w:val="center"/>
                    <w:rPr>
                      <w:b/>
                      <w:color w:val="auto"/>
                      <w:kern w:val="0"/>
                      <w:sz w:val="18"/>
                      <w:szCs w:val="18"/>
                    </w:rPr>
                  </w:pPr>
                  <w:r>
                    <w:rPr>
                      <w:b/>
                      <w:color w:val="auto"/>
                      <w:kern w:val="0"/>
                      <w:sz w:val="18"/>
                      <w:szCs w:val="18"/>
                    </w:rPr>
                    <w:t>污染治理设施编号</w:t>
                  </w:r>
                </w:p>
              </w:tc>
              <w:tc>
                <w:tcPr>
                  <w:tcW w:w="448" w:type="pct"/>
                  <w:vAlign w:val="center"/>
                </w:tcPr>
                <w:p w14:paraId="3A84FF7F">
                  <w:pPr>
                    <w:adjustRightInd w:val="0"/>
                    <w:snapToGrid w:val="0"/>
                    <w:jc w:val="center"/>
                    <w:rPr>
                      <w:b/>
                      <w:color w:val="auto"/>
                      <w:kern w:val="0"/>
                      <w:sz w:val="18"/>
                      <w:szCs w:val="18"/>
                    </w:rPr>
                  </w:pPr>
                  <w:r>
                    <w:rPr>
                      <w:b/>
                      <w:color w:val="auto"/>
                      <w:kern w:val="0"/>
                      <w:sz w:val="18"/>
                      <w:szCs w:val="18"/>
                    </w:rPr>
                    <w:t>污染治理设施名称</w:t>
                  </w:r>
                </w:p>
              </w:tc>
              <w:tc>
                <w:tcPr>
                  <w:tcW w:w="452" w:type="pct"/>
                  <w:vAlign w:val="center"/>
                </w:tcPr>
                <w:p w14:paraId="3A84FF80">
                  <w:pPr>
                    <w:adjustRightInd w:val="0"/>
                    <w:snapToGrid w:val="0"/>
                    <w:jc w:val="center"/>
                    <w:rPr>
                      <w:b/>
                      <w:color w:val="auto"/>
                      <w:kern w:val="0"/>
                      <w:sz w:val="18"/>
                      <w:szCs w:val="18"/>
                    </w:rPr>
                  </w:pPr>
                  <w:r>
                    <w:rPr>
                      <w:b/>
                      <w:color w:val="auto"/>
                      <w:kern w:val="0"/>
                      <w:sz w:val="18"/>
                      <w:szCs w:val="18"/>
                    </w:rPr>
                    <w:t>污染治理设施工艺</w:t>
                  </w:r>
                </w:p>
              </w:tc>
              <w:tc>
                <w:tcPr>
                  <w:tcW w:w="400" w:type="pct"/>
                  <w:vMerge w:val="continue"/>
                  <w:vAlign w:val="center"/>
                </w:tcPr>
                <w:p w14:paraId="3A84FF81">
                  <w:pPr>
                    <w:widowControl/>
                    <w:adjustRightInd w:val="0"/>
                    <w:snapToGrid w:val="0"/>
                    <w:jc w:val="left"/>
                    <w:rPr>
                      <w:b/>
                      <w:color w:val="auto"/>
                      <w:kern w:val="0"/>
                      <w:sz w:val="18"/>
                      <w:szCs w:val="18"/>
                    </w:rPr>
                  </w:pPr>
                </w:p>
              </w:tc>
              <w:tc>
                <w:tcPr>
                  <w:tcW w:w="499" w:type="pct"/>
                  <w:vMerge w:val="continue"/>
                  <w:vAlign w:val="center"/>
                </w:tcPr>
                <w:p w14:paraId="3A84FF82">
                  <w:pPr>
                    <w:widowControl/>
                    <w:adjustRightInd w:val="0"/>
                    <w:snapToGrid w:val="0"/>
                    <w:jc w:val="left"/>
                    <w:rPr>
                      <w:b/>
                      <w:color w:val="auto"/>
                      <w:kern w:val="0"/>
                      <w:sz w:val="18"/>
                      <w:szCs w:val="18"/>
                    </w:rPr>
                  </w:pPr>
                </w:p>
              </w:tc>
              <w:tc>
                <w:tcPr>
                  <w:tcW w:w="831" w:type="pct"/>
                  <w:vMerge w:val="continue"/>
                  <w:vAlign w:val="center"/>
                </w:tcPr>
                <w:p w14:paraId="3A84FF83">
                  <w:pPr>
                    <w:widowControl/>
                    <w:adjustRightInd w:val="0"/>
                    <w:snapToGrid w:val="0"/>
                    <w:jc w:val="left"/>
                    <w:rPr>
                      <w:b/>
                      <w:color w:val="auto"/>
                      <w:kern w:val="0"/>
                      <w:sz w:val="18"/>
                      <w:szCs w:val="18"/>
                    </w:rPr>
                  </w:pPr>
                </w:p>
              </w:tc>
            </w:tr>
            <w:tr w14:paraId="3A84FF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6" w:hRule="atLeast"/>
              </w:trPr>
              <w:tc>
                <w:tcPr>
                  <w:tcW w:w="368" w:type="pct"/>
                  <w:vMerge w:val="restart"/>
                  <w:vAlign w:val="center"/>
                </w:tcPr>
                <w:p w14:paraId="3A84FF85">
                  <w:pPr>
                    <w:adjustRightInd w:val="0"/>
                    <w:snapToGrid w:val="0"/>
                    <w:jc w:val="center"/>
                    <w:rPr>
                      <w:bCs/>
                      <w:color w:val="auto"/>
                      <w:kern w:val="0"/>
                      <w:sz w:val="18"/>
                      <w:szCs w:val="18"/>
                    </w:rPr>
                  </w:pPr>
                  <w:r>
                    <w:rPr>
                      <w:color w:val="auto"/>
                      <w:kern w:val="0"/>
                      <w:sz w:val="18"/>
                      <w:szCs w:val="18"/>
                    </w:rPr>
                    <w:t>生活污水</w:t>
                  </w:r>
                </w:p>
              </w:tc>
              <w:tc>
                <w:tcPr>
                  <w:tcW w:w="468" w:type="pct"/>
                  <w:vAlign w:val="center"/>
                </w:tcPr>
                <w:p w14:paraId="3A84FF86">
                  <w:pPr>
                    <w:adjustRightInd w:val="0"/>
                    <w:snapToGrid w:val="0"/>
                    <w:jc w:val="center"/>
                    <w:rPr>
                      <w:bCs/>
                      <w:color w:val="auto"/>
                      <w:kern w:val="0"/>
                      <w:sz w:val="18"/>
                      <w:szCs w:val="18"/>
                    </w:rPr>
                  </w:pPr>
                  <w:r>
                    <w:rPr>
                      <w:color w:val="auto"/>
                      <w:kern w:val="0"/>
                      <w:sz w:val="18"/>
                      <w:szCs w:val="18"/>
                    </w:rPr>
                    <w:t>COD</w:t>
                  </w:r>
                </w:p>
              </w:tc>
              <w:tc>
                <w:tcPr>
                  <w:tcW w:w="474" w:type="pct"/>
                  <w:vMerge w:val="restart"/>
                  <w:vAlign w:val="center"/>
                </w:tcPr>
                <w:p w14:paraId="3A84FF87">
                  <w:pPr>
                    <w:adjustRightInd w:val="0"/>
                    <w:snapToGrid w:val="0"/>
                    <w:jc w:val="center"/>
                    <w:rPr>
                      <w:bCs/>
                      <w:color w:val="auto"/>
                      <w:kern w:val="0"/>
                      <w:sz w:val="18"/>
                      <w:szCs w:val="18"/>
                    </w:rPr>
                  </w:pPr>
                  <w:r>
                    <w:rPr>
                      <w:rFonts w:hint="eastAsia"/>
                      <w:color w:val="auto"/>
                      <w:kern w:val="0"/>
                      <w:sz w:val="18"/>
                      <w:szCs w:val="18"/>
                    </w:rPr>
                    <w:t>接管至常州市金坛区茅东污水处理厂</w:t>
                  </w:r>
                </w:p>
              </w:tc>
              <w:tc>
                <w:tcPr>
                  <w:tcW w:w="675" w:type="pct"/>
                  <w:vMerge w:val="restart"/>
                  <w:vAlign w:val="center"/>
                </w:tcPr>
                <w:p w14:paraId="3A84FF88">
                  <w:pPr>
                    <w:adjustRightInd w:val="0"/>
                    <w:snapToGrid w:val="0"/>
                    <w:jc w:val="center"/>
                    <w:rPr>
                      <w:bCs/>
                      <w:color w:val="auto"/>
                      <w:kern w:val="0"/>
                      <w:sz w:val="18"/>
                      <w:szCs w:val="18"/>
                    </w:rPr>
                  </w:pPr>
                  <w:r>
                    <w:rPr>
                      <w:color w:val="auto"/>
                      <w:kern w:val="0"/>
                      <w:sz w:val="18"/>
                      <w:szCs w:val="18"/>
                    </w:rPr>
                    <w:t>间断排放，排放期间流量不稳定且无规律，但不属于冲击型排放</w:t>
                  </w:r>
                </w:p>
              </w:tc>
              <w:tc>
                <w:tcPr>
                  <w:tcW w:w="381" w:type="pct"/>
                  <w:vMerge w:val="restart"/>
                  <w:tcMar>
                    <w:top w:w="0" w:type="dxa"/>
                    <w:left w:w="0" w:type="dxa"/>
                    <w:bottom w:w="0" w:type="dxa"/>
                    <w:right w:w="0" w:type="dxa"/>
                  </w:tcMar>
                  <w:vAlign w:val="center"/>
                </w:tcPr>
                <w:p w14:paraId="3A84FF89">
                  <w:pPr>
                    <w:adjustRightInd w:val="0"/>
                    <w:snapToGrid w:val="0"/>
                    <w:jc w:val="center"/>
                    <w:rPr>
                      <w:bCs/>
                      <w:color w:val="auto"/>
                      <w:kern w:val="0"/>
                      <w:sz w:val="18"/>
                      <w:szCs w:val="18"/>
                    </w:rPr>
                  </w:pPr>
                  <w:r>
                    <w:rPr>
                      <w:color w:val="auto"/>
                      <w:kern w:val="0"/>
                      <w:sz w:val="18"/>
                      <w:szCs w:val="18"/>
                    </w:rPr>
                    <w:t>--</w:t>
                  </w:r>
                </w:p>
              </w:tc>
              <w:tc>
                <w:tcPr>
                  <w:tcW w:w="448" w:type="pct"/>
                  <w:vMerge w:val="restart"/>
                  <w:vAlign w:val="center"/>
                </w:tcPr>
                <w:p w14:paraId="3A84FF8A">
                  <w:pPr>
                    <w:adjustRightInd w:val="0"/>
                    <w:snapToGrid w:val="0"/>
                    <w:jc w:val="center"/>
                    <w:rPr>
                      <w:bCs/>
                      <w:color w:val="auto"/>
                      <w:kern w:val="0"/>
                      <w:sz w:val="18"/>
                      <w:szCs w:val="18"/>
                    </w:rPr>
                  </w:pPr>
                  <w:r>
                    <w:rPr>
                      <w:color w:val="auto"/>
                      <w:kern w:val="0"/>
                      <w:sz w:val="18"/>
                      <w:szCs w:val="18"/>
                    </w:rPr>
                    <w:t>--</w:t>
                  </w:r>
                </w:p>
              </w:tc>
              <w:tc>
                <w:tcPr>
                  <w:tcW w:w="452" w:type="pct"/>
                  <w:vMerge w:val="restart"/>
                  <w:vAlign w:val="center"/>
                </w:tcPr>
                <w:p w14:paraId="3A84FF8B">
                  <w:pPr>
                    <w:adjustRightInd w:val="0"/>
                    <w:snapToGrid w:val="0"/>
                    <w:jc w:val="center"/>
                    <w:rPr>
                      <w:bCs/>
                      <w:color w:val="auto"/>
                      <w:kern w:val="0"/>
                      <w:sz w:val="18"/>
                      <w:szCs w:val="18"/>
                    </w:rPr>
                  </w:pPr>
                  <w:r>
                    <w:rPr>
                      <w:color w:val="auto"/>
                      <w:kern w:val="0"/>
                      <w:sz w:val="18"/>
                      <w:szCs w:val="18"/>
                    </w:rPr>
                    <w:t>--</w:t>
                  </w:r>
                </w:p>
              </w:tc>
              <w:tc>
                <w:tcPr>
                  <w:tcW w:w="400" w:type="pct"/>
                  <w:vMerge w:val="restart"/>
                  <w:vAlign w:val="center"/>
                </w:tcPr>
                <w:p w14:paraId="3A84FF8C">
                  <w:pPr>
                    <w:adjustRightInd w:val="0"/>
                    <w:snapToGrid w:val="0"/>
                    <w:jc w:val="center"/>
                    <w:rPr>
                      <w:color w:val="auto"/>
                      <w:kern w:val="0"/>
                      <w:sz w:val="18"/>
                      <w:szCs w:val="18"/>
                    </w:rPr>
                  </w:pPr>
                  <w:r>
                    <w:rPr>
                      <w:color w:val="auto"/>
                      <w:kern w:val="0"/>
                      <w:sz w:val="18"/>
                      <w:szCs w:val="18"/>
                    </w:rPr>
                    <w:t>DW001</w:t>
                  </w:r>
                </w:p>
              </w:tc>
              <w:tc>
                <w:tcPr>
                  <w:tcW w:w="499" w:type="pct"/>
                  <w:vMerge w:val="restart"/>
                  <w:vAlign w:val="center"/>
                </w:tcPr>
                <w:p w14:paraId="3A84FF8D">
                  <w:pPr>
                    <w:autoSpaceDE w:val="0"/>
                    <w:autoSpaceDN w:val="0"/>
                    <w:adjustRightInd w:val="0"/>
                    <w:snapToGrid w:val="0"/>
                    <w:jc w:val="center"/>
                    <w:rPr>
                      <w:color w:val="auto"/>
                      <w:kern w:val="0"/>
                      <w:sz w:val="18"/>
                      <w:szCs w:val="18"/>
                    </w:rPr>
                  </w:pPr>
                  <w:r>
                    <w:rPr>
                      <w:color w:val="auto"/>
                      <w:kern w:val="0"/>
                      <w:sz w:val="18"/>
                      <w:szCs w:val="18"/>
                    </w:rPr>
                    <w:sym w:font="Wingdings 2" w:char="0052"/>
                  </w:r>
                  <w:r>
                    <w:rPr>
                      <w:color w:val="auto"/>
                      <w:kern w:val="0"/>
                      <w:sz w:val="18"/>
                      <w:szCs w:val="18"/>
                    </w:rPr>
                    <w:t>是</w:t>
                  </w:r>
                </w:p>
                <w:p w14:paraId="3A84FF8E">
                  <w:pPr>
                    <w:autoSpaceDE w:val="0"/>
                    <w:autoSpaceDN w:val="0"/>
                    <w:adjustRightInd w:val="0"/>
                    <w:snapToGrid w:val="0"/>
                    <w:jc w:val="center"/>
                    <w:rPr>
                      <w:b/>
                      <w:color w:val="auto"/>
                      <w:kern w:val="0"/>
                      <w:sz w:val="18"/>
                      <w:szCs w:val="18"/>
                    </w:rPr>
                  </w:pPr>
                  <w:r>
                    <w:rPr>
                      <w:rFonts w:cs="Wingdings"/>
                      <w:color w:val="auto"/>
                      <w:kern w:val="0"/>
                      <w:sz w:val="18"/>
                      <w:szCs w:val="18"/>
                    </w:rPr>
                    <w:t>□</w:t>
                  </w:r>
                  <w:r>
                    <w:rPr>
                      <w:color w:val="auto"/>
                      <w:kern w:val="0"/>
                      <w:sz w:val="18"/>
                      <w:szCs w:val="18"/>
                    </w:rPr>
                    <w:t>否</w:t>
                  </w:r>
                </w:p>
              </w:tc>
              <w:tc>
                <w:tcPr>
                  <w:tcW w:w="831" w:type="pct"/>
                  <w:vMerge w:val="restart"/>
                  <w:vAlign w:val="center"/>
                </w:tcPr>
                <w:p w14:paraId="3A84FF8F">
                  <w:pPr>
                    <w:adjustRightInd w:val="0"/>
                    <w:snapToGrid w:val="0"/>
                    <w:jc w:val="left"/>
                    <w:rPr>
                      <w:color w:val="auto"/>
                      <w:kern w:val="0"/>
                      <w:sz w:val="18"/>
                      <w:szCs w:val="18"/>
                    </w:rPr>
                  </w:pPr>
                  <w:r>
                    <w:rPr>
                      <w:color w:val="auto"/>
                      <w:kern w:val="0"/>
                      <w:sz w:val="18"/>
                      <w:szCs w:val="18"/>
                    </w:rPr>
                    <w:sym w:font="Wingdings" w:char="00FE"/>
                  </w:r>
                  <w:r>
                    <w:rPr>
                      <w:color w:val="auto"/>
                      <w:kern w:val="0"/>
                      <w:sz w:val="18"/>
                      <w:szCs w:val="18"/>
                    </w:rPr>
                    <w:t>企业总排</w:t>
                  </w:r>
                </w:p>
                <w:p w14:paraId="3A84FF90">
                  <w:pPr>
                    <w:adjustRightInd w:val="0"/>
                    <w:snapToGrid w:val="0"/>
                    <w:jc w:val="left"/>
                    <w:rPr>
                      <w:color w:val="auto"/>
                      <w:kern w:val="0"/>
                      <w:sz w:val="18"/>
                      <w:szCs w:val="18"/>
                    </w:rPr>
                  </w:pPr>
                  <w:r>
                    <w:rPr>
                      <w:color w:val="auto"/>
                      <w:kern w:val="0"/>
                      <w:sz w:val="18"/>
                      <w:szCs w:val="18"/>
                    </w:rPr>
                    <w:sym w:font="Wingdings" w:char="00A8"/>
                  </w:r>
                  <w:r>
                    <w:rPr>
                      <w:color w:val="auto"/>
                      <w:kern w:val="0"/>
                      <w:sz w:val="18"/>
                      <w:szCs w:val="18"/>
                    </w:rPr>
                    <w:t>雨水排放</w:t>
                  </w:r>
                </w:p>
                <w:p w14:paraId="3A84FF91">
                  <w:pPr>
                    <w:adjustRightInd w:val="0"/>
                    <w:snapToGrid w:val="0"/>
                    <w:jc w:val="left"/>
                    <w:rPr>
                      <w:color w:val="auto"/>
                      <w:kern w:val="0"/>
                      <w:sz w:val="18"/>
                      <w:szCs w:val="18"/>
                    </w:rPr>
                  </w:pPr>
                  <w:r>
                    <w:rPr>
                      <w:color w:val="auto"/>
                      <w:kern w:val="0"/>
                      <w:sz w:val="18"/>
                      <w:szCs w:val="18"/>
                    </w:rPr>
                    <w:sym w:font="Wingdings" w:char="00A8"/>
                  </w:r>
                  <w:r>
                    <w:rPr>
                      <w:color w:val="auto"/>
                      <w:kern w:val="0"/>
                      <w:sz w:val="18"/>
                      <w:szCs w:val="18"/>
                    </w:rPr>
                    <w:t>清净下水排放</w:t>
                  </w:r>
                </w:p>
                <w:p w14:paraId="3A84FF92">
                  <w:pPr>
                    <w:adjustRightInd w:val="0"/>
                    <w:snapToGrid w:val="0"/>
                    <w:jc w:val="left"/>
                    <w:rPr>
                      <w:color w:val="auto"/>
                      <w:kern w:val="0"/>
                      <w:sz w:val="18"/>
                      <w:szCs w:val="18"/>
                    </w:rPr>
                  </w:pPr>
                  <w:r>
                    <w:rPr>
                      <w:color w:val="auto"/>
                      <w:kern w:val="0"/>
                      <w:sz w:val="18"/>
                      <w:szCs w:val="18"/>
                    </w:rPr>
                    <w:sym w:font="Wingdings" w:char="00A8"/>
                  </w:r>
                  <w:r>
                    <w:rPr>
                      <w:color w:val="auto"/>
                      <w:kern w:val="0"/>
                      <w:sz w:val="18"/>
                      <w:szCs w:val="18"/>
                    </w:rPr>
                    <w:t>温排水排放</w:t>
                  </w:r>
                </w:p>
                <w:p w14:paraId="3A84FF93">
                  <w:pPr>
                    <w:autoSpaceDE w:val="0"/>
                    <w:autoSpaceDN w:val="0"/>
                    <w:adjustRightInd w:val="0"/>
                    <w:snapToGrid w:val="0"/>
                    <w:rPr>
                      <w:b/>
                      <w:color w:val="auto"/>
                      <w:kern w:val="0"/>
                      <w:sz w:val="18"/>
                      <w:szCs w:val="18"/>
                    </w:rPr>
                  </w:pPr>
                  <w:r>
                    <w:rPr>
                      <w:color w:val="auto"/>
                      <w:kern w:val="0"/>
                      <w:sz w:val="18"/>
                      <w:szCs w:val="18"/>
                    </w:rPr>
                    <w:sym w:font="Wingdings" w:char="00A8"/>
                  </w:r>
                  <w:r>
                    <w:rPr>
                      <w:color w:val="auto"/>
                      <w:kern w:val="0"/>
                      <w:sz w:val="18"/>
                      <w:szCs w:val="18"/>
                    </w:rPr>
                    <w:t>车间或车间处理设施排放口</w:t>
                  </w:r>
                </w:p>
              </w:tc>
            </w:tr>
            <w:tr w14:paraId="3A84FF9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16" w:hRule="atLeast"/>
              </w:trPr>
              <w:tc>
                <w:tcPr>
                  <w:tcW w:w="368" w:type="pct"/>
                  <w:vMerge w:val="continue"/>
                  <w:vAlign w:val="center"/>
                </w:tcPr>
                <w:p w14:paraId="3A84FF95">
                  <w:pPr>
                    <w:adjustRightInd w:val="0"/>
                    <w:snapToGrid w:val="0"/>
                    <w:jc w:val="center"/>
                    <w:rPr>
                      <w:color w:val="auto"/>
                      <w:kern w:val="0"/>
                      <w:sz w:val="18"/>
                      <w:szCs w:val="18"/>
                    </w:rPr>
                  </w:pPr>
                </w:p>
              </w:tc>
              <w:tc>
                <w:tcPr>
                  <w:tcW w:w="468" w:type="pct"/>
                  <w:vAlign w:val="center"/>
                </w:tcPr>
                <w:p w14:paraId="3A84FF96">
                  <w:pPr>
                    <w:adjustRightInd w:val="0"/>
                    <w:snapToGrid w:val="0"/>
                    <w:jc w:val="center"/>
                    <w:rPr>
                      <w:bCs/>
                      <w:color w:val="auto"/>
                      <w:kern w:val="0"/>
                      <w:sz w:val="18"/>
                      <w:szCs w:val="18"/>
                    </w:rPr>
                  </w:pPr>
                  <w:r>
                    <w:rPr>
                      <w:color w:val="auto"/>
                      <w:kern w:val="0"/>
                      <w:sz w:val="18"/>
                      <w:szCs w:val="18"/>
                    </w:rPr>
                    <w:t>SS</w:t>
                  </w:r>
                </w:p>
              </w:tc>
              <w:tc>
                <w:tcPr>
                  <w:tcW w:w="474" w:type="pct"/>
                  <w:vMerge w:val="continue"/>
                  <w:vAlign w:val="center"/>
                </w:tcPr>
                <w:p w14:paraId="3A84FF97">
                  <w:pPr>
                    <w:adjustRightInd w:val="0"/>
                    <w:snapToGrid w:val="0"/>
                    <w:jc w:val="center"/>
                    <w:rPr>
                      <w:bCs/>
                      <w:color w:val="auto"/>
                      <w:kern w:val="0"/>
                      <w:sz w:val="18"/>
                      <w:szCs w:val="18"/>
                    </w:rPr>
                  </w:pPr>
                </w:p>
              </w:tc>
              <w:tc>
                <w:tcPr>
                  <w:tcW w:w="675" w:type="pct"/>
                  <w:vMerge w:val="continue"/>
                  <w:vAlign w:val="center"/>
                </w:tcPr>
                <w:p w14:paraId="3A84FF98">
                  <w:pPr>
                    <w:adjustRightInd w:val="0"/>
                    <w:snapToGrid w:val="0"/>
                    <w:jc w:val="center"/>
                    <w:rPr>
                      <w:bCs/>
                      <w:color w:val="auto"/>
                      <w:kern w:val="0"/>
                      <w:sz w:val="18"/>
                      <w:szCs w:val="18"/>
                    </w:rPr>
                  </w:pPr>
                </w:p>
              </w:tc>
              <w:tc>
                <w:tcPr>
                  <w:tcW w:w="381" w:type="pct"/>
                  <w:vMerge w:val="continue"/>
                  <w:tcMar>
                    <w:top w:w="0" w:type="dxa"/>
                    <w:left w:w="0" w:type="dxa"/>
                    <w:bottom w:w="0" w:type="dxa"/>
                    <w:right w:w="0" w:type="dxa"/>
                  </w:tcMar>
                  <w:vAlign w:val="center"/>
                </w:tcPr>
                <w:p w14:paraId="3A84FF99">
                  <w:pPr>
                    <w:adjustRightInd w:val="0"/>
                    <w:snapToGrid w:val="0"/>
                    <w:jc w:val="center"/>
                    <w:rPr>
                      <w:bCs/>
                      <w:color w:val="auto"/>
                      <w:kern w:val="0"/>
                      <w:sz w:val="18"/>
                      <w:szCs w:val="18"/>
                    </w:rPr>
                  </w:pPr>
                </w:p>
              </w:tc>
              <w:tc>
                <w:tcPr>
                  <w:tcW w:w="448" w:type="pct"/>
                  <w:vMerge w:val="continue"/>
                  <w:vAlign w:val="center"/>
                </w:tcPr>
                <w:p w14:paraId="3A84FF9A">
                  <w:pPr>
                    <w:adjustRightInd w:val="0"/>
                    <w:snapToGrid w:val="0"/>
                    <w:jc w:val="center"/>
                    <w:rPr>
                      <w:bCs/>
                      <w:color w:val="auto"/>
                      <w:kern w:val="0"/>
                      <w:sz w:val="18"/>
                      <w:szCs w:val="18"/>
                    </w:rPr>
                  </w:pPr>
                </w:p>
              </w:tc>
              <w:tc>
                <w:tcPr>
                  <w:tcW w:w="452" w:type="pct"/>
                  <w:vMerge w:val="continue"/>
                  <w:vAlign w:val="center"/>
                </w:tcPr>
                <w:p w14:paraId="3A84FF9B">
                  <w:pPr>
                    <w:adjustRightInd w:val="0"/>
                    <w:snapToGrid w:val="0"/>
                    <w:jc w:val="center"/>
                    <w:rPr>
                      <w:bCs/>
                      <w:color w:val="auto"/>
                      <w:kern w:val="0"/>
                      <w:sz w:val="18"/>
                      <w:szCs w:val="18"/>
                    </w:rPr>
                  </w:pPr>
                </w:p>
              </w:tc>
              <w:tc>
                <w:tcPr>
                  <w:tcW w:w="400" w:type="pct"/>
                  <w:vMerge w:val="continue"/>
                  <w:vAlign w:val="center"/>
                </w:tcPr>
                <w:p w14:paraId="3A84FF9C">
                  <w:pPr>
                    <w:adjustRightInd w:val="0"/>
                    <w:snapToGrid w:val="0"/>
                    <w:jc w:val="center"/>
                    <w:rPr>
                      <w:bCs/>
                      <w:color w:val="auto"/>
                      <w:kern w:val="0"/>
                      <w:sz w:val="18"/>
                      <w:szCs w:val="18"/>
                    </w:rPr>
                  </w:pPr>
                </w:p>
              </w:tc>
              <w:tc>
                <w:tcPr>
                  <w:tcW w:w="499" w:type="pct"/>
                  <w:vMerge w:val="continue"/>
                  <w:vAlign w:val="center"/>
                </w:tcPr>
                <w:p w14:paraId="3A84FF9D">
                  <w:pPr>
                    <w:adjustRightInd w:val="0"/>
                    <w:snapToGrid w:val="0"/>
                    <w:jc w:val="center"/>
                    <w:rPr>
                      <w:bCs/>
                      <w:color w:val="auto"/>
                      <w:kern w:val="0"/>
                      <w:sz w:val="18"/>
                      <w:szCs w:val="18"/>
                    </w:rPr>
                  </w:pPr>
                </w:p>
              </w:tc>
              <w:tc>
                <w:tcPr>
                  <w:tcW w:w="831" w:type="pct"/>
                  <w:vMerge w:val="continue"/>
                  <w:vAlign w:val="center"/>
                </w:tcPr>
                <w:p w14:paraId="3A84FF9E">
                  <w:pPr>
                    <w:adjustRightInd w:val="0"/>
                    <w:snapToGrid w:val="0"/>
                    <w:jc w:val="center"/>
                    <w:rPr>
                      <w:bCs/>
                      <w:color w:val="auto"/>
                      <w:kern w:val="0"/>
                      <w:sz w:val="18"/>
                      <w:szCs w:val="18"/>
                    </w:rPr>
                  </w:pPr>
                </w:p>
              </w:tc>
            </w:tr>
            <w:tr w14:paraId="3A84FFA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276" w:hRule="atLeast"/>
              </w:trPr>
              <w:tc>
                <w:tcPr>
                  <w:tcW w:w="368" w:type="pct"/>
                  <w:vMerge w:val="continue"/>
                  <w:vAlign w:val="center"/>
                </w:tcPr>
                <w:p w14:paraId="3A84FFA0">
                  <w:pPr>
                    <w:adjustRightInd w:val="0"/>
                    <w:snapToGrid w:val="0"/>
                    <w:jc w:val="center"/>
                    <w:rPr>
                      <w:bCs/>
                      <w:color w:val="auto"/>
                      <w:kern w:val="0"/>
                      <w:sz w:val="18"/>
                      <w:szCs w:val="18"/>
                    </w:rPr>
                  </w:pPr>
                </w:p>
              </w:tc>
              <w:tc>
                <w:tcPr>
                  <w:tcW w:w="468" w:type="pct"/>
                  <w:vAlign w:val="center"/>
                </w:tcPr>
                <w:p w14:paraId="3A84FFA1">
                  <w:pPr>
                    <w:adjustRightInd w:val="0"/>
                    <w:snapToGrid w:val="0"/>
                    <w:jc w:val="center"/>
                    <w:rPr>
                      <w:bCs/>
                      <w:color w:val="auto"/>
                      <w:kern w:val="0"/>
                      <w:sz w:val="18"/>
                      <w:szCs w:val="18"/>
                    </w:rPr>
                  </w:pPr>
                  <w:r>
                    <w:rPr>
                      <w:color w:val="auto"/>
                      <w:kern w:val="0"/>
                      <w:sz w:val="18"/>
                      <w:szCs w:val="18"/>
                    </w:rPr>
                    <w:t>NH</w:t>
                  </w:r>
                  <w:r>
                    <w:rPr>
                      <w:color w:val="auto"/>
                      <w:kern w:val="0"/>
                      <w:sz w:val="18"/>
                      <w:szCs w:val="18"/>
                      <w:vertAlign w:val="subscript"/>
                    </w:rPr>
                    <w:t>3</w:t>
                  </w:r>
                  <w:r>
                    <w:rPr>
                      <w:color w:val="auto"/>
                      <w:kern w:val="0"/>
                      <w:sz w:val="18"/>
                      <w:szCs w:val="18"/>
                    </w:rPr>
                    <w:t>-N</w:t>
                  </w:r>
                </w:p>
              </w:tc>
              <w:tc>
                <w:tcPr>
                  <w:tcW w:w="474" w:type="pct"/>
                  <w:vMerge w:val="continue"/>
                  <w:vAlign w:val="center"/>
                </w:tcPr>
                <w:p w14:paraId="3A84FFA2">
                  <w:pPr>
                    <w:adjustRightInd w:val="0"/>
                    <w:snapToGrid w:val="0"/>
                    <w:jc w:val="center"/>
                    <w:rPr>
                      <w:bCs/>
                      <w:color w:val="auto"/>
                      <w:kern w:val="0"/>
                      <w:sz w:val="18"/>
                      <w:szCs w:val="18"/>
                    </w:rPr>
                  </w:pPr>
                </w:p>
              </w:tc>
              <w:tc>
                <w:tcPr>
                  <w:tcW w:w="675" w:type="pct"/>
                  <w:vMerge w:val="continue"/>
                  <w:vAlign w:val="center"/>
                </w:tcPr>
                <w:p w14:paraId="3A84FFA3">
                  <w:pPr>
                    <w:adjustRightInd w:val="0"/>
                    <w:snapToGrid w:val="0"/>
                    <w:jc w:val="center"/>
                    <w:rPr>
                      <w:bCs/>
                      <w:color w:val="auto"/>
                      <w:kern w:val="0"/>
                      <w:sz w:val="18"/>
                      <w:szCs w:val="18"/>
                    </w:rPr>
                  </w:pPr>
                </w:p>
              </w:tc>
              <w:tc>
                <w:tcPr>
                  <w:tcW w:w="381" w:type="pct"/>
                  <w:vMerge w:val="continue"/>
                  <w:tcMar>
                    <w:top w:w="0" w:type="dxa"/>
                    <w:left w:w="0" w:type="dxa"/>
                    <w:bottom w:w="0" w:type="dxa"/>
                    <w:right w:w="0" w:type="dxa"/>
                  </w:tcMar>
                  <w:vAlign w:val="center"/>
                </w:tcPr>
                <w:p w14:paraId="3A84FFA4">
                  <w:pPr>
                    <w:adjustRightInd w:val="0"/>
                    <w:snapToGrid w:val="0"/>
                    <w:jc w:val="center"/>
                    <w:rPr>
                      <w:bCs/>
                      <w:color w:val="auto"/>
                      <w:kern w:val="0"/>
                      <w:sz w:val="18"/>
                      <w:szCs w:val="18"/>
                    </w:rPr>
                  </w:pPr>
                </w:p>
              </w:tc>
              <w:tc>
                <w:tcPr>
                  <w:tcW w:w="448" w:type="pct"/>
                  <w:vMerge w:val="continue"/>
                  <w:vAlign w:val="center"/>
                </w:tcPr>
                <w:p w14:paraId="3A84FFA5">
                  <w:pPr>
                    <w:adjustRightInd w:val="0"/>
                    <w:snapToGrid w:val="0"/>
                    <w:jc w:val="center"/>
                    <w:rPr>
                      <w:bCs/>
                      <w:color w:val="auto"/>
                      <w:kern w:val="0"/>
                      <w:sz w:val="18"/>
                      <w:szCs w:val="18"/>
                    </w:rPr>
                  </w:pPr>
                </w:p>
              </w:tc>
              <w:tc>
                <w:tcPr>
                  <w:tcW w:w="452" w:type="pct"/>
                  <w:vMerge w:val="continue"/>
                  <w:vAlign w:val="center"/>
                </w:tcPr>
                <w:p w14:paraId="3A84FFA6">
                  <w:pPr>
                    <w:adjustRightInd w:val="0"/>
                    <w:snapToGrid w:val="0"/>
                    <w:jc w:val="center"/>
                    <w:rPr>
                      <w:bCs/>
                      <w:color w:val="auto"/>
                      <w:kern w:val="0"/>
                      <w:sz w:val="18"/>
                      <w:szCs w:val="18"/>
                    </w:rPr>
                  </w:pPr>
                </w:p>
              </w:tc>
              <w:tc>
                <w:tcPr>
                  <w:tcW w:w="400" w:type="pct"/>
                  <w:vMerge w:val="continue"/>
                  <w:vAlign w:val="center"/>
                </w:tcPr>
                <w:p w14:paraId="3A84FFA7">
                  <w:pPr>
                    <w:adjustRightInd w:val="0"/>
                    <w:snapToGrid w:val="0"/>
                    <w:jc w:val="center"/>
                    <w:rPr>
                      <w:bCs/>
                      <w:color w:val="auto"/>
                      <w:kern w:val="0"/>
                      <w:sz w:val="18"/>
                      <w:szCs w:val="18"/>
                    </w:rPr>
                  </w:pPr>
                </w:p>
              </w:tc>
              <w:tc>
                <w:tcPr>
                  <w:tcW w:w="499" w:type="pct"/>
                  <w:vMerge w:val="continue"/>
                  <w:vAlign w:val="center"/>
                </w:tcPr>
                <w:p w14:paraId="3A84FFA8">
                  <w:pPr>
                    <w:adjustRightInd w:val="0"/>
                    <w:snapToGrid w:val="0"/>
                    <w:jc w:val="center"/>
                    <w:rPr>
                      <w:bCs/>
                      <w:color w:val="auto"/>
                      <w:kern w:val="0"/>
                      <w:sz w:val="18"/>
                      <w:szCs w:val="18"/>
                    </w:rPr>
                  </w:pPr>
                </w:p>
              </w:tc>
              <w:tc>
                <w:tcPr>
                  <w:tcW w:w="831" w:type="pct"/>
                  <w:vMerge w:val="continue"/>
                  <w:vAlign w:val="center"/>
                </w:tcPr>
                <w:p w14:paraId="3A84FFA9">
                  <w:pPr>
                    <w:adjustRightInd w:val="0"/>
                    <w:snapToGrid w:val="0"/>
                    <w:jc w:val="center"/>
                    <w:rPr>
                      <w:bCs/>
                      <w:color w:val="auto"/>
                      <w:kern w:val="0"/>
                      <w:sz w:val="18"/>
                      <w:szCs w:val="18"/>
                    </w:rPr>
                  </w:pPr>
                </w:p>
              </w:tc>
            </w:tr>
            <w:tr w14:paraId="3A84FFB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256" w:hRule="atLeast"/>
              </w:trPr>
              <w:tc>
                <w:tcPr>
                  <w:tcW w:w="368" w:type="pct"/>
                  <w:vMerge w:val="continue"/>
                  <w:vAlign w:val="center"/>
                </w:tcPr>
                <w:p w14:paraId="3A84FFAB">
                  <w:pPr>
                    <w:adjustRightInd w:val="0"/>
                    <w:snapToGrid w:val="0"/>
                    <w:jc w:val="center"/>
                    <w:rPr>
                      <w:bCs/>
                      <w:color w:val="auto"/>
                      <w:kern w:val="0"/>
                      <w:sz w:val="18"/>
                      <w:szCs w:val="18"/>
                    </w:rPr>
                  </w:pPr>
                </w:p>
              </w:tc>
              <w:tc>
                <w:tcPr>
                  <w:tcW w:w="468" w:type="pct"/>
                  <w:vAlign w:val="center"/>
                </w:tcPr>
                <w:p w14:paraId="3A84FFAC">
                  <w:pPr>
                    <w:adjustRightInd w:val="0"/>
                    <w:snapToGrid w:val="0"/>
                    <w:jc w:val="center"/>
                    <w:rPr>
                      <w:bCs/>
                      <w:color w:val="auto"/>
                      <w:kern w:val="0"/>
                      <w:sz w:val="18"/>
                      <w:szCs w:val="18"/>
                    </w:rPr>
                  </w:pPr>
                  <w:r>
                    <w:rPr>
                      <w:color w:val="auto"/>
                      <w:kern w:val="0"/>
                      <w:sz w:val="18"/>
                      <w:szCs w:val="18"/>
                    </w:rPr>
                    <w:t>TP</w:t>
                  </w:r>
                </w:p>
              </w:tc>
              <w:tc>
                <w:tcPr>
                  <w:tcW w:w="474" w:type="pct"/>
                  <w:vMerge w:val="continue"/>
                  <w:vAlign w:val="center"/>
                </w:tcPr>
                <w:p w14:paraId="3A84FFAD">
                  <w:pPr>
                    <w:adjustRightInd w:val="0"/>
                    <w:snapToGrid w:val="0"/>
                    <w:jc w:val="center"/>
                    <w:rPr>
                      <w:bCs/>
                      <w:color w:val="auto"/>
                      <w:kern w:val="0"/>
                      <w:sz w:val="18"/>
                      <w:szCs w:val="18"/>
                    </w:rPr>
                  </w:pPr>
                </w:p>
              </w:tc>
              <w:tc>
                <w:tcPr>
                  <w:tcW w:w="675" w:type="pct"/>
                  <w:vMerge w:val="continue"/>
                  <w:vAlign w:val="center"/>
                </w:tcPr>
                <w:p w14:paraId="3A84FFAE">
                  <w:pPr>
                    <w:adjustRightInd w:val="0"/>
                    <w:snapToGrid w:val="0"/>
                    <w:jc w:val="center"/>
                    <w:rPr>
                      <w:bCs/>
                      <w:color w:val="auto"/>
                      <w:kern w:val="0"/>
                      <w:sz w:val="18"/>
                      <w:szCs w:val="18"/>
                    </w:rPr>
                  </w:pPr>
                </w:p>
              </w:tc>
              <w:tc>
                <w:tcPr>
                  <w:tcW w:w="381" w:type="pct"/>
                  <w:vMerge w:val="continue"/>
                  <w:tcMar>
                    <w:top w:w="0" w:type="dxa"/>
                    <w:left w:w="0" w:type="dxa"/>
                    <w:bottom w:w="0" w:type="dxa"/>
                    <w:right w:w="0" w:type="dxa"/>
                  </w:tcMar>
                  <w:vAlign w:val="center"/>
                </w:tcPr>
                <w:p w14:paraId="3A84FFAF">
                  <w:pPr>
                    <w:adjustRightInd w:val="0"/>
                    <w:snapToGrid w:val="0"/>
                    <w:jc w:val="center"/>
                    <w:rPr>
                      <w:bCs/>
                      <w:color w:val="auto"/>
                      <w:kern w:val="0"/>
                      <w:sz w:val="18"/>
                      <w:szCs w:val="18"/>
                    </w:rPr>
                  </w:pPr>
                </w:p>
              </w:tc>
              <w:tc>
                <w:tcPr>
                  <w:tcW w:w="448" w:type="pct"/>
                  <w:vMerge w:val="continue"/>
                  <w:vAlign w:val="center"/>
                </w:tcPr>
                <w:p w14:paraId="3A84FFB0">
                  <w:pPr>
                    <w:adjustRightInd w:val="0"/>
                    <w:snapToGrid w:val="0"/>
                    <w:jc w:val="center"/>
                    <w:rPr>
                      <w:bCs/>
                      <w:color w:val="auto"/>
                      <w:kern w:val="0"/>
                      <w:sz w:val="18"/>
                      <w:szCs w:val="18"/>
                    </w:rPr>
                  </w:pPr>
                </w:p>
              </w:tc>
              <w:tc>
                <w:tcPr>
                  <w:tcW w:w="452" w:type="pct"/>
                  <w:vMerge w:val="continue"/>
                  <w:vAlign w:val="center"/>
                </w:tcPr>
                <w:p w14:paraId="3A84FFB1">
                  <w:pPr>
                    <w:adjustRightInd w:val="0"/>
                    <w:snapToGrid w:val="0"/>
                    <w:jc w:val="center"/>
                    <w:rPr>
                      <w:bCs/>
                      <w:color w:val="auto"/>
                      <w:kern w:val="0"/>
                      <w:sz w:val="18"/>
                      <w:szCs w:val="18"/>
                    </w:rPr>
                  </w:pPr>
                </w:p>
              </w:tc>
              <w:tc>
                <w:tcPr>
                  <w:tcW w:w="400" w:type="pct"/>
                  <w:vMerge w:val="continue"/>
                  <w:vAlign w:val="center"/>
                </w:tcPr>
                <w:p w14:paraId="3A84FFB2">
                  <w:pPr>
                    <w:adjustRightInd w:val="0"/>
                    <w:snapToGrid w:val="0"/>
                    <w:jc w:val="center"/>
                    <w:rPr>
                      <w:bCs/>
                      <w:color w:val="auto"/>
                      <w:kern w:val="0"/>
                      <w:sz w:val="18"/>
                      <w:szCs w:val="18"/>
                    </w:rPr>
                  </w:pPr>
                </w:p>
              </w:tc>
              <w:tc>
                <w:tcPr>
                  <w:tcW w:w="499" w:type="pct"/>
                  <w:vMerge w:val="continue"/>
                  <w:vAlign w:val="center"/>
                </w:tcPr>
                <w:p w14:paraId="3A84FFB3">
                  <w:pPr>
                    <w:adjustRightInd w:val="0"/>
                    <w:snapToGrid w:val="0"/>
                    <w:jc w:val="center"/>
                    <w:rPr>
                      <w:bCs/>
                      <w:color w:val="auto"/>
                      <w:kern w:val="0"/>
                      <w:sz w:val="18"/>
                      <w:szCs w:val="18"/>
                    </w:rPr>
                  </w:pPr>
                </w:p>
              </w:tc>
              <w:tc>
                <w:tcPr>
                  <w:tcW w:w="831" w:type="pct"/>
                  <w:vMerge w:val="continue"/>
                  <w:vAlign w:val="center"/>
                </w:tcPr>
                <w:p w14:paraId="3A84FFB4">
                  <w:pPr>
                    <w:adjustRightInd w:val="0"/>
                    <w:snapToGrid w:val="0"/>
                    <w:jc w:val="center"/>
                    <w:rPr>
                      <w:bCs/>
                      <w:color w:val="auto"/>
                      <w:kern w:val="0"/>
                      <w:sz w:val="18"/>
                      <w:szCs w:val="18"/>
                    </w:rPr>
                  </w:pPr>
                </w:p>
              </w:tc>
            </w:tr>
            <w:tr w14:paraId="3A84FFC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0" w:hRule="atLeast"/>
              </w:trPr>
              <w:tc>
                <w:tcPr>
                  <w:tcW w:w="368" w:type="pct"/>
                  <w:vMerge w:val="continue"/>
                  <w:vAlign w:val="center"/>
                </w:tcPr>
                <w:p w14:paraId="3A84FFB6">
                  <w:pPr>
                    <w:adjustRightInd w:val="0"/>
                    <w:snapToGrid w:val="0"/>
                    <w:jc w:val="center"/>
                    <w:rPr>
                      <w:bCs/>
                      <w:color w:val="auto"/>
                      <w:kern w:val="0"/>
                      <w:sz w:val="18"/>
                      <w:szCs w:val="18"/>
                    </w:rPr>
                  </w:pPr>
                </w:p>
              </w:tc>
              <w:tc>
                <w:tcPr>
                  <w:tcW w:w="468" w:type="pct"/>
                  <w:vAlign w:val="center"/>
                </w:tcPr>
                <w:p w14:paraId="3A84FFB7">
                  <w:pPr>
                    <w:adjustRightInd w:val="0"/>
                    <w:snapToGrid w:val="0"/>
                    <w:jc w:val="center"/>
                    <w:rPr>
                      <w:bCs/>
                      <w:color w:val="auto"/>
                      <w:kern w:val="0"/>
                      <w:sz w:val="18"/>
                      <w:szCs w:val="18"/>
                    </w:rPr>
                  </w:pPr>
                  <w:r>
                    <w:rPr>
                      <w:color w:val="auto"/>
                      <w:kern w:val="0"/>
                      <w:sz w:val="18"/>
                      <w:szCs w:val="18"/>
                    </w:rPr>
                    <w:t>TN</w:t>
                  </w:r>
                </w:p>
              </w:tc>
              <w:tc>
                <w:tcPr>
                  <w:tcW w:w="474" w:type="pct"/>
                  <w:vMerge w:val="continue"/>
                  <w:vAlign w:val="center"/>
                </w:tcPr>
                <w:p w14:paraId="3A84FFB8">
                  <w:pPr>
                    <w:adjustRightInd w:val="0"/>
                    <w:snapToGrid w:val="0"/>
                    <w:jc w:val="center"/>
                    <w:rPr>
                      <w:bCs/>
                      <w:color w:val="auto"/>
                      <w:kern w:val="0"/>
                      <w:sz w:val="18"/>
                      <w:szCs w:val="18"/>
                    </w:rPr>
                  </w:pPr>
                </w:p>
              </w:tc>
              <w:tc>
                <w:tcPr>
                  <w:tcW w:w="675" w:type="pct"/>
                  <w:vMerge w:val="continue"/>
                  <w:vAlign w:val="center"/>
                </w:tcPr>
                <w:p w14:paraId="3A84FFB9">
                  <w:pPr>
                    <w:adjustRightInd w:val="0"/>
                    <w:snapToGrid w:val="0"/>
                    <w:jc w:val="center"/>
                    <w:rPr>
                      <w:bCs/>
                      <w:color w:val="auto"/>
                      <w:kern w:val="0"/>
                      <w:sz w:val="18"/>
                      <w:szCs w:val="18"/>
                    </w:rPr>
                  </w:pPr>
                </w:p>
              </w:tc>
              <w:tc>
                <w:tcPr>
                  <w:tcW w:w="381" w:type="pct"/>
                  <w:vMerge w:val="continue"/>
                  <w:tcMar>
                    <w:top w:w="0" w:type="dxa"/>
                    <w:left w:w="0" w:type="dxa"/>
                    <w:bottom w:w="0" w:type="dxa"/>
                    <w:right w:w="0" w:type="dxa"/>
                  </w:tcMar>
                  <w:vAlign w:val="center"/>
                </w:tcPr>
                <w:p w14:paraId="3A84FFBA">
                  <w:pPr>
                    <w:adjustRightInd w:val="0"/>
                    <w:snapToGrid w:val="0"/>
                    <w:jc w:val="center"/>
                    <w:rPr>
                      <w:bCs/>
                      <w:color w:val="auto"/>
                      <w:kern w:val="0"/>
                      <w:sz w:val="18"/>
                      <w:szCs w:val="18"/>
                    </w:rPr>
                  </w:pPr>
                </w:p>
              </w:tc>
              <w:tc>
                <w:tcPr>
                  <w:tcW w:w="448" w:type="pct"/>
                  <w:vMerge w:val="continue"/>
                  <w:vAlign w:val="center"/>
                </w:tcPr>
                <w:p w14:paraId="3A84FFBB">
                  <w:pPr>
                    <w:adjustRightInd w:val="0"/>
                    <w:snapToGrid w:val="0"/>
                    <w:jc w:val="center"/>
                    <w:rPr>
                      <w:bCs/>
                      <w:color w:val="auto"/>
                      <w:kern w:val="0"/>
                      <w:sz w:val="18"/>
                      <w:szCs w:val="18"/>
                    </w:rPr>
                  </w:pPr>
                </w:p>
              </w:tc>
              <w:tc>
                <w:tcPr>
                  <w:tcW w:w="452" w:type="pct"/>
                  <w:vMerge w:val="continue"/>
                  <w:vAlign w:val="center"/>
                </w:tcPr>
                <w:p w14:paraId="3A84FFBC">
                  <w:pPr>
                    <w:adjustRightInd w:val="0"/>
                    <w:snapToGrid w:val="0"/>
                    <w:jc w:val="center"/>
                    <w:rPr>
                      <w:bCs/>
                      <w:color w:val="auto"/>
                      <w:kern w:val="0"/>
                      <w:sz w:val="18"/>
                      <w:szCs w:val="18"/>
                    </w:rPr>
                  </w:pPr>
                </w:p>
              </w:tc>
              <w:tc>
                <w:tcPr>
                  <w:tcW w:w="400" w:type="pct"/>
                  <w:vMerge w:val="continue"/>
                  <w:vAlign w:val="center"/>
                </w:tcPr>
                <w:p w14:paraId="3A84FFBD">
                  <w:pPr>
                    <w:adjustRightInd w:val="0"/>
                    <w:snapToGrid w:val="0"/>
                    <w:jc w:val="center"/>
                    <w:rPr>
                      <w:bCs/>
                      <w:color w:val="auto"/>
                      <w:kern w:val="0"/>
                      <w:sz w:val="18"/>
                      <w:szCs w:val="18"/>
                    </w:rPr>
                  </w:pPr>
                </w:p>
              </w:tc>
              <w:tc>
                <w:tcPr>
                  <w:tcW w:w="499" w:type="pct"/>
                  <w:vMerge w:val="continue"/>
                  <w:vAlign w:val="center"/>
                </w:tcPr>
                <w:p w14:paraId="3A84FFBE">
                  <w:pPr>
                    <w:adjustRightInd w:val="0"/>
                    <w:snapToGrid w:val="0"/>
                    <w:jc w:val="center"/>
                    <w:rPr>
                      <w:bCs/>
                      <w:color w:val="auto"/>
                      <w:kern w:val="0"/>
                      <w:sz w:val="18"/>
                      <w:szCs w:val="18"/>
                    </w:rPr>
                  </w:pPr>
                </w:p>
              </w:tc>
              <w:tc>
                <w:tcPr>
                  <w:tcW w:w="831" w:type="pct"/>
                  <w:vMerge w:val="continue"/>
                  <w:vAlign w:val="center"/>
                </w:tcPr>
                <w:p w14:paraId="3A84FFBF">
                  <w:pPr>
                    <w:adjustRightInd w:val="0"/>
                    <w:snapToGrid w:val="0"/>
                    <w:jc w:val="center"/>
                    <w:rPr>
                      <w:bCs/>
                      <w:color w:val="auto"/>
                      <w:kern w:val="0"/>
                      <w:sz w:val="18"/>
                      <w:szCs w:val="18"/>
                    </w:rPr>
                  </w:pPr>
                </w:p>
              </w:tc>
            </w:tr>
          </w:tbl>
          <w:p w14:paraId="3A84FFC1">
            <w:pPr>
              <w:autoSpaceDE w:val="0"/>
              <w:autoSpaceDN w:val="0"/>
              <w:adjustRightInd w:val="0"/>
              <w:snapToGrid w:val="0"/>
              <w:spacing w:line="360" w:lineRule="auto"/>
              <w:ind w:firstLine="420" w:firstLineChars="200"/>
              <w:rPr>
                <w:b/>
                <w:bCs/>
                <w:color w:val="auto"/>
                <w:kern w:val="0"/>
              </w:rPr>
            </w:pPr>
            <w:r>
              <w:rPr>
                <w:color w:val="auto"/>
                <w:kern w:val="0"/>
              </w:rPr>
              <w:t>本项目废水间接排放口基本情况见</w:t>
            </w:r>
            <w:r>
              <w:rPr>
                <w:rFonts w:hint="eastAsia"/>
                <w:color w:val="auto"/>
                <w:kern w:val="0"/>
              </w:rPr>
              <w:t>下表</w:t>
            </w:r>
            <w:r>
              <w:rPr>
                <w:color w:val="auto"/>
                <w:kern w:val="0"/>
              </w:rPr>
              <w:t>。</w:t>
            </w:r>
          </w:p>
          <w:p w14:paraId="3A84FFC2">
            <w:pPr>
              <w:adjustRightInd w:val="0"/>
              <w:snapToGrid w:val="0"/>
              <w:jc w:val="center"/>
              <w:rPr>
                <w:color w:val="auto"/>
                <w:kern w:val="0"/>
              </w:rPr>
            </w:pPr>
            <w:r>
              <w:rPr>
                <w:b/>
                <w:bCs/>
                <w:color w:val="auto"/>
                <w:kern w:val="0"/>
              </w:rPr>
              <w:t>表4-</w:t>
            </w:r>
            <w:r>
              <w:rPr>
                <w:rFonts w:hint="eastAsia"/>
                <w:b/>
                <w:bCs/>
                <w:color w:val="auto"/>
                <w:kern w:val="0"/>
              </w:rPr>
              <w:t>1</w:t>
            </w:r>
            <w:r>
              <w:rPr>
                <w:rFonts w:hint="eastAsia"/>
                <w:b/>
                <w:bCs/>
                <w:color w:val="auto"/>
                <w:kern w:val="0"/>
                <w:lang w:val="en-US" w:eastAsia="zh-CN"/>
              </w:rPr>
              <w:t>2</w:t>
            </w:r>
            <w:r>
              <w:rPr>
                <w:b/>
                <w:bCs/>
                <w:color w:val="auto"/>
                <w:kern w:val="0"/>
              </w:rPr>
              <w:t xml:space="preserve">   废水间接</w:t>
            </w:r>
            <w:r>
              <w:rPr>
                <w:b/>
                <w:color w:val="auto"/>
                <w:kern w:val="0"/>
              </w:rPr>
              <w:t>排放</w:t>
            </w:r>
            <w:r>
              <w:rPr>
                <w:b/>
                <w:bCs/>
                <w:color w:val="auto"/>
                <w:kern w:val="0"/>
              </w:rPr>
              <w:t>口基本情况表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94"/>
              <w:gridCol w:w="877"/>
              <w:gridCol w:w="877"/>
              <w:gridCol w:w="1096"/>
              <w:gridCol w:w="1031"/>
              <w:gridCol w:w="1259"/>
              <w:gridCol w:w="850"/>
              <w:gridCol w:w="845"/>
              <w:gridCol w:w="785"/>
              <w:gridCol w:w="1075"/>
            </w:tblGrid>
            <w:tr w14:paraId="3A84FFC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122" w:hRule="atLeast"/>
                <w:jc w:val="center"/>
              </w:trPr>
              <w:tc>
                <w:tcPr>
                  <w:tcW w:w="466" w:type="pct"/>
                  <w:vMerge w:val="restart"/>
                  <w:vAlign w:val="center"/>
                </w:tcPr>
                <w:p w14:paraId="3A84FFC3">
                  <w:pPr>
                    <w:autoSpaceDE w:val="0"/>
                    <w:autoSpaceDN w:val="0"/>
                    <w:adjustRightInd w:val="0"/>
                    <w:snapToGrid w:val="0"/>
                    <w:jc w:val="center"/>
                    <w:rPr>
                      <w:b/>
                      <w:bCs/>
                      <w:color w:val="auto"/>
                      <w:kern w:val="0"/>
                      <w:sz w:val="18"/>
                      <w:szCs w:val="18"/>
                    </w:rPr>
                  </w:pPr>
                  <w:r>
                    <w:rPr>
                      <w:b/>
                      <w:bCs/>
                      <w:color w:val="auto"/>
                      <w:kern w:val="0"/>
                      <w:sz w:val="18"/>
                      <w:szCs w:val="18"/>
                    </w:rPr>
                    <w:t>排放口编号</w:t>
                  </w:r>
                </w:p>
              </w:tc>
              <w:tc>
                <w:tcPr>
                  <w:tcW w:w="914" w:type="pct"/>
                  <w:gridSpan w:val="2"/>
                  <w:vAlign w:val="center"/>
                </w:tcPr>
                <w:p w14:paraId="3A84FFC4">
                  <w:pPr>
                    <w:autoSpaceDE w:val="0"/>
                    <w:autoSpaceDN w:val="0"/>
                    <w:adjustRightInd w:val="0"/>
                    <w:snapToGrid w:val="0"/>
                    <w:jc w:val="center"/>
                    <w:rPr>
                      <w:b/>
                      <w:bCs/>
                      <w:color w:val="auto"/>
                      <w:kern w:val="0"/>
                      <w:sz w:val="18"/>
                      <w:szCs w:val="18"/>
                    </w:rPr>
                  </w:pPr>
                  <w:r>
                    <w:rPr>
                      <w:b/>
                      <w:bCs/>
                      <w:color w:val="auto"/>
                      <w:kern w:val="0"/>
                      <w:sz w:val="18"/>
                      <w:szCs w:val="18"/>
                    </w:rPr>
                    <w:t>排放口地理坐标</w:t>
                  </w:r>
                </w:p>
              </w:tc>
              <w:tc>
                <w:tcPr>
                  <w:tcW w:w="571" w:type="pct"/>
                  <w:vMerge w:val="restart"/>
                  <w:vAlign w:val="center"/>
                </w:tcPr>
                <w:p w14:paraId="3A84FFC5">
                  <w:pPr>
                    <w:autoSpaceDE w:val="0"/>
                    <w:autoSpaceDN w:val="0"/>
                    <w:adjustRightInd w:val="0"/>
                    <w:snapToGrid w:val="0"/>
                    <w:jc w:val="center"/>
                    <w:rPr>
                      <w:b/>
                      <w:bCs/>
                      <w:color w:val="auto"/>
                      <w:kern w:val="0"/>
                      <w:sz w:val="18"/>
                      <w:szCs w:val="18"/>
                    </w:rPr>
                  </w:pPr>
                  <w:r>
                    <w:rPr>
                      <w:b/>
                      <w:bCs/>
                      <w:color w:val="auto"/>
                      <w:kern w:val="0"/>
                      <w:sz w:val="18"/>
                      <w:szCs w:val="18"/>
                    </w:rPr>
                    <w:t>废水排放量/（t/a）</w:t>
                  </w:r>
                </w:p>
              </w:tc>
              <w:tc>
                <w:tcPr>
                  <w:tcW w:w="537" w:type="pct"/>
                  <w:vMerge w:val="restart"/>
                  <w:vAlign w:val="center"/>
                </w:tcPr>
                <w:p w14:paraId="3A84FFC6">
                  <w:pPr>
                    <w:autoSpaceDE w:val="0"/>
                    <w:autoSpaceDN w:val="0"/>
                    <w:adjustRightInd w:val="0"/>
                    <w:snapToGrid w:val="0"/>
                    <w:jc w:val="center"/>
                    <w:rPr>
                      <w:b/>
                      <w:bCs/>
                      <w:color w:val="auto"/>
                      <w:kern w:val="0"/>
                      <w:sz w:val="18"/>
                      <w:szCs w:val="18"/>
                    </w:rPr>
                  </w:pPr>
                  <w:r>
                    <w:rPr>
                      <w:b/>
                      <w:bCs/>
                      <w:color w:val="auto"/>
                      <w:kern w:val="0"/>
                      <w:sz w:val="18"/>
                      <w:szCs w:val="18"/>
                    </w:rPr>
                    <w:t>排放去向</w:t>
                  </w:r>
                </w:p>
              </w:tc>
              <w:tc>
                <w:tcPr>
                  <w:tcW w:w="656" w:type="pct"/>
                  <w:vMerge w:val="restart"/>
                  <w:vAlign w:val="center"/>
                </w:tcPr>
                <w:p w14:paraId="3A84FFC7">
                  <w:pPr>
                    <w:autoSpaceDE w:val="0"/>
                    <w:autoSpaceDN w:val="0"/>
                    <w:adjustRightInd w:val="0"/>
                    <w:snapToGrid w:val="0"/>
                    <w:jc w:val="center"/>
                    <w:rPr>
                      <w:b/>
                      <w:bCs/>
                      <w:color w:val="auto"/>
                      <w:kern w:val="0"/>
                      <w:sz w:val="18"/>
                      <w:szCs w:val="18"/>
                    </w:rPr>
                  </w:pPr>
                  <w:r>
                    <w:rPr>
                      <w:b/>
                      <w:bCs/>
                      <w:color w:val="auto"/>
                      <w:kern w:val="0"/>
                      <w:sz w:val="18"/>
                      <w:szCs w:val="18"/>
                    </w:rPr>
                    <w:t>排放</w:t>
                  </w:r>
                </w:p>
                <w:p w14:paraId="3A84FFC8">
                  <w:pPr>
                    <w:autoSpaceDE w:val="0"/>
                    <w:autoSpaceDN w:val="0"/>
                    <w:adjustRightInd w:val="0"/>
                    <w:snapToGrid w:val="0"/>
                    <w:jc w:val="center"/>
                    <w:rPr>
                      <w:b/>
                      <w:bCs/>
                      <w:color w:val="auto"/>
                      <w:kern w:val="0"/>
                      <w:sz w:val="18"/>
                      <w:szCs w:val="18"/>
                    </w:rPr>
                  </w:pPr>
                  <w:r>
                    <w:rPr>
                      <w:b/>
                      <w:bCs/>
                      <w:color w:val="auto"/>
                      <w:kern w:val="0"/>
                      <w:sz w:val="18"/>
                      <w:szCs w:val="18"/>
                    </w:rPr>
                    <w:t>规律</w:t>
                  </w:r>
                </w:p>
              </w:tc>
              <w:tc>
                <w:tcPr>
                  <w:tcW w:w="443" w:type="pct"/>
                  <w:vMerge w:val="restart"/>
                  <w:vAlign w:val="center"/>
                </w:tcPr>
                <w:p w14:paraId="3A84FFC9">
                  <w:pPr>
                    <w:autoSpaceDE w:val="0"/>
                    <w:autoSpaceDN w:val="0"/>
                    <w:adjustRightInd w:val="0"/>
                    <w:snapToGrid w:val="0"/>
                    <w:jc w:val="center"/>
                    <w:rPr>
                      <w:b/>
                      <w:bCs/>
                      <w:color w:val="auto"/>
                      <w:kern w:val="0"/>
                      <w:sz w:val="18"/>
                      <w:szCs w:val="18"/>
                    </w:rPr>
                  </w:pPr>
                  <w:r>
                    <w:rPr>
                      <w:b/>
                      <w:bCs/>
                      <w:color w:val="auto"/>
                      <w:kern w:val="0"/>
                      <w:sz w:val="18"/>
                      <w:szCs w:val="18"/>
                    </w:rPr>
                    <w:t>间歇排放时段</w:t>
                  </w:r>
                </w:p>
              </w:tc>
              <w:tc>
                <w:tcPr>
                  <w:tcW w:w="1409" w:type="pct"/>
                  <w:gridSpan w:val="3"/>
                  <w:vAlign w:val="center"/>
                </w:tcPr>
                <w:p w14:paraId="3A84FFCA">
                  <w:pPr>
                    <w:autoSpaceDE w:val="0"/>
                    <w:autoSpaceDN w:val="0"/>
                    <w:adjustRightInd w:val="0"/>
                    <w:snapToGrid w:val="0"/>
                    <w:jc w:val="center"/>
                    <w:rPr>
                      <w:b/>
                      <w:bCs/>
                      <w:color w:val="auto"/>
                      <w:kern w:val="0"/>
                      <w:sz w:val="18"/>
                      <w:szCs w:val="18"/>
                    </w:rPr>
                  </w:pPr>
                  <w:r>
                    <w:rPr>
                      <w:b/>
                      <w:bCs/>
                      <w:color w:val="auto"/>
                      <w:kern w:val="0"/>
                      <w:sz w:val="18"/>
                      <w:szCs w:val="18"/>
                    </w:rPr>
                    <w:t>受纳污水处理厂信息</w:t>
                  </w:r>
                </w:p>
              </w:tc>
            </w:tr>
            <w:tr w14:paraId="3A84FFD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71" w:hRule="atLeast"/>
                <w:jc w:val="center"/>
              </w:trPr>
              <w:tc>
                <w:tcPr>
                  <w:tcW w:w="466" w:type="pct"/>
                  <w:vMerge w:val="continue"/>
                  <w:vAlign w:val="center"/>
                </w:tcPr>
                <w:p w14:paraId="3A84FFCC">
                  <w:pPr>
                    <w:widowControl/>
                    <w:adjustRightInd w:val="0"/>
                    <w:snapToGrid w:val="0"/>
                    <w:jc w:val="center"/>
                    <w:rPr>
                      <w:b/>
                      <w:bCs/>
                      <w:color w:val="auto"/>
                      <w:kern w:val="0"/>
                      <w:sz w:val="18"/>
                      <w:szCs w:val="18"/>
                    </w:rPr>
                  </w:pPr>
                </w:p>
              </w:tc>
              <w:tc>
                <w:tcPr>
                  <w:tcW w:w="457" w:type="pct"/>
                  <w:vAlign w:val="center"/>
                </w:tcPr>
                <w:p w14:paraId="3A84FFCD">
                  <w:pPr>
                    <w:autoSpaceDE w:val="0"/>
                    <w:autoSpaceDN w:val="0"/>
                    <w:adjustRightInd w:val="0"/>
                    <w:snapToGrid w:val="0"/>
                    <w:jc w:val="center"/>
                    <w:rPr>
                      <w:b/>
                      <w:bCs/>
                      <w:color w:val="auto"/>
                      <w:kern w:val="0"/>
                      <w:sz w:val="18"/>
                      <w:szCs w:val="18"/>
                    </w:rPr>
                  </w:pPr>
                  <w:r>
                    <w:rPr>
                      <w:b/>
                      <w:bCs/>
                      <w:color w:val="auto"/>
                      <w:kern w:val="0"/>
                      <w:sz w:val="18"/>
                      <w:szCs w:val="18"/>
                    </w:rPr>
                    <w:t>经度</w:t>
                  </w:r>
                </w:p>
              </w:tc>
              <w:tc>
                <w:tcPr>
                  <w:tcW w:w="457" w:type="pct"/>
                  <w:vAlign w:val="center"/>
                </w:tcPr>
                <w:p w14:paraId="3A84FFCE">
                  <w:pPr>
                    <w:autoSpaceDE w:val="0"/>
                    <w:autoSpaceDN w:val="0"/>
                    <w:adjustRightInd w:val="0"/>
                    <w:snapToGrid w:val="0"/>
                    <w:jc w:val="center"/>
                    <w:rPr>
                      <w:b/>
                      <w:bCs/>
                      <w:color w:val="auto"/>
                      <w:kern w:val="0"/>
                      <w:sz w:val="18"/>
                      <w:szCs w:val="18"/>
                    </w:rPr>
                  </w:pPr>
                  <w:r>
                    <w:rPr>
                      <w:b/>
                      <w:bCs/>
                      <w:color w:val="auto"/>
                      <w:kern w:val="0"/>
                      <w:sz w:val="18"/>
                      <w:szCs w:val="18"/>
                    </w:rPr>
                    <w:t>纬度</w:t>
                  </w:r>
                </w:p>
              </w:tc>
              <w:tc>
                <w:tcPr>
                  <w:tcW w:w="571" w:type="pct"/>
                  <w:vMerge w:val="continue"/>
                  <w:vAlign w:val="center"/>
                </w:tcPr>
                <w:p w14:paraId="3A84FFCF">
                  <w:pPr>
                    <w:widowControl/>
                    <w:adjustRightInd w:val="0"/>
                    <w:snapToGrid w:val="0"/>
                    <w:jc w:val="center"/>
                    <w:rPr>
                      <w:b/>
                      <w:bCs/>
                      <w:color w:val="auto"/>
                      <w:kern w:val="0"/>
                      <w:sz w:val="18"/>
                      <w:szCs w:val="18"/>
                    </w:rPr>
                  </w:pPr>
                </w:p>
              </w:tc>
              <w:tc>
                <w:tcPr>
                  <w:tcW w:w="537" w:type="pct"/>
                  <w:vMerge w:val="continue"/>
                  <w:vAlign w:val="center"/>
                </w:tcPr>
                <w:p w14:paraId="3A84FFD0">
                  <w:pPr>
                    <w:widowControl/>
                    <w:adjustRightInd w:val="0"/>
                    <w:snapToGrid w:val="0"/>
                    <w:jc w:val="center"/>
                    <w:rPr>
                      <w:b/>
                      <w:bCs/>
                      <w:color w:val="auto"/>
                      <w:kern w:val="0"/>
                      <w:sz w:val="18"/>
                      <w:szCs w:val="18"/>
                    </w:rPr>
                  </w:pPr>
                </w:p>
              </w:tc>
              <w:tc>
                <w:tcPr>
                  <w:tcW w:w="656" w:type="pct"/>
                  <w:vMerge w:val="continue"/>
                  <w:vAlign w:val="center"/>
                </w:tcPr>
                <w:p w14:paraId="3A84FFD1">
                  <w:pPr>
                    <w:widowControl/>
                    <w:adjustRightInd w:val="0"/>
                    <w:snapToGrid w:val="0"/>
                    <w:jc w:val="center"/>
                    <w:rPr>
                      <w:b/>
                      <w:bCs/>
                      <w:color w:val="auto"/>
                      <w:kern w:val="0"/>
                      <w:sz w:val="18"/>
                      <w:szCs w:val="18"/>
                    </w:rPr>
                  </w:pPr>
                </w:p>
              </w:tc>
              <w:tc>
                <w:tcPr>
                  <w:tcW w:w="443" w:type="pct"/>
                  <w:vMerge w:val="continue"/>
                  <w:vAlign w:val="center"/>
                </w:tcPr>
                <w:p w14:paraId="3A84FFD2">
                  <w:pPr>
                    <w:widowControl/>
                    <w:adjustRightInd w:val="0"/>
                    <w:snapToGrid w:val="0"/>
                    <w:jc w:val="center"/>
                    <w:rPr>
                      <w:b/>
                      <w:bCs/>
                      <w:color w:val="auto"/>
                      <w:kern w:val="0"/>
                      <w:sz w:val="18"/>
                      <w:szCs w:val="18"/>
                    </w:rPr>
                  </w:pPr>
                </w:p>
              </w:tc>
              <w:tc>
                <w:tcPr>
                  <w:tcW w:w="440" w:type="pct"/>
                  <w:vAlign w:val="center"/>
                </w:tcPr>
                <w:p w14:paraId="3A84FFD3">
                  <w:pPr>
                    <w:autoSpaceDE w:val="0"/>
                    <w:autoSpaceDN w:val="0"/>
                    <w:adjustRightInd w:val="0"/>
                    <w:snapToGrid w:val="0"/>
                    <w:jc w:val="center"/>
                    <w:rPr>
                      <w:b/>
                      <w:bCs/>
                      <w:color w:val="auto"/>
                      <w:kern w:val="0"/>
                      <w:sz w:val="18"/>
                      <w:szCs w:val="18"/>
                    </w:rPr>
                  </w:pPr>
                  <w:r>
                    <w:rPr>
                      <w:b/>
                      <w:bCs/>
                      <w:color w:val="auto"/>
                      <w:kern w:val="0"/>
                      <w:sz w:val="18"/>
                      <w:szCs w:val="18"/>
                    </w:rPr>
                    <w:t>名称</w:t>
                  </w:r>
                </w:p>
              </w:tc>
              <w:tc>
                <w:tcPr>
                  <w:tcW w:w="409" w:type="pct"/>
                  <w:vAlign w:val="center"/>
                </w:tcPr>
                <w:p w14:paraId="3A84FFD4">
                  <w:pPr>
                    <w:autoSpaceDE w:val="0"/>
                    <w:autoSpaceDN w:val="0"/>
                    <w:adjustRightInd w:val="0"/>
                    <w:snapToGrid w:val="0"/>
                    <w:jc w:val="center"/>
                    <w:rPr>
                      <w:b/>
                      <w:bCs/>
                      <w:color w:val="auto"/>
                      <w:kern w:val="0"/>
                      <w:sz w:val="18"/>
                      <w:szCs w:val="18"/>
                    </w:rPr>
                  </w:pPr>
                  <w:r>
                    <w:rPr>
                      <w:b/>
                      <w:bCs/>
                      <w:color w:val="auto"/>
                      <w:kern w:val="0"/>
                      <w:sz w:val="18"/>
                      <w:szCs w:val="18"/>
                    </w:rPr>
                    <w:t>污染物种类</w:t>
                  </w:r>
                </w:p>
              </w:tc>
              <w:tc>
                <w:tcPr>
                  <w:tcW w:w="559" w:type="pct"/>
                  <w:vAlign w:val="center"/>
                </w:tcPr>
                <w:p w14:paraId="3A84FFD5">
                  <w:pPr>
                    <w:autoSpaceDE w:val="0"/>
                    <w:autoSpaceDN w:val="0"/>
                    <w:adjustRightInd w:val="0"/>
                    <w:snapToGrid w:val="0"/>
                    <w:jc w:val="center"/>
                    <w:rPr>
                      <w:b/>
                      <w:bCs/>
                      <w:color w:val="auto"/>
                      <w:kern w:val="0"/>
                      <w:sz w:val="18"/>
                      <w:szCs w:val="18"/>
                    </w:rPr>
                  </w:pPr>
                  <w:r>
                    <w:rPr>
                      <w:b/>
                      <w:bCs/>
                      <w:color w:val="auto"/>
                      <w:kern w:val="0"/>
                      <w:sz w:val="18"/>
                      <w:szCs w:val="18"/>
                    </w:rPr>
                    <w:t>浓度限值（mg/L）</w:t>
                  </w:r>
                </w:p>
              </w:tc>
            </w:tr>
            <w:tr w14:paraId="3A84FFE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466" w:type="pct"/>
                  <w:vMerge w:val="restart"/>
                  <w:vAlign w:val="center"/>
                </w:tcPr>
                <w:p w14:paraId="3A84FFD7">
                  <w:pPr>
                    <w:autoSpaceDE w:val="0"/>
                    <w:autoSpaceDN w:val="0"/>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DW001</w:t>
                  </w:r>
                </w:p>
              </w:tc>
              <w:tc>
                <w:tcPr>
                  <w:tcW w:w="457" w:type="pct"/>
                  <w:vMerge w:val="restart"/>
                  <w:vAlign w:val="center"/>
                </w:tcPr>
                <w:p w14:paraId="3A84FFD8">
                  <w:pPr>
                    <w:adjustRightInd w:val="0"/>
                    <w:snapToGrid w:val="0"/>
                    <w:jc w:val="center"/>
                    <w:rPr>
                      <w:color w:val="auto"/>
                      <w:kern w:val="0"/>
                      <w:sz w:val="18"/>
                      <w:szCs w:val="18"/>
                    </w:rPr>
                  </w:pPr>
                  <w:r>
                    <w:rPr>
                      <w:rFonts w:hint="eastAsia"/>
                      <w:color w:val="auto"/>
                      <w:kern w:val="0"/>
                      <w:sz w:val="18"/>
                      <w:szCs w:val="18"/>
                    </w:rPr>
                    <w:t>119.35233593</w:t>
                  </w:r>
                </w:p>
              </w:tc>
              <w:tc>
                <w:tcPr>
                  <w:tcW w:w="457" w:type="pct"/>
                  <w:vMerge w:val="restart"/>
                  <w:vAlign w:val="center"/>
                </w:tcPr>
                <w:p w14:paraId="3A84FFD9">
                  <w:pPr>
                    <w:adjustRightInd w:val="0"/>
                    <w:snapToGrid w:val="0"/>
                    <w:jc w:val="center"/>
                    <w:rPr>
                      <w:color w:val="auto"/>
                      <w:kern w:val="0"/>
                      <w:sz w:val="18"/>
                      <w:szCs w:val="18"/>
                    </w:rPr>
                  </w:pPr>
                  <w:r>
                    <w:rPr>
                      <w:rFonts w:hint="eastAsia"/>
                      <w:color w:val="auto"/>
                      <w:kern w:val="0"/>
                      <w:sz w:val="18"/>
                      <w:szCs w:val="18"/>
                    </w:rPr>
                    <w:t>31.69683422</w:t>
                  </w:r>
                </w:p>
              </w:tc>
              <w:tc>
                <w:tcPr>
                  <w:tcW w:w="571" w:type="pct"/>
                  <w:vMerge w:val="restart"/>
                  <w:vAlign w:val="center"/>
                </w:tcPr>
                <w:p w14:paraId="3A84FFDA">
                  <w:pPr>
                    <w:autoSpaceDE w:val="0"/>
                    <w:autoSpaceDN w:val="0"/>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896</w:t>
                  </w:r>
                </w:p>
              </w:tc>
              <w:tc>
                <w:tcPr>
                  <w:tcW w:w="537" w:type="pct"/>
                  <w:vMerge w:val="restart"/>
                  <w:vAlign w:val="center"/>
                </w:tcPr>
                <w:p w14:paraId="3A84FFDB">
                  <w:pPr>
                    <w:autoSpaceDE w:val="0"/>
                    <w:autoSpaceDN w:val="0"/>
                    <w:adjustRightInd w:val="0"/>
                    <w:snapToGrid w:val="0"/>
                    <w:jc w:val="center"/>
                    <w:rPr>
                      <w:color w:val="auto"/>
                      <w:kern w:val="0"/>
                      <w:sz w:val="18"/>
                      <w:szCs w:val="18"/>
                    </w:rPr>
                  </w:pPr>
                  <w:r>
                    <w:rPr>
                      <w:rFonts w:hint="eastAsia"/>
                      <w:color w:val="auto"/>
                      <w:kern w:val="0"/>
                      <w:sz w:val="18"/>
                      <w:szCs w:val="18"/>
                    </w:rPr>
                    <w:t>进入常州市金坛区茅东污水处理厂</w:t>
                  </w:r>
                </w:p>
              </w:tc>
              <w:tc>
                <w:tcPr>
                  <w:tcW w:w="656" w:type="pct"/>
                  <w:vMerge w:val="restart"/>
                  <w:vAlign w:val="center"/>
                </w:tcPr>
                <w:p w14:paraId="3A84FFDC">
                  <w:pPr>
                    <w:autoSpaceDE w:val="0"/>
                    <w:autoSpaceDN w:val="0"/>
                    <w:adjustRightInd w:val="0"/>
                    <w:snapToGrid w:val="0"/>
                    <w:jc w:val="center"/>
                    <w:rPr>
                      <w:color w:val="auto"/>
                      <w:kern w:val="0"/>
                      <w:sz w:val="18"/>
                      <w:szCs w:val="18"/>
                    </w:rPr>
                  </w:pPr>
                  <w:r>
                    <w:rPr>
                      <w:color w:val="auto"/>
                      <w:kern w:val="0"/>
                      <w:sz w:val="18"/>
                      <w:szCs w:val="18"/>
                    </w:rPr>
                    <w:t>间断排放，排放期间流量不稳定且无规律，但不属于冲击型排放</w:t>
                  </w:r>
                </w:p>
              </w:tc>
              <w:tc>
                <w:tcPr>
                  <w:tcW w:w="443" w:type="pct"/>
                  <w:vMerge w:val="restart"/>
                  <w:vAlign w:val="center"/>
                </w:tcPr>
                <w:p w14:paraId="3A84FFDD">
                  <w:pPr>
                    <w:autoSpaceDE w:val="0"/>
                    <w:autoSpaceDN w:val="0"/>
                    <w:adjustRightInd w:val="0"/>
                    <w:snapToGrid w:val="0"/>
                    <w:jc w:val="center"/>
                    <w:rPr>
                      <w:color w:val="auto"/>
                      <w:kern w:val="0"/>
                      <w:sz w:val="18"/>
                      <w:szCs w:val="18"/>
                    </w:rPr>
                  </w:pPr>
                  <w:r>
                    <w:rPr>
                      <w:rFonts w:hint="eastAsia"/>
                      <w:color w:val="auto"/>
                      <w:kern w:val="0"/>
                      <w:sz w:val="18"/>
                      <w:szCs w:val="18"/>
                    </w:rPr>
                    <w:t>0:00~24:00</w:t>
                  </w:r>
                </w:p>
              </w:tc>
              <w:tc>
                <w:tcPr>
                  <w:tcW w:w="440" w:type="pct"/>
                  <w:vMerge w:val="restart"/>
                  <w:vAlign w:val="center"/>
                </w:tcPr>
                <w:p w14:paraId="3A84FFDE">
                  <w:pPr>
                    <w:autoSpaceDE w:val="0"/>
                    <w:autoSpaceDN w:val="0"/>
                    <w:adjustRightInd w:val="0"/>
                    <w:snapToGrid w:val="0"/>
                    <w:jc w:val="center"/>
                    <w:rPr>
                      <w:color w:val="auto"/>
                      <w:kern w:val="0"/>
                      <w:sz w:val="18"/>
                      <w:szCs w:val="18"/>
                    </w:rPr>
                  </w:pPr>
                  <w:r>
                    <w:rPr>
                      <w:rFonts w:hint="eastAsia"/>
                      <w:color w:val="auto"/>
                      <w:kern w:val="0"/>
                      <w:sz w:val="18"/>
                      <w:szCs w:val="18"/>
                    </w:rPr>
                    <w:t>常州市金坛区茅东污水处理厂</w:t>
                  </w:r>
                </w:p>
              </w:tc>
              <w:tc>
                <w:tcPr>
                  <w:tcW w:w="409" w:type="pct"/>
                  <w:vAlign w:val="center"/>
                </w:tcPr>
                <w:p w14:paraId="3A84FFDF">
                  <w:pPr>
                    <w:adjustRightInd w:val="0"/>
                    <w:snapToGrid w:val="0"/>
                    <w:jc w:val="center"/>
                    <w:rPr>
                      <w:color w:val="auto"/>
                      <w:kern w:val="0"/>
                      <w:sz w:val="18"/>
                      <w:szCs w:val="18"/>
                    </w:rPr>
                  </w:pPr>
                  <w:r>
                    <w:rPr>
                      <w:color w:val="auto"/>
                      <w:kern w:val="0"/>
                      <w:sz w:val="18"/>
                      <w:szCs w:val="18"/>
                    </w:rPr>
                    <w:t>COD</w:t>
                  </w:r>
                </w:p>
              </w:tc>
              <w:tc>
                <w:tcPr>
                  <w:tcW w:w="559" w:type="pct"/>
                  <w:vAlign w:val="center"/>
                </w:tcPr>
                <w:p w14:paraId="3A84FFE0">
                  <w:pPr>
                    <w:adjustRightInd w:val="0"/>
                    <w:snapToGrid w:val="0"/>
                    <w:jc w:val="center"/>
                    <w:rPr>
                      <w:color w:val="auto"/>
                      <w:kern w:val="0"/>
                      <w:sz w:val="18"/>
                      <w:szCs w:val="18"/>
                    </w:rPr>
                  </w:pPr>
                  <w:r>
                    <w:rPr>
                      <w:rFonts w:hint="eastAsia"/>
                      <w:color w:val="auto"/>
                      <w:kern w:val="0"/>
                      <w:sz w:val="18"/>
                      <w:szCs w:val="18"/>
                    </w:rPr>
                    <w:t>50</w:t>
                  </w:r>
                </w:p>
              </w:tc>
            </w:tr>
            <w:tr w14:paraId="3A84FF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48" w:hRule="atLeast"/>
                <w:jc w:val="center"/>
              </w:trPr>
              <w:tc>
                <w:tcPr>
                  <w:tcW w:w="466" w:type="pct"/>
                  <w:vMerge w:val="continue"/>
                  <w:vAlign w:val="center"/>
                </w:tcPr>
                <w:p w14:paraId="3A84FFE2">
                  <w:pPr>
                    <w:widowControl/>
                    <w:adjustRightInd w:val="0"/>
                    <w:snapToGrid w:val="0"/>
                    <w:jc w:val="center"/>
                    <w:rPr>
                      <w:color w:val="auto"/>
                      <w:kern w:val="0"/>
                      <w:sz w:val="18"/>
                      <w:szCs w:val="18"/>
                    </w:rPr>
                  </w:pPr>
                </w:p>
              </w:tc>
              <w:tc>
                <w:tcPr>
                  <w:tcW w:w="457" w:type="pct"/>
                  <w:vMerge w:val="continue"/>
                  <w:vAlign w:val="center"/>
                </w:tcPr>
                <w:p w14:paraId="3A84FFE3">
                  <w:pPr>
                    <w:widowControl/>
                    <w:adjustRightInd w:val="0"/>
                    <w:snapToGrid w:val="0"/>
                    <w:jc w:val="center"/>
                    <w:rPr>
                      <w:color w:val="auto"/>
                      <w:kern w:val="0"/>
                      <w:sz w:val="18"/>
                      <w:szCs w:val="18"/>
                    </w:rPr>
                  </w:pPr>
                </w:p>
              </w:tc>
              <w:tc>
                <w:tcPr>
                  <w:tcW w:w="457" w:type="pct"/>
                  <w:vMerge w:val="continue"/>
                  <w:vAlign w:val="center"/>
                </w:tcPr>
                <w:p w14:paraId="3A84FFE4">
                  <w:pPr>
                    <w:widowControl/>
                    <w:adjustRightInd w:val="0"/>
                    <w:snapToGrid w:val="0"/>
                    <w:jc w:val="center"/>
                    <w:rPr>
                      <w:color w:val="auto"/>
                      <w:kern w:val="0"/>
                      <w:sz w:val="18"/>
                      <w:szCs w:val="18"/>
                    </w:rPr>
                  </w:pPr>
                </w:p>
              </w:tc>
              <w:tc>
                <w:tcPr>
                  <w:tcW w:w="571" w:type="pct"/>
                  <w:vMerge w:val="continue"/>
                  <w:vAlign w:val="center"/>
                </w:tcPr>
                <w:p w14:paraId="3A84FFE5">
                  <w:pPr>
                    <w:widowControl/>
                    <w:adjustRightInd w:val="0"/>
                    <w:snapToGrid w:val="0"/>
                    <w:jc w:val="center"/>
                    <w:rPr>
                      <w:color w:val="auto"/>
                      <w:kern w:val="0"/>
                      <w:sz w:val="18"/>
                      <w:szCs w:val="18"/>
                    </w:rPr>
                  </w:pPr>
                </w:p>
              </w:tc>
              <w:tc>
                <w:tcPr>
                  <w:tcW w:w="537" w:type="pct"/>
                  <w:vMerge w:val="continue"/>
                  <w:vAlign w:val="center"/>
                </w:tcPr>
                <w:p w14:paraId="3A84FFE6">
                  <w:pPr>
                    <w:widowControl/>
                    <w:adjustRightInd w:val="0"/>
                    <w:snapToGrid w:val="0"/>
                    <w:jc w:val="center"/>
                    <w:rPr>
                      <w:color w:val="auto"/>
                      <w:kern w:val="0"/>
                      <w:sz w:val="18"/>
                      <w:szCs w:val="18"/>
                    </w:rPr>
                  </w:pPr>
                </w:p>
              </w:tc>
              <w:tc>
                <w:tcPr>
                  <w:tcW w:w="656" w:type="pct"/>
                  <w:vMerge w:val="continue"/>
                  <w:vAlign w:val="center"/>
                </w:tcPr>
                <w:p w14:paraId="3A84FFE7">
                  <w:pPr>
                    <w:widowControl/>
                    <w:adjustRightInd w:val="0"/>
                    <w:snapToGrid w:val="0"/>
                    <w:jc w:val="center"/>
                    <w:rPr>
                      <w:color w:val="auto"/>
                      <w:kern w:val="0"/>
                      <w:sz w:val="18"/>
                      <w:szCs w:val="18"/>
                    </w:rPr>
                  </w:pPr>
                </w:p>
              </w:tc>
              <w:tc>
                <w:tcPr>
                  <w:tcW w:w="443" w:type="pct"/>
                  <w:vMerge w:val="continue"/>
                  <w:vAlign w:val="center"/>
                </w:tcPr>
                <w:p w14:paraId="3A84FFE8">
                  <w:pPr>
                    <w:widowControl/>
                    <w:adjustRightInd w:val="0"/>
                    <w:snapToGrid w:val="0"/>
                    <w:jc w:val="center"/>
                    <w:rPr>
                      <w:color w:val="auto"/>
                      <w:kern w:val="0"/>
                      <w:sz w:val="18"/>
                      <w:szCs w:val="18"/>
                    </w:rPr>
                  </w:pPr>
                </w:p>
              </w:tc>
              <w:tc>
                <w:tcPr>
                  <w:tcW w:w="440" w:type="pct"/>
                  <w:vMerge w:val="continue"/>
                  <w:vAlign w:val="center"/>
                </w:tcPr>
                <w:p w14:paraId="3A84FFE9">
                  <w:pPr>
                    <w:widowControl/>
                    <w:adjustRightInd w:val="0"/>
                    <w:snapToGrid w:val="0"/>
                    <w:jc w:val="center"/>
                    <w:rPr>
                      <w:color w:val="auto"/>
                      <w:kern w:val="0"/>
                      <w:sz w:val="18"/>
                      <w:szCs w:val="18"/>
                    </w:rPr>
                  </w:pPr>
                </w:p>
              </w:tc>
              <w:tc>
                <w:tcPr>
                  <w:tcW w:w="409" w:type="pct"/>
                  <w:vAlign w:val="center"/>
                </w:tcPr>
                <w:p w14:paraId="3A84FFEA">
                  <w:pPr>
                    <w:adjustRightInd w:val="0"/>
                    <w:snapToGrid w:val="0"/>
                    <w:jc w:val="center"/>
                    <w:rPr>
                      <w:color w:val="auto"/>
                      <w:kern w:val="0"/>
                      <w:sz w:val="18"/>
                      <w:szCs w:val="18"/>
                    </w:rPr>
                  </w:pPr>
                  <w:r>
                    <w:rPr>
                      <w:color w:val="auto"/>
                      <w:kern w:val="0"/>
                      <w:sz w:val="18"/>
                      <w:szCs w:val="18"/>
                    </w:rPr>
                    <w:t>SS</w:t>
                  </w:r>
                </w:p>
              </w:tc>
              <w:tc>
                <w:tcPr>
                  <w:tcW w:w="559" w:type="pct"/>
                  <w:vAlign w:val="center"/>
                </w:tcPr>
                <w:p w14:paraId="3A84FFEB">
                  <w:pPr>
                    <w:adjustRightInd w:val="0"/>
                    <w:snapToGrid w:val="0"/>
                    <w:jc w:val="center"/>
                    <w:rPr>
                      <w:color w:val="auto"/>
                      <w:kern w:val="0"/>
                      <w:sz w:val="18"/>
                      <w:szCs w:val="18"/>
                    </w:rPr>
                  </w:pPr>
                  <w:r>
                    <w:rPr>
                      <w:color w:val="auto"/>
                      <w:kern w:val="0"/>
                      <w:sz w:val="18"/>
                      <w:szCs w:val="18"/>
                    </w:rPr>
                    <w:t>10</w:t>
                  </w:r>
                </w:p>
              </w:tc>
            </w:tr>
            <w:tr w14:paraId="3A84FFF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58" w:hRule="atLeast"/>
                <w:jc w:val="center"/>
              </w:trPr>
              <w:tc>
                <w:tcPr>
                  <w:tcW w:w="466" w:type="pct"/>
                  <w:vMerge w:val="continue"/>
                  <w:vAlign w:val="center"/>
                </w:tcPr>
                <w:p w14:paraId="3A84FFED">
                  <w:pPr>
                    <w:widowControl/>
                    <w:adjustRightInd w:val="0"/>
                    <w:snapToGrid w:val="0"/>
                    <w:jc w:val="center"/>
                    <w:rPr>
                      <w:color w:val="auto"/>
                      <w:kern w:val="0"/>
                      <w:sz w:val="18"/>
                      <w:szCs w:val="18"/>
                    </w:rPr>
                  </w:pPr>
                </w:p>
              </w:tc>
              <w:tc>
                <w:tcPr>
                  <w:tcW w:w="457" w:type="pct"/>
                  <w:vMerge w:val="continue"/>
                  <w:vAlign w:val="center"/>
                </w:tcPr>
                <w:p w14:paraId="3A84FFEE">
                  <w:pPr>
                    <w:widowControl/>
                    <w:adjustRightInd w:val="0"/>
                    <w:snapToGrid w:val="0"/>
                    <w:jc w:val="center"/>
                    <w:rPr>
                      <w:color w:val="auto"/>
                      <w:kern w:val="0"/>
                      <w:sz w:val="18"/>
                      <w:szCs w:val="18"/>
                    </w:rPr>
                  </w:pPr>
                </w:p>
              </w:tc>
              <w:tc>
                <w:tcPr>
                  <w:tcW w:w="457" w:type="pct"/>
                  <w:vMerge w:val="continue"/>
                  <w:vAlign w:val="center"/>
                </w:tcPr>
                <w:p w14:paraId="3A84FFEF">
                  <w:pPr>
                    <w:widowControl/>
                    <w:adjustRightInd w:val="0"/>
                    <w:snapToGrid w:val="0"/>
                    <w:jc w:val="center"/>
                    <w:rPr>
                      <w:color w:val="auto"/>
                      <w:kern w:val="0"/>
                      <w:sz w:val="18"/>
                      <w:szCs w:val="18"/>
                    </w:rPr>
                  </w:pPr>
                </w:p>
              </w:tc>
              <w:tc>
                <w:tcPr>
                  <w:tcW w:w="571" w:type="pct"/>
                  <w:vMerge w:val="continue"/>
                  <w:vAlign w:val="center"/>
                </w:tcPr>
                <w:p w14:paraId="3A84FFF0">
                  <w:pPr>
                    <w:widowControl/>
                    <w:adjustRightInd w:val="0"/>
                    <w:snapToGrid w:val="0"/>
                    <w:jc w:val="center"/>
                    <w:rPr>
                      <w:color w:val="auto"/>
                      <w:kern w:val="0"/>
                      <w:sz w:val="18"/>
                      <w:szCs w:val="18"/>
                    </w:rPr>
                  </w:pPr>
                </w:p>
              </w:tc>
              <w:tc>
                <w:tcPr>
                  <w:tcW w:w="537" w:type="pct"/>
                  <w:vMerge w:val="continue"/>
                  <w:vAlign w:val="center"/>
                </w:tcPr>
                <w:p w14:paraId="3A84FFF1">
                  <w:pPr>
                    <w:widowControl/>
                    <w:adjustRightInd w:val="0"/>
                    <w:snapToGrid w:val="0"/>
                    <w:jc w:val="center"/>
                    <w:rPr>
                      <w:color w:val="auto"/>
                      <w:kern w:val="0"/>
                      <w:sz w:val="18"/>
                      <w:szCs w:val="18"/>
                    </w:rPr>
                  </w:pPr>
                </w:p>
              </w:tc>
              <w:tc>
                <w:tcPr>
                  <w:tcW w:w="656" w:type="pct"/>
                  <w:vMerge w:val="continue"/>
                  <w:vAlign w:val="center"/>
                </w:tcPr>
                <w:p w14:paraId="3A84FFF2">
                  <w:pPr>
                    <w:widowControl/>
                    <w:adjustRightInd w:val="0"/>
                    <w:snapToGrid w:val="0"/>
                    <w:jc w:val="center"/>
                    <w:rPr>
                      <w:color w:val="auto"/>
                      <w:kern w:val="0"/>
                      <w:sz w:val="18"/>
                      <w:szCs w:val="18"/>
                    </w:rPr>
                  </w:pPr>
                </w:p>
              </w:tc>
              <w:tc>
                <w:tcPr>
                  <w:tcW w:w="443" w:type="pct"/>
                  <w:vMerge w:val="continue"/>
                  <w:vAlign w:val="center"/>
                </w:tcPr>
                <w:p w14:paraId="3A84FFF3">
                  <w:pPr>
                    <w:widowControl/>
                    <w:adjustRightInd w:val="0"/>
                    <w:snapToGrid w:val="0"/>
                    <w:jc w:val="center"/>
                    <w:rPr>
                      <w:color w:val="auto"/>
                      <w:kern w:val="0"/>
                      <w:sz w:val="18"/>
                      <w:szCs w:val="18"/>
                    </w:rPr>
                  </w:pPr>
                </w:p>
              </w:tc>
              <w:tc>
                <w:tcPr>
                  <w:tcW w:w="440" w:type="pct"/>
                  <w:vMerge w:val="continue"/>
                  <w:vAlign w:val="center"/>
                </w:tcPr>
                <w:p w14:paraId="3A84FFF4">
                  <w:pPr>
                    <w:widowControl/>
                    <w:adjustRightInd w:val="0"/>
                    <w:snapToGrid w:val="0"/>
                    <w:jc w:val="center"/>
                    <w:rPr>
                      <w:color w:val="auto"/>
                      <w:kern w:val="0"/>
                      <w:sz w:val="18"/>
                      <w:szCs w:val="18"/>
                    </w:rPr>
                  </w:pPr>
                </w:p>
              </w:tc>
              <w:tc>
                <w:tcPr>
                  <w:tcW w:w="409" w:type="pct"/>
                  <w:vAlign w:val="center"/>
                </w:tcPr>
                <w:p w14:paraId="3A84FFF5">
                  <w:pPr>
                    <w:adjustRightInd w:val="0"/>
                    <w:snapToGrid w:val="0"/>
                    <w:jc w:val="center"/>
                    <w:rPr>
                      <w:color w:val="auto"/>
                      <w:kern w:val="0"/>
                      <w:sz w:val="18"/>
                      <w:szCs w:val="18"/>
                    </w:rPr>
                  </w:pPr>
                  <w:r>
                    <w:rPr>
                      <w:color w:val="auto"/>
                      <w:kern w:val="0"/>
                      <w:sz w:val="18"/>
                      <w:szCs w:val="18"/>
                    </w:rPr>
                    <w:t>NH</w:t>
                  </w:r>
                  <w:r>
                    <w:rPr>
                      <w:color w:val="auto"/>
                      <w:kern w:val="0"/>
                      <w:sz w:val="18"/>
                      <w:szCs w:val="18"/>
                      <w:vertAlign w:val="subscript"/>
                    </w:rPr>
                    <w:t>3</w:t>
                  </w:r>
                  <w:r>
                    <w:rPr>
                      <w:color w:val="auto"/>
                      <w:kern w:val="0"/>
                      <w:sz w:val="18"/>
                      <w:szCs w:val="18"/>
                    </w:rPr>
                    <w:t>-N</w:t>
                  </w:r>
                </w:p>
              </w:tc>
              <w:tc>
                <w:tcPr>
                  <w:tcW w:w="559" w:type="pct"/>
                  <w:vAlign w:val="center"/>
                </w:tcPr>
                <w:p w14:paraId="3A84FFF6">
                  <w:pPr>
                    <w:adjustRightInd w:val="0"/>
                    <w:snapToGrid w:val="0"/>
                    <w:jc w:val="center"/>
                    <w:rPr>
                      <w:color w:val="auto"/>
                      <w:kern w:val="0"/>
                      <w:sz w:val="18"/>
                      <w:szCs w:val="18"/>
                    </w:rPr>
                  </w:pPr>
                  <w:r>
                    <w:rPr>
                      <w:rFonts w:hint="eastAsia"/>
                      <w:color w:val="auto"/>
                      <w:kern w:val="0"/>
                      <w:sz w:val="18"/>
                      <w:szCs w:val="18"/>
                    </w:rPr>
                    <w:t>4</w:t>
                  </w:r>
                </w:p>
              </w:tc>
            </w:tr>
            <w:tr w14:paraId="3A8500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466" w:type="pct"/>
                  <w:vMerge w:val="continue"/>
                  <w:vAlign w:val="center"/>
                </w:tcPr>
                <w:p w14:paraId="3A84FFF8">
                  <w:pPr>
                    <w:widowControl/>
                    <w:adjustRightInd w:val="0"/>
                    <w:snapToGrid w:val="0"/>
                    <w:jc w:val="center"/>
                    <w:rPr>
                      <w:color w:val="auto"/>
                      <w:kern w:val="0"/>
                      <w:sz w:val="18"/>
                      <w:szCs w:val="18"/>
                    </w:rPr>
                  </w:pPr>
                </w:p>
              </w:tc>
              <w:tc>
                <w:tcPr>
                  <w:tcW w:w="457" w:type="pct"/>
                  <w:vMerge w:val="continue"/>
                  <w:vAlign w:val="center"/>
                </w:tcPr>
                <w:p w14:paraId="3A84FFF9">
                  <w:pPr>
                    <w:widowControl/>
                    <w:adjustRightInd w:val="0"/>
                    <w:snapToGrid w:val="0"/>
                    <w:jc w:val="center"/>
                    <w:rPr>
                      <w:color w:val="auto"/>
                      <w:kern w:val="0"/>
                      <w:sz w:val="18"/>
                      <w:szCs w:val="18"/>
                    </w:rPr>
                  </w:pPr>
                </w:p>
              </w:tc>
              <w:tc>
                <w:tcPr>
                  <w:tcW w:w="457" w:type="pct"/>
                  <w:vMerge w:val="continue"/>
                  <w:vAlign w:val="center"/>
                </w:tcPr>
                <w:p w14:paraId="3A84FFFA">
                  <w:pPr>
                    <w:widowControl/>
                    <w:adjustRightInd w:val="0"/>
                    <w:snapToGrid w:val="0"/>
                    <w:jc w:val="center"/>
                    <w:rPr>
                      <w:color w:val="auto"/>
                      <w:kern w:val="0"/>
                      <w:sz w:val="18"/>
                      <w:szCs w:val="18"/>
                    </w:rPr>
                  </w:pPr>
                </w:p>
              </w:tc>
              <w:tc>
                <w:tcPr>
                  <w:tcW w:w="571" w:type="pct"/>
                  <w:vMerge w:val="continue"/>
                  <w:vAlign w:val="center"/>
                </w:tcPr>
                <w:p w14:paraId="3A84FFFB">
                  <w:pPr>
                    <w:widowControl/>
                    <w:adjustRightInd w:val="0"/>
                    <w:snapToGrid w:val="0"/>
                    <w:jc w:val="center"/>
                    <w:rPr>
                      <w:color w:val="auto"/>
                      <w:kern w:val="0"/>
                      <w:sz w:val="18"/>
                      <w:szCs w:val="18"/>
                    </w:rPr>
                  </w:pPr>
                </w:p>
              </w:tc>
              <w:tc>
                <w:tcPr>
                  <w:tcW w:w="537" w:type="pct"/>
                  <w:vMerge w:val="continue"/>
                  <w:vAlign w:val="center"/>
                </w:tcPr>
                <w:p w14:paraId="3A84FFFC">
                  <w:pPr>
                    <w:widowControl/>
                    <w:adjustRightInd w:val="0"/>
                    <w:snapToGrid w:val="0"/>
                    <w:jc w:val="center"/>
                    <w:rPr>
                      <w:color w:val="auto"/>
                      <w:kern w:val="0"/>
                      <w:sz w:val="18"/>
                      <w:szCs w:val="18"/>
                    </w:rPr>
                  </w:pPr>
                </w:p>
              </w:tc>
              <w:tc>
                <w:tcPr>
                  <w:tcW w:w="656" w:type="pct"/>
                  <w:vMerge w:val="continue"/>
                  <w:vAlign w:val="center"/>
                </w:tcPr>
                <w:p w14:paraId="3A84FFFD">
                  <w:pPr>
                    <w:widowControl/>
                    <w:adjustRightInd w:val="0"/>
                    <w:snapToGrid w:val="0"/>
                    <w:jc w:val="center"/>
                    <w:rPr>
                      <w:color w:val="auto"/>
                      <w:kern w:val="0"/>
                      <w:sz w:val="18"/>
                      <w:szCs w:val="18"/>
                    </w:rPr>
                  </w:pPr>
                </w:p>
              </w:tc>
              <w:tc>
                <w:tcPr>
                  <w:tcW w:w="443" w:type="pct"/>
                  <w:vMerge w:val="continue"/>
                  <w:vAlign w:val="center"/>
                </w:tcPr>
                <w:p w14:paraId="3A84FFFE">
                  <w:pPr>
                    <w:widowControl/>
                    <w:adjustRightInd w:val="0"/>
                    <w:snapToGrid w:val="0"/>
                    <w:jc w:val="center"/>
                    <w:rPr>
                      <w:color w:val="auto"/>
                      <w:kern w:val="0"/>
                      <w:sz w:val="18"/>
                      <w:szCs w:val="18"/>
                    </w:rPr>
                  </w:pPr>
                </w:p>
              </w:tc>
              <w:tc>
                <w:tcPr>
                  <w:tcW w:w="440" w:type="pct"/>
                  <w:vMerge w:val="continue"/>
                  <w:vAlign w:val="center"/>
                </w:tcPr>
                <w:p w14:paraId="3A84FFFF">
                  <w:pPr>
                    <w:widowControl/>
                    <w:adjustRightInd w:val="0"/>
                    <w:snapToGrid w:val="0"/>
                    <w:jc w:val="center"/>
                    <w:rPr>
                      <w:color w:val="auto"/>
                      <w:kern w:val="0"/>
                      <w:sz w:val="18"/>
                      <w:szCs w:val="18"/>
                    </w:rPr>
                  </w:pPr>
                </w:p>
              </w:tc>
              <w:tc>
                <w:tcPr>
                  <w:tcW w:w="409" w:type="pct"/>
                  <w:vAlign w:val="center"/>
                </w:tcPr>
                <w:p w14:paraId="3A850000">
                  <w:pPr>
                    <w:adjustRightInd w:val="0"/>
                    <w:snapToGrid w:val="0"/>
                    <w:jc w:val="center"/>
                    <w:rPr>
                      <w:color w:val="auto"/>
                      <w:kern w:val="0"/>
                      <w:sz w:val="18"/>
                      <w:szCs w:val="18"/>
                    </w:rPr>
                  </w:pPr>
                  <w:r>
                    <w:rPr>
                      <w:color w:val="auto"/>
                      <w:kern w:val="0"/>
                      <w:sz w:val="18"/>
                      <w:szCs w:val="18"/>
                    </w:rPr>
                    <w:t>TP</w:t>
                  </w:r>
                </w:p>
              </w:tc>
              <w:tc>
                <w:tcPr>
                  <w:tcW w:w="559" w:type="pct"/>
                  <w:vAlign w:val="center"/>
                </w:tcPr>
                <w:p w14:paraId="3A850001">
                  <w:pPr>
                    <w:adjustRightInd w:val="0"/>
                    <w:snapToGrid w:val="0"/>
                    <w:jc w:val="center"/>
                    <w:rPr>
                      <w:color w:val="auto"/>
                      <w:kern w:val="0"/>
                      <w:sz w:val="18"/>
                      <w:szCs w:val="18"/>
                    </w:rPr>
                  </w:pPr>
                  <w:r>
                    <w:rPr>
                      <w:color w:val="auto"/>
                      <w:kern w:val="0"/>
                      <w:sz w:val="18"/>
                      <w:szCs w:val="18"/>
                    </w:rPr>
                    <w:t>0.</w:t>
                  </w:r>
                  <w:r>
                    <w:rPr>
                      <w:rFonts w:hint="eastAsia"/>
                      <w:color w:val="auto"/>
                      <w:kern w:val="0"/>
                      <w:sz w:val="18"/>
                      <w:szCs w:val="18"/>
                    </w:rPr>
                    <w:t>5</w:t>
                  </w:r>
                </w:p>
              </w:tc>
            </w:tr>
            <w:tr w14:paraId="3A85000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3" w:hRule="atLeast"/>
                <w:jc w:val="center"/>
              </w:trPr>
              <w:tc>
                <w:tcPr>
                  <w:tcW w:w="466" w:type="pct"/>
                  <w:vMerge w:val="continue"/>
                  <w:vAlign w:val="center"/>
                </w:tcPr>
                <w:p w14:paraId="3A850003">
                  <w:pPr>
                    <w:widowControl/>
                    <w:adjustRightInd w:val="0"/>
                    <w:snapToGrid w:val="0"/>
                    <w:jc w:val="center"/>
                    <w:rPr>
                      <w:color w:val="auto"/>
                      <w:kern w:val="0"/>
                      <w:sz w:val="18"/>
                      <w:szCs w:val="18"/>
                    </w:rPr>
                  </w:pPr>
                </w:p>
              </w:tc>
              <w:tc>
                <w:tcPr>
                  <w:tcW w:w="457" w:type="pct"/>
                  <w:vMerge w:val="continue"/>
                  <w:vAlign w:val="center"/>
                </w:tcPr>
                <w:p w14:paraId="3A850004">
                  <w:pPr>
                    <w:widowControl/>
                    <w:adjustRightInd w:val="0"/>
                    <w:snapToGrid w:val="0"/>
                    <w:jc w:val="center"/>
                    <w:rPr>
                      <w:color w:val="auto"/>
                      <w:kern w:val="0"/>
                      <w:sz w:val="18"/>
                      <w:szCs w:val="18"/>
                    </w:rPr>
                  </w:pPr>
                </w:p>
              </w:tc>
              <w:tc>
                <w:tcPr>
                  <w:tcW w:w="457" w:type="pct"/>
                  <w:vMerge w:val="continue"/>
                  <w:vAlign w:val="center"/>
                </w:tcPr>
                <w:p w14:paraId="3A850005">
                  <w:pPr>
                    <w:widowControl/>
                    <w:adjustRightInd w:val="0"/>
                    <w:snapToGrid w:val="0"/>
                    <w:jc w:val="center"/>
                    <w:rPr>
                      <w:color w:val="auto"/>
                      <w:kern w:val="0"/>
                      <w:sz w:val="18"/>
                      <w:szCs w:val="18"/>
                    </w:rPr>
                  </w:pPr>
                </w:p>
              </w:tc>
              <w:tc>
                <w:tcPr>
                  <w:tcW w:w="571" w:type="pct"/>
                  <w:vMerge w:val="continue"/>
                  <w:vAlign w:val="center"/>
                </w:tcPr>
                <w:p w14:paraId="3A850006">
                  <w:pPr>
                    <w:widowControl/>
                    <w:adjustRightInd w:val="0"/>
                    <w:snapToGrid w:val="0"/>
                    <w:jc w:val="center"/>
                    <w:rPr>
                      <w:color w:val="auto"/>
                      <w:kern w:val="0"/>
                      <w:sz w:val="18"/>
                      <w:szCs w:val="18"/>
                    </w:rPr>
                  </w:pPr>
                </w:p>
              </w:tc>
              <w:tc>
                <w:tcPr>
                  <w:tcW w:w="537" w:type="pct"/>
                  <w:vMerge w:val="continue"/>
                  <w:vAlign w:val="center"/>
                </w:tcPr>
                <w:p w14:paraId="3A850007">
                  <w:pPr>
                    <w:widowControl/>
                    <w:adjustRightInd w:val="0"/>
                    <w:snapToGrid w:val="0"/>
                    <w:jc w:val="center"/>
                    <w:rPr>
                      <w:color w:val="auto"/>
                      <w:kern w:val="0"/>
                      <w:sz w:val="18"/>
                      <w:szCs w:val="18"/>
                    </w:rPr>
                  </w:pPr>
                </w:p>
              </w:tc>
              <w:tc>
                <w:tcPr>
                  <w:tcW w:w="656" w:type="pct"/>
                  <w:vMerge w:val="continue"/>
                  <w:vAlign w:val="center"/>
                </w:tcPr>
                <w:p w14:paraId="3A850008">
                  <w:pPr>
                    <w:widowControl/>
                    <w:adjustRightInd w:val="0"/>
                    <w:snapToGrid w:val="0"/>
                    <w:jc w:val="center"/>
                    <w:rPr>
                      <w:color w:val="auto"/>
                      <w:kern w:val="0"/>
                      <w:sz w:val="18"/>
                      <w:szCs w:val="18"/>
                    </w:rPr>
                  </w:pPr>
                </w:p>
              </w:tc>
              <w:tc>
                <w:tcPr>
                  <w:tcW w:w="443" w:type="pct"/>
                  <w:vMerge w:val="continue"/>
                  <w:vAlign w:val="center"/>
                </w:tcPr>
                <w:p w14:paraId="3A850009">
                  <w:pPr>
                    <w:widowControl/>
                    <w:adjustRightInd w:val="0"/>
                    <w:snapToGrid w:val="0"/>
                    <w:jc w:val="center"/>
                    <w:rPr>
                      <w:color w:val="auto"/>
                      <w:kern w:val="0"/>
                      <w:sz w:val="18"/>
                      <w:szCs w:val="18"/>
                    </w:rPr>
                  </w:pPr>
                </w:p>
              </w:tc>
              <w:tc>
                <w:tcPr>
                  <w:tcW w:w="440" w:type="pct"/>
                  <w:vMerge w:val="continue"/>
                  <w:vAlign w:val="center"/>
                </w:tcPr>
                <w:p w14:paraId="3A85000A">
                  <w:pPr>
                    <w:widowControl/>
                    <w:adjustRightInd w:val="0"/>
                    <w:snapToGrid w:val="0"/>
                    <w:jc w:val="center"/>
                    <w:rPr>
                      <w:color w:val="auto"/>
                      <w:kern w:val="0"/>
                      <w:sz w:val="18"/>
                      <w:szCs w:val="18"/>
                    </w:rPr>
                  </w:pPr>
                </w:p>
              </w:tc>
              <w:tc>
                <w:tcPr>
                  <w:tcW w:w="409" w:type="pct"/>
                  <w:vAlign w:val="center"/>
                </w:tcPr>
                <w:p w14:paraId="3A85000B">
                  <w:pPr>
                    <w:adjustRightInd w:val="0"/>
                    <w:snapToGrid w:val="0"/>
                    <w:jc w:val="center"/>
                    <w:rPr>
                      <w:color w:val="auto"/>
                      <w:kern w:val="0"/>
                      <w:sz w:val="18"/>
                      <w:szCs w:val="18"/>
                    </w:rPr>
                  </w:pPr>
                  <w:r>
                    <w:rPr>
                      <w:color w:val="auto"/>
                      <w:kern w:val="0"/>
                      <w:sz w:val="18"/>
                      <w:szCs w:val="18"/>
                    </w:rPr>
                    <w:t>TN</w:t>
                  </w:r>
                </w:p>
              </w:tc>
              <w:tc>
                <w:tcPr>
                  <w:tcW w:w="559" w:type="pct"/>
                  <w:vAlign w:val="center"/>
                </w:tcPr>
                <w:p w14:paraId="3A85000C">
                  <w:pPr>
                    <w:adjustRightInd w:val="0"/>
                    <w:snapToGrid w:val="0"/>
                    <w:jc w:val="center"/>
                    <w:rPr>
                      <w:color w:val="auto"/>
                      <w:kern w:val="0"/>
                      <w:sz w:val="18"/>
                      <w:szCs w:val="18"/>
                    </w:rPr>
                  </w:pPr>
                  <w:r>
                    <w:rPr>
                      <w:rFonts w:hint="eastAsia"/>
                      <w:color w:val="auto"/>
                      <w:kern w:val="0"/>
                      <w:sz w:val="18"/>
                      <w:szCs w:val="18"/>
                    </w:rPr>
                    <w:t>12</w:t>
                  </w:r>
                </w:p>
              </w:tc>
            </w:tr>
          </w:tbl>
          <w:p w14:paraId="3A85000E">
            <w:pPr>
              <w:pStyle w:val="23"/>
              <w:ind w:firstLine="422" w:firstLineChars="200"/>
              <w:rPr>
                <w:b/>
                <w:bCs/>
                <w:color w:val="auto"/>
                <w:sz w:val="21"/>
                <w:szCs w:val="21"/>
              </w:rPr>
            </w:pPr>
            <w:r>
              <w:rPr>
                <w:b/>
                <w:bCs/>
                <w:color w:val="auto"/>
                <w:sz w:val="21"/>
                <w:szCs w:val="21"/>
              </w:rPr>
              <w:t>（3）接管可行性分析</w:t>
            </w:r>
          </w:p>
          <w:p w14:paraId="3A85000F">
            <w:pPr>
              <w:autoSpaceDE w:val="0"/>
              <w:autoSpaceDN w:val="0"/>
              <w:adjustRightInd w:val="0"/>
              <w:snapToGrid w:val="0"/>
              <w:spacing w:line="360" w:lineRule="auto"/>
              <w:ind w:firstLine="422" w:firstLineChars="200"/>
              <w:rPr>
                <w:b/>
                <w:bCs/>
                <w:color w:val="auto"/>
                <w:kern w:val="0"/>
                <w:sz w:val="21"/>
              </w:rPr>
            </w:pPr>
            <w:r>
              <w:rPr>
                <w:rFonts w:hint="eastAsia"/>
                <w:b/>
                <w:bCs/>
                <w:color w:val="auto"/>
                <w:kern w:val="0"/>
                <w:sz w:val="21"/>
              </w:rPr>
              <w:t>1）废水水质可行性分析</w:t>
            </w:r>
          </w:p>
          <w:p w14:paraId="3A850010">
            <w:pPr>
              <w:autoSpaceDE w:val="0"/>
              <w:autoSpaceDN w:val="0"/>
              <w:adjustRightInd w:val="0"/>
              <w:snapToGrid w:val="0"/>
              <w:spacing w:line="360" w:lineRule="auto"/>
              <w:ind w:firstLine="420" w:firstLineChars="200"/>
              <w:rPr>
                <w:color w:val="auto"/>
                <w:kern w:val="0"/>
                <w:sz w:val="21"/>
              </w:rPr>
            </w:pPr>
            <w:r>
              <w:rPr>
                <w:rFonts w:hint="eastAsia"/>
                <w:color w:val="auto"/>
                <w:kern w:val="0"/>
                <w:sz w:val="21"/>
              </w:rPr>
              <w:t>项目废水中主要含有COD、SS、NH</w:t>
            </w:r>
            <w:r>
              <w:rPr>
                <w:rFonts w:hint="eastAsia"/>
                <w:color w:val="auto"/>
                <w:kern w:val="0"/>
                <w:sz w:val="21"/>
                <w:vertAlign w:val="subscript"/>
              </w:rPr>
              <w:t>3</w:t>
            </w:r>
            <w:r>
              <w:rPr>
                <w:rFonts w:hint="eastAsia"/>
                <w:color w:val="auto"/>
                <w:kern w:val="0"/>
                <w:sz w:val="21"/>
              </w:rPr>
              <w:t>-N、TP、TN等常规指标，</w:t>
            </w:r>
            <w:r>
              <w:rPr>
                <w:color w:val="auto"/>
                <w:kern w:val="0"/>
                <w:sz w:val="21"/>
              </w:rPr>
              <w:t>接管</w:t>
            </w:r>
            <w:r>
              <w:rPr>
                <w:rFonts w:hint="eastAsia"/>
                <w:color w:val="auto"/>
                <w:kern w:val="0"/>
                <w:sz w:val="21"/>
              </w:rPr>
              <w:t>浓度为</w:t>
            </w:r>
            <w:r>
              <w:rPr>
                <w:color w:val="auto"/>
                <w:kern w:val="0"/>
                <w:sz w:val="21"/>
              </w:rPr>
              <w:t>COD</w:t>
            </w:r>
            <w:r>
              <w:rPr>
                <w:rFonts w:hint="eastAsia"/>
                <w:color w:val="auto"/>
                <w:kern w:val="0"/>
                <w:sz w:val="21"/>
              </w:rPr>
              <w:t xml:space="preserve"> </w:t>
            </w:r>
            <w:r>
              <w:rPr>
                <w:rFonts w:hint="eastAsia"/>
                <w:color w:val="auto"/>
                <w:kern w:val="0"/>
                <w:sz w:val="21"/>
                <w:lang w:val="en-US" w:eastAsia="zh-CN"/>
              </w:rPr>
              <w:t>300</w:t>
            </w:r>
            <w:r>
              <w:rPr>
                <w:color w:val="auto"/>
                <w:kern w:val="0"/>
                <w:sz w:val="21"/>
              </w:rPr>
              <w:t>mg/L、SS</w:t>
            </w:r>
            <w:r>
              <w:rPr>
                <w:rFonts w:hint="eastAsia"/>
                <w:color w:val="auto"/>
                <w:kern w:val="0"/>
                <w:sz w:val="21"/>
              </w:rPr>
              <w:t xml:space="preserve"> 2</w:t>
            </w:r>
            <w:r>
              <w:rPr>
                <w:rFonts w:hint="eastAsia"/>
                <w:color w:val="auto"/>
                <w:kern w:val="0"/>
                <w:sz w:val="21"/>
                <w:lang w:val="en-US" w:eastAsia="zh-CN"/>
              </w:rPr>
              <w:t>50</w:t>
            </w:r>
            <w:r>
              <w:rPr>
                <w:color w:val="auto"/>
                <w:kern w:val="0"/>
                <w:sz w:val="21"/>
              </w:rPr>
              <w:t>mg/L、</w:t>
            </w:r>
            <w:r>
              <w:rPr>
                <w:rFonts w:hint="eastAsia"/>
                <w:color w:val="auto"/>
                <w:kern w:val="0"/>
                <w:sz w:val="21"/>
              </w:rPr>
              <w:t>NH</w:t>
            </w:r>
            <w:r>
              <w:rPr>
                <w:rFonts w:hint="eastAsia"/>
                <w:color w:val="auto"/>
                <w:kern w:val="0"/>
                <w:sz w:val="21"/>
                <w:vertAlign w:val="subscript"/>
              </w:rPr>
              <w:t>3</w:t>
            </w:r>
            <w:r>
              <w:rPr>
                <w:rFonts w:hint="eastAsia"/>
                <w:color w:val="auto"/>
                <w:kern w:val="0"/>
                <w:sz w:val="21"/>
              </w:rPr>
              <w:t xml:space="preserve">-N </w:t>
            </w:r>
            <w:r>
              <w:rPr>
                <w:rFonts w:hint="eastAsia"/>
                <w:color w:val="auto"/>
                <w:kern w:val="0"/>
                <w:sz w:val="21"/>
                <w:lang w:val="en-US" w:eastAsia="zh-CN"/>
              </w:rPr>
              <w:t>25</w:t>
            </w:r>
            <w:r>
              <w:rPr>
                <w:color w:val="auto"/>
                <w:kern w:val="0"/>
                <w:sz w:val="21"/>
              </w:rPr>
              <w:t>mg/L、</w:t>
            </w:r>
            <w:r>
              <w:rPr>
                <w:rFonts w:hint="eastAsia"/>
                <w:color w:val="auto"/>
                <w:kern w:val="0"/>
                <w:sz w:val="21"/>
              </w:rPr>
              <w:t xml:space="preserve">TP </w:t>
            </w:r>
            <w:r>
              <w:rPr>
                <w:rFonts w:hint="eastAsia"/>
                <w:color w:val="auto"/>
                <w:kern w:val="0"/>
                <w:sz w:val="21"/>
                <w:lang w:val="en-US" w:eastAsia="zh-CN"/>
              </w:rPr>
              <w:t>4</w:t>
            </w:r>
            <w:r>
              <w:rPr>
                <w:color w:val="auto"/>
                <w:kern w:val="0"/>
                <w:sz w:val="21"/>
              </w:rPr>
              <w:t>mg/L、TN</w:t>
            </w:r>
            <w:r>
              <w:rPr>
                <w:rFonts w:hint="eastAsia"/>
                <w:color w:val="auto"/>
                <w:kern w:val="0"/>
                <w:sz w:val="21"/>
              </w:rPr>
              <w:t xml:space="preserve"> </w:t>
            </w:r>
            <w:r>
              <w:rPr>
                <w:rFonts w:hint="eastAsia"/>
                <w:color w:val="auto"/>
                <w:kern w:val="0"/>
                <w:sz w:val="21"/>
                <w:lang w:val="en-US" w:eastAsia="zh-CN"/>
              </w:rPr>
              <w:t>45</w:t>
            </w:r>
            <w:r>
              <w:rPr>
                <w:color w:val="auto"/>
                <w:kern w:val="0"/>
                <w:sz w:val="21"/>
              </w:rPr>
              <w:t>mg/L，均可达到接管标准，可生化性好，污水处理厂对</w:t>
            </w:r>
            <w:r>
              <w:rPr>
                <w:rFonts w:hint="eastAsia"/>
                <w:color w:val="auto"/>
                <w:kern w:val="0"/>
                <w:sz w:val="21"/>
              </w:rPr>
              <w:t>本项目</w:t>
            </w:r>
            <w:r>
              <w:rPr>
                <w:color w:val="auto"/>
                <w:kern w:val="0"/>
                <w:sz w:val="21"/>
              </w:rPr>
              <w:t>废水去除效果较好，能做到达标排放，目前项目所在地污水管网已经铺设到位。因此，从工程角度上，项目生活污水具备接管可行性。</w:t>
            </w:r>
          </w:p>
          <w:p w14:paraId="3A850011">
            <w:pPr>
              <w:adjustRightInd w:val="0"/>
              <w:snapToGrid w:val="0"/>
              <w:spacing w:line="360" w:lineRule="auto"/>
              <w:ind w:firstLine="422" w:firstLineChars="200"/>
              <w:rPr>
                <w:b/>
                <w:bCs/>
                <w:color w:val="auto"/>
                <w:kern w:val="0"/>
                <w:sz w:val="21"/>
              </w:rPr>
            </w:pPr>
            <w:r>
              <w:rPr>
                <w:rFonts w:hint="eastAsia"/>
                <w:b/>
                <w:bCs/>
                <w:color w:val="auto"/>
                <w:kern w:val="0"/>
                <w:sz w:val="21"/>
              </w:rPr>
              <w:t>2）</w:t>
            </w:r>
            <w:r>
              <w:rPr>
                <w:b/>
                <w:bCs/>
                <w:color w:val="auto"/>
                <w:kern w:val="0"/>
                <w:sz w:val="21"/>
              </w:rPr>
              <w:t>污水处理厂处理负荷可行性分析</w:t>
            </w:r>
          </w:p>
          <w:p w14:paraId="71371D8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sz w:val="21"/>
                <w:szCs w:val="21"/>
              </w:rPr>
            </w:pPr>
            <w:r>
              <w:rPr>
                <w:rFonts w:hint="eastAsia"/>
                <w:color w:val="auto"/>
                <w:kern w:val="0"/>
                <w:sz w:val="21"/>
                <w:szCs w:val="21"/>
              </w:rPr>
              <w:t>常州市金坛区茅东污水处理厂处理能力为0.5万t/d，据调查，目前污水处理厂实际接纳水量约为0.4万t/d（包括企业生活污水及镇区居民生活污水），尚有0.1万t/d的余量。</w:t>
            </w:r>
          </w:p>
          <w:p w14:paraId="0A9E8E73">
            <w:pPr>
              <w:pStyle w:val="2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2"/>
              <w:textAlignment w:val="auto"/>
              <w:rPr>
                <w:color w:val="auto"/>
                <w:kern w:val="0"/>
                <w:sz w:val="21"/>
                <w:szCs w:val="21"/>
              </w:rPr>
            </w:pPr>
            <w:r>
              <w:rPr>
                <w:rFonts w:hint="eastAsia"/>
                <w:color w:val="auto"/>
                <w:kern w:val="0"/>
                <w:sz w:val="21"/>
                <w:szCs w:val="21"/>
                <w:lang w:val="en-US" w:eastAsia="zh-CN"/>
              </w:rPr>
              <w:t>本项目</w:t>
            </w:r>
            <w:r>
              <w:rPr>
                <w:rFonts w:hint="eastAsia"/>
                <w:color w:val="auto"/>
                <w:kern w:val="0"/>
                <w:sz w:val="21"/>
                <w:szCs w:val="21"/>
              </w:rPr>
              <w:t>污水接管排放量约</w:t>
            </w:r>
            <w:r>
              <w:rPr>
                <w:rFonts w:hint="eastAsia"/>
                <w:color w:val="auto"/>
                <w:kern w:val="0"/>
                <w:sz w:val="21"/>
                <w:szCs w:val="21"/>
                <w:lang w:val="en-US" w:eastAsia="zh-CN"/>
              </w:rPr>
              <w:t>3.2</w:t>
            </w:r>
            <w:r>
              <w:rPr>
                <w:rFonts w:hint="eastAsia"/>
                <w:color w:val="auto"/>
                <w:kern w:val="0"/>
                <w:sz w:val="21"/>
                <w:szCs w:val="21"/>
              </w:rPr>
              <w:t>t/d，占常州市金坛区茅东污水处理厂剩余处理能力的0.</w:t>
            </w:r>
            <w:r>
              <w:rPr>
                <w:rFonts w:hint="eastAsia"/>
                <w:color w:val="auto"/>
                <w:kern w:val="0"/>
                <w:sz w:val="21"/>
                <w:szCs w:val="21"/>
                <w:lang w:val="en-US" w:eastAsia="zh-CN"/>
              </w:rPr>
              <w:t>32</w:t>
            </w:r>
            <w:r>
              <w:rPr>
                <w:rFonts w:hint="eastAsia"/>
                <w:color w:val="auto"/>
                <w:kern w:val="0"/>
                <w:sz w:val="21"/>
                <w:szCs w:val="21"/>
              </w:rPr>
              <w:t>%</w:t>
            </w:r>
            <w:r>
              <w:rPr>
                <w:color w:val="auto"/>
                <w:kern w:val="0"/>
                <w:sz w:val="21"/>
                <w:szCs w:val="21"/>
              </w:rPr>
              <w:t>。因此，从水量分析，</w:t>
            </w:r>
            <w:r>
              <w:rPr>
                <w:rFonts w:hint="eastAsia"/>
                <w:color w:val="auto"/>
                <w:kern w:val="0"/>
                <w:sz w:val="21"/>
                <w:szCs w:val="21"/>
              </w:rPr>
              <w:t>常州市金坛区茅东污水处理厂</w:t>
            </w:r>
            <w:r>
              <w:rPr>
                <w:color w:val="auto"/>
                <w:kern w:val="0"/>
                <w:sz w:val="21"/>
                <w:szCs w:val="21"/>
              </w:rPr>
              <w:t>接纳</w:t>
            </w:r>
            <w:r>
              <w:rPr>
                <w:rFonts w:hint="eastAsia"/>
                <w:color w:val="auto"/>
                <w:kern w:val="0"/>
                <w:sz w:val="21"/>
                <w:szCs w:val="21"/>
                <w:lang w:val="en-US" w:eastAsia="zh-CN"/>
              </w:rPr>
              <w:t>本项目</w:t>
            </w:r>
            <w:r>
              <w:rPr>
                <w:color w:val="auto"/>
                <w:kern w:val="0"/>
                <w:sz w:val="21"/>
                <w:szCs w:val="21"/>
              </w:rPr>
              <w:t>废水是可行的。</w:t>
            </w:r>
          </w:p>
          <w:p w14:paraId="3A850014">
            <w:pPr>
              <w:pStyle w:val="27"/>
              <w:spacing w:line="360" w:lineRule="auto"/>
              <w:ind w:left="0" w:leftChars="0" w:right="0" w:rightChars="0" w:firstLine="422"/>
              <w:rPr>
                <w:b/>
                <w:bCs/>
                <w:color w:val="auto"/>
                <w:kern w:val="0"/>
                <w:sz w:val="21"/>
              </w:rPr>
            </w:pPr>
            <w:r>
              <w:rPr>
                <w:rFonts w:hint="eastAsia"/>
                <w:b/>
                <w:bCs/>
                <w:color w:val="auto"/>
                <w:kern w:val="0"/>
                <w:sz w:val="21"/>
              </w:rPr>
              <w:t>3）</w:t>
            </w:r>
            <w:r>
              <w:rPr>
                <w:b/>
                <w:bCs/>
                <w:color w:val="auto"/>
                <w:kern w:val="0"/>
                <w:sz w:val="21"/>
              </w:rPr>
              <w:t>污水处理厂处理工艺可行性分析</w:t>
            </w:r>
          </w:p>
          <w:p w14:paraId="6C2F620E">
            <w:pPr>
              <w:pStyle w:val="27"/>
              <w:spacing w:line="360" w:lineRule="auto"/>
              <w:ind w:left="0" w:leftChars="0" w:right="0" w:rightChars="0" w:firstLine="48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常州市金坛区茅东污水处理厂</w:t>
            </w:r>
            <w:r>
              <w:rPr>
                <w:rFonts w:hint="default" w:ascii="Times New Roman" w:hAnsi="Times New Roman" w:eastAsia="宋体" w:cs="Times New Roman"/>
                <w:color w:val="auto"/>
                <w:sz w:val="21"/>
                <w:szCs w:val="21"/>
              </w:rPr>
              <w:t>采用A</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O工艺，把除磷、脱氮和降解有机物三个生化过程结合起来，在厌氧段和缺氧段为除磷和脱氮提供各自不同的反应条件。污水处理厂尾水执行《城镇污水处理厂污染物排放标准》（GB18918-2002）一级A标准及《太湖地区城镇污水处理厂及重点工业行业重要水污染物排放限值》（DB32/1072-2018）标准，排入</w:t>
            </w:r>
            <w:r>
              <w:rPr>
                <w:rFonts w:hint="eastAsia" w:ascii="Times New Roman" w:hAnsi="Times New Roman" w:eastAsia="宋体" w:cs="Times New Roman"/>
                <w:color w:val="auto"/>
                <w:sz w:val="21"/>
                <w:szCs w:val="21"/>
                <w:lang w:eastAsia="zh-CN"/>
              </w:rPr>
              <w:t>薛埠河</w:t>
            </w:r>
            <w:r>
              <w:rPr>
                <w:rFonts w:hint="default" w:ascii="Times New Roman" w:hAnsi="Times New Roman" w:eastAsia="宋体" w:cs="Times New Roman"/>
                <w:color w:val="auto"/>
                <w:sz w:val="21"/>
                <w:szCs w:val="21"/>
              </w:rPr>
              <w:t>。具体工艺流程见下图</w:t>
            </w:r>
            <w:r>
              <w:rPr>
                <w:rFonts w:hint="eastAsia" w:cs="Times New Roman"/>
                <w:color w:val="auto"/>
                <w:sz w:val="21"/>
                <w:szCs w:val="21"/>
                <w:lang w:eastAsia="zh-CN"/>
              </w:rPr>
              <w:t>：</w:t>
            </w:r>
          </w:p>
          <w:p w14:paraId="3A850016">
            <w:pPr>
              <w:adjustRightInd w:val="0"/>
              <w:snapToGrid w:val="0"/>
              <w:jc w:val="center"/>
              <w:rPr>
                <w:color w:val="auto"/>
                <w:kern w:val="0"/>
              </w:rPr>
            </w:pPr>
            <w:r>
              <w:rPr>
                <w:color w:val="auto"/>
              </w:rPr>
              <w:drawing>
                <wp:inline distT="0" distB="0" distL="114300" distR="114300">
                  <wp:extent cx="5134610" cy="2220595"/>
                  <wp:effectExtent l="9525" t="9525" r="18415" b="17780"/>
                  <wp:docPr id="1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2"/>
                          <pic:cNvPicPr>
                            <a:picLocks noChangeAspect="1"/>
                          </pic:cNvPicPr>
                        </pic:nvPicPr>
                        <pic:blipFill>
                          <a:blip r:embed="rId76"/>
                          <a:stretch>
                            <a:fillRect/>
                          </a:stretch>
                        </pic:blipFill>
                        <pic:spPr>
                          <a:xfrm>
                            <a:off x="0" y="0"/>
                            <a:ext cx="5134610" cy="222059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3A850017">
            <w:pPr>
              <w:snapToGrid w:val="0"/>
              <w:spacing w:line="360" w:lineRule="auto"/>
              <w:jc w:val="center"/>
              <w:rPr>
                <w:b/>
                <w:color w:val="auto"/>
                <w:kern w:val="0"/>
              </w:rPr>
            </w:pPr>
            <w:r>
              <w:rPr>
                <w:b/>
                <w:color w:val="auto"/>
                <w:kern w:val="0"/>
              </w:rPr>
              <w:t>图4-</w:t>
            </w:r>
            <w:r>
              <w:rPr>
                <w:rFonts w:hint="eastAsia"/>
                <w:b/>
                <w:color w:val="auto"/>
                <w:kern w:val="0"/>
              </w:rPr>
              <w:t xml:space="preserve">2   </w:t>
            </w:r>
            <w:r>
              <w:rPr>
                <w:rFonts w:hint="eastAsia"/>
                <w:b/>
                <w:bCs/>
                <w:color w:val="auto"/>
                <w:kern w:val="0"/>
              </w:rPr>
              <w:t>常州市金坛区茅东污水处理厂</w:t>
            </w:r>
            <w:r>
              <w:rPr>
                <w:b/>
                <w:color w:val="auto"/>
                <w:kern w:val="0"/>
              </w:rPr>
              <w:t>处理工艺流程图</w:t>
            </w:r>
          </w:p>
          <w:p w14:paraId="3A850018">
            <w:pPr>
              <w:pStyle w:val="27"/>
              <w:spacing w:line="360" w:lineRule="auto"/>
              <w:ind w:left="0" w:leftChars="0" w:right="0" w:rightChars="0" w:firstLine="420"/>
              <w:rPr>
                <w:color w:val="auto"/>
                <w:kern w:val="0"/>
                <w:sz w:val="21"/>
              </w:rPr>
            </w:pPr>
            <w:r>
              <w:rPr>
                <w:color w:val="auto"/>
                <w:kern w:val="0"/>
                <w:sz w:val="21"/>
              </w:rPr>
              <w:t>污水处理工艺简述</w:t>
            </w:r>
            <w:r>
              <w:rPr>
                <w:rFonts w:hint="eastAsia"/>
                <w:color w:val="auto"/>
                <w:kern w:val="0"/>
                <w:sz w:val="21"/>
              </w:rPr>
              <w:t>：</w:t>
            </w:r>
            <w:r>
              <w:rPr>
                <w:color w:val="auto"/>
                <w:kern w:val="0"/>
                <w:sz w:val="21"/>
              </w:rPr>
              <w:t>废水经过粗格栅隔去除尺寸较大的杂质由进水泵房的污水泵将污水经细格栅打入旋流沉砂池。污水经过沉砂后进入A</w:t>
            </w:r>
            <w:r>
              <w:rPr>
                <w:color w:val="auto"/>
                <w:kern w:val="0"/>
                <w:sz w:val="21"/>
                <w:vertAlign w:val="superscript"/>
              </w:rPr>
              <w:t>2</w:t>
            </w:r>
            <w:r>
              <w:rPr>
                <w:color w:val="auto"/>
                <w:kern w:val="0"/>
                <w:sz w:val="21"/>
              </w:rPr>
              <w:t>/O反应池进行生化处理，通过厌氧、缺氧和好氧交替变化的环境完成除磷脱氮，处理后废水经加氯接触消毒后排放。A</w:t>
            </w:r>
            <w:r>
              <w:rPr>
                <w:color w:val="auto"/>
                <w:kern w:val="0"/>
                <w:sz w:val="21"/>
                <w:vertAlign w:val="superscript"/>
              </w:rPr>
              <w:t>2</w:t>
            </w:r>
            <w:r>
              <w:rPr>
                <w:color w:val="auto"/>
                <w:kern w:val="0"/>
                <w:sz w:val="21"/>
              </w:rPr>
              <w:t>/O反应池剩余污泥从沉淀区排出，进入污泥均质池（回流污泥泵房），然后进入污泥浓缩脱水车间采用板框压滤机压成泥饼外运。污泥处理产生的废水返回到废水处理工艺流程，尾水处理达标后排入</w:t>
            </w:r>
            <w:r>
              <w:rPr>
                <w:rFonts w:hint="eastAsia"/>
                <w:color w:val="auto"/>
                <w:kern w:val="0"/>
                <w:sz w:val="21"/>
              </w:rPr>
              <w:t>薛埠河</w:t>
            </w:r>
            <w:r>
              <w:rPr>
                <w:color w:val="auto"/>
                <w:kern w:val="0"/>
                <w:sz w:val="21"/>
              </w:rPr>
              <w:t>。</w:t>
            </w:r>
          </w:p>
          <w:p w14:paraId="3A850019">
            <w:pPr>
              <w:pStyle w:val="27"/>
              <w:spacing w:line="360" w:lineRule="auto"/>
              <w:ind w:left="0" w:leftChars="0" w:right="0" w:rightChars="0" w:firstLine="420"/>
              <w:rPr>
                <w:color w:val="auto"/>
                <w:kern w:val="0"/>
                <w:sz w:val="21"/>
              </w:rPr>
            </w:pPr>
            <w:r>
              <w:rPr>
                <w:rFonts w:hint="eastAsia"/>
                <w:color w:val="auto"/>
                <w:kern w:val="0"/>
                <w:sz w:val="21"/>
              </w:rPr>
              <w:t>本项目</w:t>
            </w:r>
            <w:r>
              <w:rPr>
                <w:color w:val="auto"/>
                <w:kern w:val="0"/>
                <w:sz w:val="21"/>
              </w:rPr>
              <w:t>废水主要污染物为COD、SS、NH</w:t>
            </w:r>
            <w:r>
              <w:rPr>
                <w:color w:val="auto"/>
                <w:kern w:val="0"/>
                <w:sz w:val="21"/>
                <w:vertAlign w:val="subscript"/>
              </w:rPr>
              <w:t>3</w:t>
            </w:r>
            <w:r>
              <w:rPr>
                <w:color w:val="auto"/>
                <w:kern w:val="0"/>
                <w:sz w:val="21"/>
              </w:rPr>
              <w:t>-N、TP和TN，水质简单，可生化性好，从废水排放达标分析结果可知，废水水质满足</w:t>
            </w:r>
            <w:r>
              <w:rPr>
                <w:rFonts w:hint="eastAsia"/>
                <w:color w:val="auto"/>
                <w:kern w:val="0"/>
                <w:sz w:val="21"/>
              </w:rPr>
              <w:t>常州市金坛区茅东污水处理厂</w:t>
            </w:r>
            <w:r>
              <w:rPr>
                <w:color w:val="auto"/>
                <w:kern w:val="0"/>
                <w:sz w:val="21"/>
              </w:rPr>
              <w:t>接管水质要求。即从处理工艺上接管可行。此外，</w:t>
            </w:r>
            <w:r>
              <w:rPr>
                <w:rFonts w:hint="eastAsia"/>
                <w:color w:val="auto"/>
                <w:kern w:val="0"/>
                <w:sz w:val="21"/>
              </w:rPr>
              <w:t>本项目</w:t>
            </w:r>
            <w:r>
              <w:rPr>
                <w:color w:val="auto"/>
                <w:kern w:val="0"/>
                <w:sz w:val="21"/>
              </w:rPr>
              <w:t>外排废水中</w:t>
            </w:r>
            <w:r>
              <w:rPr>
                <w:rFonts w:hint="eastAsia"/>
                <w:color w:val="auto"/>
                <w:kern w:val="0"/>
                <w:sz w:val="21"/>
              </w:rPr>
              <w:t>仅为生活污水</w:t>
            </w:r>
            <w:r>
              <w:rPr>
                <w:color w:val="auto"/>
                <w:kern w:val="0"/>
                <w:sz w:val="21"/>
              </w:rPr>
              <w:t>，</w:t>
            </w:r>
            <w:r>
              <w:rPr>
                <w:rFonts w:hint="eastAsia"/>
                <w:color w:val="auto"/>
                <w:kern w:val="0"/>
                <w:sz w:val="21"/>
              </w:rPr>
              <w:t>无生产废水外排，</w:t>
            </w:r>
            <w:r>
              <w:rPr>
                <w:color w:val="auto"/>
                <w:kern w:val="0"/>
                <w:sz w:val="21"/>
              </w:rPr>
              <w:t>满足《江苏省太湖水污染防治条例》的有关规定。</w:t>
            </w:r>
          </w:p>
          <w:p w14:paraId="3A85001A">
            <w:pPr>
              <w:pStyle w:val="27"/>
              <w:spacing w:line="360" w:lineRule="auto"/>
              <w:ind w:left="0" w:leftChars="0" w:right="0" w:rightChars="0" w:firstLine="422"/>
              <w:rPr>
                <w:b/>
                <w:bCs/>
                <w:color w:val="auto"/>
                <w:kern w:val="0"/>
                <w:sz w:val="21"/>
              </w:rPr>
            </w:pPr>
            <w:r>
              <w:rPr>
                <w:rFonts w:hint="eastAsia"/>
                <w:b/>
                <w:bCs/>
                <w:color w:val="auto"/>
                <w:kern w:val="0"/>
                <w:sz w:val="21"/>
              </w:rPr>
              <w:t>4）</w:t>
            </w:r>
            <w:r>
              <w:rPr>
                <w:b/>
                <w:bCs/>
                <w:color w:val="auto"/>
                <w:kern w:val="0"/>
                <w:sz w:val="21"/>
              </w:rPr>
              <w:t>管网配套情况</w:t>
            </w:r>
          </w:p>
          <w:p w14:paraId="3A85001B">
            <w:pPr>
              <w:pStyle w:val="27"/>
              <w:spacing w:line="360" w:lineRule="auto"/>
              <w:ind w:left="0" w:leftChars="0" w:right="0" w:rightChars="0" w:firstLine="420"/>
              <w:rPr>
                <w:color w:val="auto"/>
                <w:kern w:val="0"/>
                <w:sz w:val="21"/>
              </w:rPr>
            </w:pPr>
            <w:r>
              <w:rPr>
                <w:rFonts w:hint="eastAsia"/>
                <w:color w:val="auto"/>
                <w:sz w:val="21"/>
                <w:szCs w:val="21"/>
              </w:rPr>
              <w:t>常州市金坛区茅东污水处理厂位于薛埠镇百花东路与兴业路交叉口西南，薛埠大河北岸</w:t>
            </w:r>
            <w:r>
              <w:rPr>
                <w:color w:val="auto"/>
                <w:sz w:val="21"/>
                <w:szCs w:val="21"/>
              </w:rPr>
              <w:t>，主要处理</w:t>
            </w:r>
            <w:r>
              <w:rPr>
                <w:rFonts w:hint="eastAsia"/>
                <w:color w:val="auto"/>
                <w:sz w:val="21"/>
                <w:szCs w:val="21"/>
              </w:rPr>
              <w:t>薛埠镇</w:t>
            </w:r>
            <w:r>
              <w:rPr>
                <w:color w:val="auto"/>
                <w:sz w:val="21"/>
                <w:szCs w:val="21"/>
              </w:rPr>
              <w:t>内各企业生产废水、生活污水及镇区生活污水。</w:t>
            </w:r>
            <w:r>
              <w:rPr>
                <w:rFonts w:hint="eastAsia"/>
                <w:color w:val="auto"/>
                <w:kern w:val="0"/>
                <w:sz w:val="21"/>
              </w:rPr>
              <w:t>本项目</w:t>
            </w:r>
            <w:r>
              <w:rPr>
                <w:color w:val="auto"/>
                <w:kern w:val="0"/>
                <w:sz w:val="21"/>
              </w:rPr>
              <w:t>所在地属于该污水处理厂的服务范围内，目前项目所在地的污水管网已经铺设到位，</w:t>
            </w:r>
            <w:r>
              <w:rPr>
                <w:rFonts w:hint="eastAsia"/>
                <w:color w:val="auto"/>
                <w:kern w:val="0"/>
                <w:sz w:val="21"/>
              </w:rPr>
              <w:t>本项目</w:t>
            </w:r>
            <w:r>
              <w:rPr>
                <w:color w:val="auto"/>
                <w:kern w:val="0"/>
                <w:sz w:val="21"/>
              </w:rPr>
              <w:t>废水可由市政污水管网接入，最终纳入</w:t>
            </w:r>
            <w:r>
              <w:rPr>
                <w:rFonts w:hint="eastAsia"/>
                <w:color w:val="auto"/>
                <w:kern w:val="0"/>
                <w:sz w:val="21"/>
              </w:rPr>
              <w:t>常州市金坛区茅东污水处理厂</w:t>
            </w:r>
            <w:r>
              <w:rPr>
                <w:color w:val="auto"/>
                <w:kern w:val="0"/>
                <w:sz w:val="21"/>
              </w:rPr>
              <w:t>集中处理。</w:t>
            </w:r>
          </w:p>
          <w:p w14:paraId="3A85001C">
            <w:pPr>
              <w:pStyle w:val="5"/>
              <w:adjustRightInd w:val="0"/>
              <w:snapToGrid w:val="0"/>
              <w:spacing w:line="360" w:lineRule="auto"/>
              <w:ind w:firstLineChars="200"/>
              <w:rPr>
                <w:color w:val="auto"/>
                <w:kern w:val="0"/>
                <w:szCs w:val="21"/>
              </w:rPr>
            </w:pPr>
            <w:r>
              <w:rPr>
                <w:color w:val="auto"/>
                <w:kern w:val="0"/>
                <w:szCs w:val="21"/>
              </w:rPr>
              <w:t>根据以上分析，综合考虑污水管网铺设情况、污水处理厂接纳能力及水质浓度达标情况等因素，</w:t>
            </w:r>
            <w:r>
              <w:rPr>
                <w:rFonts w:hint="eastAsia"/>
                <w:color w:val="auto"/>
                <w:kern w:val="0"/>
                <w:szCs w:val="21"/>
              </w:rPr>
              <w:t>本项目</w:t>
            </w:r>
            <w:r>
              <w:rPr>
                <w:color w:val="auto"/>
                <w:kern w:val="0"/>
                <w:szCs w:val="21"/>
              </w:rPr>
              <w:t>污水接入</w:t>
            </w:r>
            <w:r>
              <w:rPr>
                <w:rFonts w:hint="eastAsia"/>
                <w:color w:val="auto"/>
                <w:kern w:val="0"/>
                <w:szCs w:val="21"/>
              </w:rPr>
              <w:t>常州市金坛区茅东污水处理厂</w:t>
            </w:r>
            <w:r>
              <w:rPr>
                <w:color w:val="auto"/>
                <w:kern w:val="0"/>
                <w:szCs w:val="21"/>
              </w:rPr>
              <w:t>集中处理是可行的。</w:t>
            </w:r>
          </w:p>
          <w:p w14:paraId="3A85001D">
            <w:pPr>
              <w:pStyle w:val="5"/>
              <w:adjustRightInd w:val="0"/>
              <w:snapToGrid w:val="0"/>
              <w:spacing w:line="360" w:lineRule="auto"/>
              <w:ind w:firstLine="422" w:firstLineChars="200"/>
              <w:rPr>
                <w:b/>
                <w:bCs/>
                <w:color w:val="auto"/>
                <w:kern w:val="0"/>
                <w:szCs w:val="21"/>
              </w:rPr>
            </w:pPr>
            <w:r>
              <w:rPr>
                <w:rFonts w:hint="eastAsia"/>
                <w:b/>
                <w:bCs/>
                <w:color w:val="auto"/>
                <w:kern w:val="0"/>
                <w:szCs w:val="21"/>
              </w:rPr>
              <w:t>（4）</w:t>
            </w:r>
            <w:r>
              <w:rPr>
                <w:b/>
                <w:bCs/>
                <w:color w:val="auto"/>
                <w:kern w:val="0"/>
                <w:szCs w:val="21"/>
              </w:rPr>
              <w:t>环境监测</w:t>
            </w:r>
          </w:p>
          <w:p w14:paraId="3A85001E">
            <w:pPr>
              <w:pStyle w:val="5"/>
              <w:adjustRightInd w:val="0"/>
              <w:snapToGrid w:val="0"/>
              <w:spacing w:line="360" w:lineRule="auto"/>
              <w:ind w:firstLineChars="200"/>
              <w:rPr>
                <w:color w:val="auto"/>
                <w:kern w:val="0"/>
                <w:szCs w:val="21"/>
              </w:rPr>
            </w:pPr>
            <w:r>
              <w:rPr>
                <w:color w:val="auto"/>
                <w:kern w:val="0"/>
                <w:szCs w:val="21"/>
              </w:rPr>
              <w:t>根据</w:t>
            </w:r>
            <w:r>
              <w:rPr>
                <w:rFonts w:hint="eastAsia"/>
                <w:bCs/>
                <w:color w:val="auto"/>
                <w:kern w:val="0"/>
                <w:szCs w:val="21"/>
              </w:rPr>
              <w:t>《排污单位自行监测技术指南 总则》</w:t>
            </w:r>
            <w:r>
              <w:rPr>
                <w:color w:val="auto"/>
              </w:rPr>
              <w:fldChar w:fldCharType="begin"/>
            </w:r>
            <w:r>
              <w:rPr>
                <w:color w:val="auto"/>
              </w:rPr>
              <w:instrText xml:space="preserve"> HYPERLINK "http://www.mee.gov.cn/ywgz/fgbz/bz/bzwb/jcffbz/202001/W020200113417476489912.pdf" </w:instrText>
            </w:r>
            <w:r>
              <w:rPr>
                <w:color w:val="auto"/>
              </w:rPr>
              <w:fldChar w:fldCharType="separate"/>
            </w:r>
            <w:r>
              <w:rPr>
                <w:rFonts w:hint="eastAsia"/>
                <w:bCs/>
                <w:color w:val="auto"/>
                <w:kern w:val="0"/>
                <w:szCs w:val="21"/>
              </w:rPr>
              <w:t>（HJ819-2017）</w:t>
            </w:r>
            <w:r>
              <w:rPr>
                <w:rFonts w:hint="eastAsia"/>
                <w:bCs/>
                <w:color w:val="auto"/>
                <w:kern w:val="0"/>
                <w:szCs w:val="21"/>
              </w:rPr>
              <w:fldChar w:fldCharType="end"/>
            </w:r>
            <w:r>
              <w:rPr>
                <w:color w:val="auto"/>
                <w:kern w:val="0"/>
                <w:szCs w:val="21"/>
              </w:rPr>
              <w:t>中相关要求，建设单位废水例行监测计划详见下表。</w:t>
            </w:r>
          </w:p>
          <w:p w14:paraId="3A85001F">
            <w:pPr>
              <w:pStyle w:val="5"/>
              <w:snapToGrid w:val="0"/>
              <w:ind w:firstLine="0"/>
              <w:jc w:val="center"/>
              <w:rPr>
                <w:b/>
                <w:color w:val="auto"/>
                <w:kern w:val="0"/>
                <w:szCs w:val="21"/>
              </w:rPr>
            </w:pPr>
            <w:r>
              <w:rPr>
                <w:b/>
                <w:color w:val="auto"/>
                <w:kern w:val="0"/>
                <w:szCs w:val="21"/>
              </w:rPr>
              <w:t>表4-</w:t>
            </w:r>
            <w:r>
              <w:rPr>
                <w:rFonts w:hint="eastAsia"/>
                <w:b/>
                <w:color w:val="auto"/>
                <w:kern w:val="0"/>
                <w:szCs w:val="21"/>
              </w:rPr>
              <w:t>1</w:t>
            </w:r>
            <w:r>
              <w:rPr>
                <w:rFonts w:hint="eastAsia"/>
                <w:b/>
                <w:color w:val="auto"/>
                <w:kern w:val="0"/>
                <w:szCs w:val="21"/>
                <w:lang w:val="en-US" w:eastAsia="zh-CN"/>
              </w:rPr>
              <w:t>3</w:t>
            </w:r>
            <w:r>
              <w:rPr>
                <w:rFonts w:hint="eastAsia"/>
                <w:b/>
                <w:color w:val="auto"/>
                <w:kern w:val="0"/>
                <w:szCs w:val="21"/>
              </w:rPr>
              <w:t xml:space="preserve">   </w:t>
            </w:r>
            <w:r>
              <w:rPr>
                <w:b/>
                <w:color w:val="auto"/>
                <w:kern w:val="0"/>
                <w:szCs w:val="21"/>
              </w:rPr>
              <w:t>污染源监测计划</w:t>
            </w:r>
          </w:p>
          <w:tbl>
            <w:tblPr>
              <w:tblStyle w:val="5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08"/>
              <w:gridCol w:w="1108"/>
              <w:gridCol w:w="1223"/>
              <w:gridCol w:w="1778"/>
              <w:gridCol w:w="3184"/>
              <w:gridCol w:w="1192"/>
            </w:tblGrid>
            <w:tr w14:paraId="3A8500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vAlign w:val="center"/>
                </w:tcPr>
                <w:p w14:paraId="3A850020">
                  <w:pPr>
                    <w:snapToGrid w:val="0"/>
                    <w:jc w:val="center"/>
                    <w:rPr>
                      <w:b/>
                      <w:color w:val="auto"/>
                      <w:kern w:val="0"/>
                    </w:rPr>
                  </w:pPr>
                  <w:r>
                    <w:rPr>
                      <w:b/>
                      <w:color w:val="auto"/>
                      <w:kern w:val="0"/>
                    </w:rPr>
                    <w:t>类型</w:t>
                  </w:r>
                </w:p>
              </w:tc>
              <w:tc>
                <w:tcPr>
                  <w:tcW w:w="577" w:type="pct"/>
                  <w:vAlign w:val="center"/>
                </w:tcPr>
                <w:p w14:paraId="3A850021">
                  <w:pPr>
                    <w:snapToGrid w:val="0"/>
                    <w:jc w:val="center"/>
                    <w:rPr>
                      <w:b/>
                      <w:color w:val="auto"/>
                      <w:kern w:val="0"/>
                    </w:rPr>
                  </w:pPr>
                  <w:r>
                    <w:rPr>
                      <w:b/>
                      <w:color w:val="auto"/>
                      <w:kern w:val="0"/>
                    </w:rPr>
                    <w:t>监测项目</w:t>
                  </w:r>
                </w:p>
              </w:tc>
              <w:tc>
                <w:tcPr>
                  <w:tcW w:w="637" w:type="pct"/>
                  <w:vAlign w:val="center"/>
                </w:tcPr>
                <w:p w14:paraId="3A850022">
                  <w:pPr>
                    <w:snapToGrid w:val="0"/>
                    <w:jc w:val="center"/>
                    <w:rPr>
                      <w:b/>
                      <w:color w:val="auto"/>
                      <w:kern w:val="0"/>
                    </w:rPr>
                  </w:pPr>
                  <w:r>
                    <w:rPr>
                      <w:b/>
                      <w:color w:val="auto"/>
                      <w:kern w:val="0"/>
                    </w:rPr>
                    <w:t>监测位置</w:t>
                  </w:r>
                </w:p>
              </w:tc>
              <w:tc>
                <w:tcPr>
                  <w:tcW w:w="926" w:type="pct"/>
                  <w:vAlign w:val="center"/>
                </w:tcPr>
                <w:p w14:paraId="3A850023">
                  <w:pPr>
                    <w:snapToGrid w:val="0"/>
                    <w:jc w:val="center"/>
                    <w:rPr>
                      <w:b/>
                      <w:color w:val="auto"/>
                      <w:kern w:val="0"/>
                    </w:rPr>
                  </w:pPr>
                  <w:r>
                    <w:rPr>
                      <w:b/>
                      <w:color w:val="auto"/>
                      <w:kern w:val="0"/>
                    </w:rPr>
                    <w:t>检测点位</w:t>
                  </w:r>
                </w:p>
              </w:tc>
              <w:tc>
                <w:tcPr>
                  <w:tcW w:w="1658" w:type="pct"/>
                  <w:vAlign w:val="center"/>
                </w:tcPr>
                <w:p w14:paraId="3A850024">
                  <w:pPr>
                    <w:snapToGrid w:val="0"/>
                    <w:jc w:val="center"/>
                    <w:rPr>
                      <w:b/>
                      <w:color w:val="auto"/>
                      <w:kern w:val="0"/>
                    </w:rPr>
                  </w:pPr>
                  <w:r>
                    <w:rPr>
                      <w:b/>
                      <w:color w:val="auto"/>
                      <w:kern w:val="0"/>
                    </w:rPr>
                    <w:t>监测因子</w:t>
                  </w:r>
                </w:p>
              </w:tc>
              <w:tc>
                <w:tcPr>
                  <w:tcW w:w="621" w:type="pct"/>
                  <w:vAlign w:val="center"/>
                </w:tcPr>
                <w:p w14:paraId="3A850025">
                  <w:pPr>
                    <w:snapToGrid w:val="0"/>
                    <w:jc w:val="center"/>
                    <w:rPr>
                      <w:b/>
                      <w:color w:val="auto"/>
                      <w:kern w:val="0"/>
                    </w:rPr>
                  </w:pPr>
                  <w:r>
                    <w:rPr>
                      <w:b/>
                      <w:color w:val="auto"/>
                      <w:kern w:val="0"/>
                    </w:rPr>
                    <w:t>监测频率</w:t>
                  </w:r>
                </w:p>
              </w:tc>
            </w:tr>
            <w:tr w14:paraId="3A8500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vAlign w:val="center"/>
                </w:tcPr>
                <w:p w14:paraId="3A850027">
                  <w:pPr>
                    <w:snapToGrid w:val="0"/>
                    <w:jc w:val="center"/>
                    <w:rPr>
                      <w:color w:val="auto"/>
                      <w:kern w:val="0"/>
                    </w:rPr>
                  </w:pPr>
                  <w:r>
                    <w:rPr>
                      <w:color w:val="auto"/>
                      <w:kern w:val="0"/>
                    </w:rPr>
                    <w:t>例行监测计划</w:t>
                  </w:r>
                </w:p>
              </w:tc>
              <w:tc>
                <w:tcPr>
                  <w:tcW w:w="577" w:type="pct"/>
                  <w:vAlign w:val="center"/>
                </w:tcPr>
                <w:p w14:paraId="3A850028">
                  <w:pPr>
                    <w:snapToGrid w:val="0"/>
                    <w:jc w:val="center"/>
                    <w:rPr>
                      <w:color w:val="auto"/>
                      <w:kern w:val="0"/>
                    </w:rPr>
                  </w:pPr>
                  <w:r>
                    <w:rPr>
                      <w:color w:val="auto"/>
                      <w:kern w:val="0"/>
                    </w:rPr>
                    <w:t>废水监测</w:t>
                  </w:r>
                </w:p>
              </w:tc>
              <w:tc>
                <w:tcPr>
                  <w:tcW w:w="637" w:type="pct"/>
                  <w:vAlign w:val="center"/>
                </w:tcPr>
                <w:p w14:paraId="3A850029">
                  <w:pPr>
                    <w:snapToGrid w:val="0"/>
                    <w:jc w:val="center"/>
                    <w:rPr>
                      <w:color w:val="auto"/>
                      <w:kern w:val="0"/>
                    </w:rPr>
                  </w:pPr>
                  <w:r>
                    <w:rPr>
                      <w:rFonts w:hint="eastAsia"/>
                      <w:color w:val="auto"/>
                      <w:kern w:val="0"/>
                    </w:rPr>
                    <w:t>污水</w:t>
                  </w:r>
                </w:p>
              </w:tc>
              <w:tc>
                <w:tcPr>
                  <w:tcW w:w="926" w:type="pct"/>
                  <w:vAlign w:val="center"/>
                </w:tcPr>
                <w:p w14:paraId="3A85002A">
                  <w:pPr>
                    <w:snapToGrid w:val="0"/>
                    <w:jc w:val="center"/>
                    <w:rPr>
                      <w:color w:val="auto"/>
                      <w:kern w:val="0"/>
                    </w:rPr>
                  </w:pPr>
                  <w:r>
                    <w:rPr>
                      <w:rFonts w:hint="eastAsia"/>
                      <w:color w:val="auto"/>
                      <w:kern w:val="0"/>
                    </w:rPr>
                    <w:t>生活污水</w:t>
                  </w:r>
                  <w:r>
                    <w:rPr>
                      <w:color w:val="auto"/>
                      <w:kern w:val="0"/>
                    </w:rPr>
                    <w:t>排放口</w:t>
                  </w:r>
                </w:p>
              </w:tc>
              <w:tc>
                <w:tcPr>
                  <w:tcW w:w="1658" w:type="pct"/>
                  <w:vAlign w:val="center"/>
                </w:tcPr>
                <w:p w14:paraId="3A85002B">
                  <w:pPr>
                    <w:snapToGrid w:val="0"/>
                    <w:jc w:val="center"/>
                    <w:rPr>
                      <w:color w:val="auto"/>
                      <w:kern w:val="0"/>
                    </w:rPr>
                  </w:pPr>
                  <w:r>
                    <w:rPr>
                      <w:color w:val="auto"/>
                      <w:kern w:val="0"/>
                    </w:rPr>
                    <w:t>pH值、悬浮物、化学需氧量、氨氮、总磷、总氮</w:t>
                  </w:r>
                </w:p>
              </w:tc>
              <w:tc>
                <w:tcPr>
                  <w:tcW w:w="621" w:type="pct"/>
                  <w:vAlign w:val="center"/>
                </w:tcPr>
                <w:p w14:paraId="3A85002C">
                  <w:pPr>
                    <w:snapToGrid w:val="0"/>
                    <w:jc w:val="center"/>
                    <w:rPr>
                      <w:color w:val="auto"/>
                      <w:kern w:val="0"/>
                    </w:rPr>
                  </w:pPr>
                  <w:r>
                    <w:rPr>
                      <w:color w:val="auto"/>
                      <w:kern w:val="0"/>
                    </w:rPr>
                    <w:t>1次/</w:t>
                  </w:r>
                  <w:r>
                    <w:rPr>
                      <w:rFonts w:hint="eastAsia"/>
                      <w:color w:val="auto"/>
                      <w:kern w:val="0"/>
                    </w:rPr>
                    <w:t>年</w:t>
                  </w:r>
                </w:p>
              </w:tc>
            </w:tr>
          </w:tbl>
          <w:p w14:paraId="3A85002E">
            <w:pPr>
              <w:pStyle w:val="5"/>
              <w:adjustRightInd w:val="0"/>
              <w:snapToGrid w:val="0"/>
              <w:spacing w:line="360" w:lineRule="auto"/>
              <w:ind w:firstLine="422" w:firstLineChars="200"/>
              <w:rPr>
                <w:b/>
                <w:bCs/>
                <w:color w:val="auto"/>
                <w:kern w:val="0"/>
                <w:szCs w:val="21"/>
              </w:rPr>
            </w:pPr>
            <w:r>
              <w:rPr>
                <w:rFonts w:hint="eastAsia"/>
                <w:b/>
                <w:bCs/>
                <w:color w:val="auto"/>
                <w:kern w:val="0"/>
                <w:szCs w:val="21"/>
              </w:rPr>
              <w:t>（5）</w:t>
            </w:r>
            <w:r>
              <w:rPr>
                <w:b/>
                <w:bCs/>
                <w:color w:val="auto"/>
                <w:kern w:val="0"/>
                <w:szCs w:val="21"/>
              </w:rPr>
              <w:t>结论</w:t>
            </w:r>
          </w:p>
          <w:p w14:paraId="3A85002F">
            <w:pPr>
              <w:pStyle w:val="697"/>
              <w:adjustRightInd w:val="0"/>
              <w:snapToGrid w:val="0"/>
              <w:spacing w:line="360" w:lineRule="auto"/>
              <w:ind w:firstLine="420"/>
              <w:jc w:val="both"/>
              <w:rPr>
                <w:rFonts w:eastAsia="宋体"/>
                <w:color w:val="auto"/>
                <w:kern w:val="0"/>
                <w:sz w:val="21"/>
                <w:szCs w:val="21"/>
              </w:rPr>
            </w:pPr>
            <w:r>
              <w:rPr>
                <w:rFonts w:eastAsia="宋体"/>
                <w:color w:val="auto"/>
                <w:kern w:val="0"/>
                <w:sz w:val="21"/>
                <w:szCs w:val="21"/>
              </w:rPr>
              <w:t>综上</w:t>
            </w:r>
            <w:r>
              <w:rPr>
                <w:rFonts w:hint="eastAsia" w:eastAsia="宋体"/>
                <w:color w:val="auto"/>
                <w:kern w:val="0"/>
                <w:sz w:val="21"/>
                <w:szCs w:val="21"/>
              </w:rPr>
              <w:t>所述</w:t>
            </w:r>
            <w:r>
              <w:rPr>
                <w:rFonts w:eastAsia="宋体"/>
                <w:color w:val="auto"/>
                <w:kern w:val="0"/>
                <w:sz w:val="21"/>
                <w:szCs w:val="21"/>
              </w:rPr>
              <w:t>，项目生活污水水质能够达</w:t>
            </w:r>
            <w:r>
              <w:rPr>
                <w:rFonts w:hint="eastAsia" w:eastAsia="宋体"/>
                <w:color w:val="auto"/>
                <w:kern w:val="0"/>
                <w:sz w:val="21"/>
                <w:szCs w:val="21"/>
              </w:rPr>
              <w:t>常州市金坛区茅东污水处理厂</w:t>
            </w:r>
            <w:r>
              <w:rPr>
                <w:rFonts w:eastAsia="宋体"/>
                <w:color w:val="auto"/>
                <w:kern w:val="0"/>
                <w:sz w:val="21"/>
                <w:szCs w:val="21"/>
              </w:rPr>
              <w:t>接管限</w:t>
            </w:r>
            <w:r>
              <w:rPr>
                <w:rFonts w:hint="eastAsia" w:eastAsia="宋体"/>
                <w:color w:val="auto"/>
                <w:kern w:val="0"/>
                <w:sz w:val="21"/>
                <w:szCs w:val="21"/>
              </w:rPr>
              <w:t>值和《污水排入城镇下水道水质标准》（GB/T31962-2015）表1中B等</w:t>
            </w:r>
            <w:r>
              <w:rPr>
                <w:rFonts w:eastAsia="宋体"/>
                <w:color w:val="auto"/>
                <w:kern w:val="0"/>
                <w:sz w:val="21"/>
                <w:szCs w:val="21"/>
              </w:rPr>
              <w:t>级标准，</w:t>
            </w:r>
            <w:r>
              <w:rPr>
                <w:rFonts w:hint="eastAsia" w:eastAsia="宋体"/>
                <w:color w:val="auto"/>
                <w:kern w:val="0"/>
                <w:sz w:val="21"/>
                <w:szCs w:val="21"/>
              </w:rPr>
              <w:t>常州市金坛区茅东污水处理厂</w:t>
            </w:r>
            <w:r>
              <w:rPr>
                <w:rFonts w:eastAsia="宋体"/>
                <w:color w:val="auto"/>
                <w:kern w:val="0"/>
                <w:sz w:val="21"/>
                <w:szCs w:val="21"/>
              </w:rPr>
              <w:t>尾水中SS排放执行《城镇污水处理厂污染物排放标准》（GB18918-2002）</w:t>
            </w:r>
            <w:r>
              <w:rPr>
                <w:rFonts w:hint="eastAsia" w:eastAsia="宋体"/>
                <w:color w:val="auto"/>
                <w:kern w:val="0"/>
                <w:sz w:val="21"/>
                <w:szCs w:val="21"/>
              </w:rPr>
              <w:t>及其2024修改单</w:t>
            </w:r>
            <w:r>
              <w:rPr>
                <w:rFonts w:eastAsia="宋体"/>
                <w:color w:val="auto"/>
                <w:kern w:val="0"/>
                <w:sz w:val="21"/>
                <w:szCs w:val="21"/>
              </w:rPr>
              <w:t>中一级A标准，COD、</w:t>
            </w:r>
            <w:r>
              <w:rPr>
                <w:rFonts w:hint="eastAsia" w:eastAsia="宋体"/>
                <w:color w:val="auto"/>
                <w:kern w:val="0"/>
                <w:sz w:val="21"/>
                <w:szCs w:val="21"/>
              </w:rPr>
              <w:t>NH</w:t>
            </w:r>
            <w:r>
              <w:rPr>
                <w:rFonts w:hint="eastAsia" w:eastAsia="宋体"/>
                <w:color w:val="auto"/>
                <w:kern w:val="0"/>
                <w:sz w:val="21"/>
                <w:szCs w:val="21"/>
                <w:vertAlign w:val="subscript"/>
              </w:rPr>
              <w:t>3</w:t>
            </w:r>
            <w:r>
              <w:rPr>
                <w:rFonts w:hint="eastAsia" w:eastAsia="宋体"/>
                <w:color w:val="auto"/>
                <w:kern w:val="0"/>
                <w:sz w:val="21"/>
                <w:szCs w:val="21"/>
              </w:rPr>
              <w:t>-N</w:t>
            </w:r>
            <w:r>
              <w:rPr>
                <w:rFonts w:eastAsia="宋体"/>
                <w:color w:val="auto"/>
                <w:kern w:val="0"/>
                <w:sz w:val="21"/>
                <w:szCs w:val="21"/>
              </w:rPr>
              <w:t>、TP和TN排放执行《太湖地区镇污水处理厂及重点工业行业主要水污染物排放限值》（DB32/1072—2018）中表2中的标准</w:t>
            </w:r>
            <w:r>
              <w:rPr>
                <w:rFonts w:hint="eastAsia" w:eastAsia="宋体"/>
                <w:color w:val="auto"/>
                <w:kern w:val="0"/>
                <w:sz w:val="21"/>
                <w:szCs w:val="21"/>
              </w:rPr>
              <w:t>，纳污水体薛埠河</w:t>
            </w:r>
            <w:r>
              <w:rPr>
                <w:rFonts w:eastAsia="宋体"/>
                <w:color w:val="auto"/>
                <w:kern w:val="0"/>
                <w:sz w:val="21"/>
                <w:szCs w:val="21"/>
              </w:rPr>
              <w:t>《地表水环境质量标准》（GB3838-2002）中</w:t>
            </w:r>
            <w:r>
              <w:rPr>
                <w:rFonts w:hint="eastAsia" w:eastAsia="宋体"/>
                <w:color w:val="auto"/>
                <w:kern w:val="0"/>
                <w:sz w:val="21"/>
                <w:szCs w:val="21"/>
              </w:rPr>
              <w:t>III</w:t>
            </w:r>
            <w:r>
              <w:rPr>
                <w:rFonts w:eastAsia="宋体"/>
                <w:color w:val="auto"/>
                <w:kern w:val="0"/>
                <w:sz w:val="21"/>
                <w:szCs w:val="21"/>
              </w:rPr>
              <w:t>类标准。项目所在地已满足接管城市污水处理厂条件，引用</w:t>
            </w:r>
            <w:r>
              <w:rPr>
                <w:rFonts w:hint="eastAsia" w:eastAsia="宋体"/>
                <w:color w:val="auto"/>
                <w:kern w:val="0"/>
                <w:sz w:val="21"/>
                <w:szCs w:val="21"/>
              </w:rPr>
              <w:t>常州市金坛区茅东污水处理厂</w:t>
            </w:r>
            <w:r>
              <w:rPr>
                <w:rFonts w:eastAsia="宋体"/>
                <w:color w:val="auto"/>
                <w:kern w:val="0"/>
                <w:sz w:val="21"/>
                <w:szCs w:val="21"/>
              </w:rPr>
              <w:t>环评结论可知，废水经污水处理厂处理达标排放后对地表水环境影响较小。因此本次评价认为</w:t>
            </w:r>
            <w:r>
              <w:rPr>
                <w:rFonts w:hint="eastAsia" w:eastAsia="宋体"/>
                <w:color w:val="auto"/>
                <w:kern w:val="0"/>
                <w:sz w:val="21"/>
                <w:szCs w:val="21"/>
              </w:rPr>
              <w:t>本项目</w:t>
            </w:r>
            <w:r>
              <w:rPr>
                <w:rFonts w:eastAsia="宋体"/>
                <w:color w:val="auto"/>
                <w:kern w:val="0"/>
                <w:sz w:val="21"/>
                <w:szCs w:val="21"/>
              </w:rPr>
              <w:t>对地表水环境影响是可以接受的。</w:t>
            </w:r>
          </w:p>
          <w:p w14:paraId="3A850030">
            <w:pPr>
              <w:spacing w:line="360" w:lineRule="auto"/>
              <w:rPr>
                <w:b/>
                <w:bCs/>
                <w:color w:val="auto"/>
                <w:kern w:val="0"/>
              </w:rPr>
            </w:pPr>
            <w:r>
              <w:rPr>
                <w:rFonts w:hint="eastAsia"/>
                <w:b/>
                <w:bCs/>
                <w:color w:val="auto"/>
                <w:kern w:val="0"/>
              </w:rPr>
              <w:t>3、</w:t>
            </w:r>
            <w:r>
              <w:rPr>
                <w:b/>
                <w:bCs/>
                <w:color w:val="auto"/>
                <w:kern w:val="0"/>
              </w:rPr>
              <w:t>噪声</w:t>
            </w:r>
            <w:r>
              <w:rPr>
                <w:rFonts w:hint="eastAsia"/>
                <w:b/>
                <w:bCs/>
                <w:color w:val="auto"/>
                <w:kern w:val="0"/>
              </w:rPr>
              <w:t>环境影响分析</w:t>
            </w:r>
          </w:p>
          <w:p w14:paraId="3A850031">
            <w:pPr>
              <w:spacing w:line="360" w:lineRule="auto"/>
              <w:ind w:firstLine="422" w:firstLineChars="200"/>
              <w:rPr>
                <w:b/>
                <w:bCs/>
                <w:color w:val="auto"/>
                <w:kern w:val="0"/>
              </w:rPr>
            </w:pPr>
            <w:r>
              <w:rPr>
                <w:rFonts w:hint="eastAsia"/>
                <w:b/>
                <w:bCs/>
                <w:color w:val="auto"/>
                <w:kern w:val="0"/>
              </w:rPr>
              <w:t>（1）</w:t>
            </w:r>
            <w:r>
              <w:rPr>
                <w:b/>
                <w:bCs/>
                <w:color w:val="auto"/>
                <w:kern w:val="0"/>
              </w:rPr>
              <w:t>噪声源</w:t>
            </w:r>
          </w:p>
          <w:p w14:paraId="3A850032">
            <w:pPr>
              <w:adjustRightInd w:val="0"/>
              <w:snapToGrid w:val="0"/>
              <w:spacing w:line="360" w:lineRule="auto"/>
              <w:ind w:firstLine="420" w:firstLineChars="200"/>
              <w:jc w:val="left"/>
              <w:rPr>
                <w:color w:val="auto"/>
                <w:kern w:val="0"/>
              </w:rPr>
            </w:pPr>
            <w:r>
              <w:rPr>
                <w:rFonts w:hint="eastAsia"/>
                <w:color w:val="auto"/>
                <w:kern w:val="0"/>
              </w:rPr>
              <w:t>项目噪声源主要为各机械设备的运转噪声，主要噪声源强如下表所示。</w:t>
            </w:r>
          </w:p>
          <w:p w14:paraId="3A850033">
            <w:pPr>
              <w:jc w:val="center"/>
              <w:rPr>
                <w:b/>
                <w:color w:val="auto"/>
                <w:kern w:val="0"/>
              </w:rPr>
            </w:pPr>
            <w:r>
              <w:rPr>
                <w:b/>
                <w:color w:val="auto"/>
                <w:kern w:val="0"/>
              </w:rPr>
              <w:t>表4-</w:t>
            </w:r>
            <w:r>
              <w:rPr>
                <w:rFonts w:hint="eastAsia"/>
                <w:b/>
                <w:color w:val="auto"/>
                <w:kern w:val="0"/>
              </w:rPr>
              <w:t>1</w:t>
            </w:r>
            <w:r>
              <w:rPr>
                <w:rFonts w:hint="eastAsia"/>
                <w:b/>
                <w:color w:val="auto"/>
                <w:kern w:val="0"/>
                <w:lang w:val="en-US" w:eastAsia="zh-CN"/>
              </w:rPr>
              <w:t>4</w:t>
            </w:r>
            <w:r>
              <w:rPr>
                <w:b/>
                <w:color w:val="auto"/>
                <w:kern w:val="0"/>
              </w:rPr>
              <w:t xml:space="preserve">   本项目主要噪声设备和源强数值表</w:t>
            </w:r>
            <w:r>
              <w:rPr>
                <w:rFonts w:hint="eastAsia"/>
                <w:b/>
                <w:color w:val="auto"/>
                <w:kern w:val="0"/>
              </w:rPr>
              <w:t>（室内声源）</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69"/>
              <w:gridCol w:w="702"/>
              <w:gridCol w:w="562"/>
              <w:gridCol w:w="765"/>
              <w:gridCol w:w="690"/>
              <w:gridCol w:w="395"/>
              <w:gridCol w:w="395"/>
              <w:gridCol w:w="395"/>
              <w:gridCol w:w="395"/>
              <w:gridCol w:w="395"/>
              <w:gridCol w:w="395"/>
              <w:gridCol w:w="401"/>
              <w:gridCol w:w="765"/>
              <w:gridCol w:w="850"/>
              <w:gridCol w:w="857"/>
              <w:gridCol w:w="958"/>
            </w:tblGrid>
            <w:tr w14:paraId="3A85003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9" w:hRule="atLeast"/>
              </w:trPr>
              <w:tc>
                <w:tcPr>
                  <w:tcW w:w="349" w:type="pct"/>
                  <w:vMerge w:val="restart"/>
                  <w:vAlign w:val="center"/>
                </w:tcPr>
                <w:p w14:paraId="3A850034">
                  <w:pPr>
                    <w:adjustRightInd w:val="0"/>
                    <w:snapToGrid w:val="0"/>
                    <w:jc w:val="center"/>
                    <w:rPr>
                      <w:b/>
                      <w:bCs/>
                      <w:color w:val="auto"/>
                      <w:kern w:val="0"/>
                      <w:sz w:val="18"/>
                      <w:szCs w:val="18"/>
                    </w:rPr>
                  </w:pPr>
                  <w:r>
                    <w:rPr>
                      <w:rFonts w:hint="eastAsia"/>
                      <w:b/>
                      <w:bCs/>
                      <w:color w:val="auto"/>
                      <w:kern w:val="0"/>
                      <w:sz w:val="18"/>
                      <w:szCs w:val="18"/>
                    </w:rPr>
                    <w:t>建筑物名称</w:t>
                  </w:r>
                </w:p>
              </w:tc>
              <w:tc>
                <w:tcPr>
                  <w:tcW w:w="366" w:type="pct"/>
                  <w:vMerge w:val="restart"/>
                  <w:vAlign w:val="center"/>
                </w:tcPr>
                <w:p w14:paraId="3A850035">
                  <w:pPr>
                    <w:adjustRightInd w:val="0"/>
                    <w:snapToGrid w:val="0"/>
                    <w:jc w:val="center"/>
                    <w:rPr>
                      <w:b/>
                      <w:bCs/>
                      <w:color w:val="auto"/>
                      <w:kern w:val="0"/>
                      <w:sz w:val="18"/>
                      <w:szCs w:val="18"/>
                    </w:rPr>
                  </w:pPr>
                  <w:r>
                    <w:rPr>
                      <w:rFonts w:hint="eastAsia"/>
                      <w:b/>
                      <w:bCs/>
                      <w:color w:val="auto"/>
                      <w:kern w:val="0"/>
                      <w:sz w:val="18"/>
                      <w:szCs w:val="18"/>
                    </w:rPr>
                    <w:t>声源名称</w:t>
                  </w:r>
                </w:p>
              </w:tc>
              <w:tc>
                <w:tcPr>
                  <w:tcW w:w="293" w:type="pct"/>
                  <w:vMerge w:val="restart"/>
                  <w:vAlign w:val="center"/>
                </w:tcPr>
                <w:p w14:paraId="3A850036">
                  <w:pPr>
                    <w:adjustRightInd w:val="0"/>
                    <w:snapToGrid w:val="0"/>
                    <w:jc w:val="center"/>
                    <w:rPr>
                      <w:b/>
                      <w:bCs/>
                      <w:color w:val="auto"/>
                      <w:kern w:val="0"/>
                      <w:sz w:val="18"/>
                      <w:szCs w:val="18"/>
                    </w:rPr>
                  </w:pPr>
                  <w:r>
                    <w:rPr>
                      <w:rFonts w:hint="eastAsia"/>
                      <w:b/>
                      <w:bCs/>
                      <w:color w:val="auto"/>
                      <w:kern w:val="0"/>
                      <w:sz w:val="18"/>
                      <w:szCs w:val="18"/>
                    </w:rPr>
                    <w:t>数量台/套</w:t>
                  </w:r>
                </w:p>
              </w:tc>
              <w:tc>
                <w:tcPr>
                  <w:tcW w:w="399" w:type="pct"/>
                  <w:vMerge w:val="restart"/>
                  <w:vAlign w:val="center"/>
                </w:tcPr>
                <w:p w14:paraId="3A850037">
                  <w:pPr>
                    <w:adjustRightInd w:val="0"/>
                    <w:snapToGrid w:val="0"/>
                    <w:jc w:val="center"/>
                    <w:rPr>
                      <w:b/>
                      <w:bCs/>
                      <w:color w:val="auto"/>
                      <w:kern w:val="0"/>
                      <w:sz w:val="18"/>
                      <w:szCs w:val="18"/>
                    </w:rPr>
                  </w:pPr>
                  <w:r>
                    <w:rPr>
                      <w:rFonts w:hint="eastAsia"/>
                      <w:b/>
                      <w:bCs/>
                      <w:color w:val="auto"/>
                      <w:kern w:val="0"/>
                      <w:sz w:val="18"/>
                      <w:szCs w:val="18"/>
                    </w:rPr>
                    <w:t>单台声功率级dB（A）</w:t>
                  </w:r>
                </w:p>
              </w:tc>
              <w:tc>
                <w:tcPr>
                  <w:tcW w:w="360" w:type="pct"/>
                  <w:vMerge w:val="restart"/>
                  <w:vAlign w:val="center"/>
                </w:tcPr>
                <w:p w14:paraId="3A850038">
                  <w:pPr>
                    <w:adjustRightInd w:val="0"/>
                    <w:snapToGrid w:val="0"/>
                    <w:jc w:val="center"/>
                    <w:rPr>
                      <w:b/>
                      <w:bCs/>
                      <w:color w:val="auto"/>
                      <w:kern w:val="0"/>
                      <w:sz w:val="18"/>
                      <w:szCs w:val="18"/>
                    </w:rPr>
                  </w:pPr>
                  <w:r>
                    <w:rPr>
                      <w:rFonts w:hint="eastAsia"/>
                      <w:b/>
                      <w:bCs/>
                      <w:color w:val="auto"/>
                      <w:kern w:val="0"/>
                      <w:sz w:val="18"/>
                      <w:szCs w:val="18"/>
                    </w:rPr>
                    <w:t>声源控制措施</w:t>
                  </w:r>
                </w:p>
              </w:tc>
              <w:tc>
                <w:tcPr>
                  <w:tcW w:w="618" w:type="pct"/>
                  <w:gridSpan w:val="3"/>
                  <w:vAlign w:val="center"/>
                </w:tcPr>
                <w:p w14:paraId="3A850039">
                  <w:pPr>
                    <w:adjustRightInd w:val="0"/>
                    <w:snapToGrid w:val="0"/>
                    <w:jc w:val="center"/>
                    <w:rPr>
                      <w:b/>
                      <w:bCs/>
                      <w:color w:val="auto"/>
                      <w:kern w:val="0"/>
                      <w:sz w:val="18"/>
                      <w:szCs w:val="18"/>
                    </w:rPr>
                  </w:pPr>
                  <w:r>
                    <w:rPr>
                      <w:b/>
                      <w:bCs/>
                      <w:color w:val="auto"/>
                      <w:kern w:val="0"/>
                      <w:sz w:val="18"/>
                      <w:szCs w:val="18"/>
                    </w:rPr>
                    <w:t>空间相对位置</w:t>
                  </w:r>
                  <w:r>
                    <w:rPr>
                      <w:rFonts w:hint="eastAsia"/>
                      <w:b/>
                      <w:bCs/>
                      <w:color w:val="auto"/>
                      <w:kern w:val="0"/>
                      <w:sz w:val="18"/>
                      <w:szCs w:val="18"/>
                    </w:rPr>
                    <w:t>（</w:t>
                  </w:r>
                  <w:r>
                    <w:rPr>
                      <w:b/>
                      <w:bCs/>
                      <w:color w:val="auto"/>
                      <w:kern w:val="0"/>
                      <w:sz w:val="18"/>
                      <w:szCs w:val="18"/>
                    </w:rPr>
                    <w:t>m</w:t>
                  </w:r>
                  <w:r>
                    <w:rPr>
                      <w:rFonts w:hint="eastAsia"/>
                      <w:b/>
                      <w:bCs/>
                      <w:color w:val="auto"/>
                      <w:kern w:val="0"/>
                      <w:sz w:val="18"/>
                      <w:szCs w:val="18"/>
                    </w:rPr>
                    <w:t>）</w:t>
                  </w:r>
                  <w:r>
                    <w:rPr>
                      <w:rFonts w:hint="eastAsia"/>
                      <w:b/>
                      <w:bCs/>
                      <w:color w:val="auto"/>
                      <w:kern w:val="0"/>
                      <w:sz w:val="18"/>
                      <w:szCs w:val="18"/>
                      <w:vertAlign w:val="superscript"/>
                    </w:rPr>
                    <w:t>①</w:t>
                  </w:r>
                </w:p>
              </w:tc>
              <w:tc>
                <w:tcPr>
                  <w:tcW w:w="827" w:type="pct"/>
                  <w:gridSpan w:val="4"/>
                  <w:vAlign w:val="center"/>
                </w:tcPr>
                <w:p w14:paraId="3A85003A">
                  <w:pPr>
                    <w:adjustRightInd w:val="0"/>
                    <w:snapToGrid w:val="0"/>
                    <w:jc w:val="center"/>
                    <w:rPr>
                      <w:b/>
                      <w:bCs/>
                      <w:color w:val="auto"/>
                      <w:kern w:val="0"/>
                      <w:sz w:val="18"/>
                      <w:szCs w:val="18"/>
                    </w:rPr>
                  </w:pPr>
                  <w:r>
                    <w:rPr>
                      <w:rFonts w:hint="eastAsia"/>
                      <w:b/>
                      <w:bCs/>
                      <w:color w:val="auto"/>
                      <w:kern w:val="0"/>
                      <w:sz w:val="18"/>
                      <w:szCs w:val="18"/>
                    </w:rPr>
                    <w:t>距室内边界距离m</w:t>
                  </w:r>
                  <w:r>
                    <w:rPr>
                      <w:rFonts w:hint="eastAsia"/>
                      <w:b/>
                      <w:bCs/>
                      <w:color w:val="auto"/>
                      <w:kern w:val="0"/>
                      <w:sz w:val="18"/>
                      <w:szCs w:val="18"/>
                      <w:vertAlign w:val="superscript"/>
                    </w:rPr>
                    <w:t>②</w:t>
                  </w:r>
                </w:p>
              </w:tc>
              <w:tc>
                <w:tcPr>
                  <w:tcW w:w="399" w:type="pct"/>
                  <w:vMerge w:val="restart"/>
                  <w:vAlign w:val="center"/>
                </w:tcPr>
                <w:p w14:paraId="3A85003B">
                  <w:pPr>
                    <w:adjustRightInd w:val="0"/>
                    <w:snapToGrid w:val="0"/>
                    <w:jc w:val="center"/>
                    <w:rPr>
                      <w:b/>
                      <w:bCs/>
                      <w:color w:val="auto"/>
                      <w:kern w:val="0"/>
                      <w:sz w:val="18"/>
                      <w:szCs w:val="18"/>
                    </w:rPr>
                  </w:pPr>
                  <w:r>
                    <w:rPr>
                      <w:rFonts w:hint="eastAsia"/>
                      <w:b/>
                      <w:bCs/>
                      <w:color w:val="auto"/>
                      <w:kern w:val="0"/>
                      <w:sz w:val="18"/>
                      <w:szCs w:val="18"/>
                    </w:rPr>
                    <w:t>室内边界声级dB（A）</w:t>
                  </w:r>
                </w:p>
              </w:tc>
              <w:tc>
                <w:tcPr>
                  <w:tcW w:w="443" w:type="pct"/>
                  <w:vMerge w:val="restart"/>
                  <w:vAlign w:val="center"/>
                </w:tcPr>
                <w:p w14:paraId="3A85003C">
                  <w:pPr>
                    <w:adjustRightInd w:val="0"/>
                    <w:snapToGrid w:val="0"/>
                    <w:jc w:val="center"/>
                    <w:rPr>
                      <w:b/>
                      <w:bCs/>
                      <w:color w:val="auto"/>
                      <w:kern w:val="0"/>
                      <w:sz w:val="18"/>
                      <w:szCs w:val="18"/>
                    </w:rPr>
                  </w:pPr>
                  <w:r>
                    <w:rPr>
                      <w:rFonts w:hint="eastAsia"/>
                      <w:b/>
                      <w:bCs/>
                      <w:color w:val="auto"/>
                      <w:kern w:val="0"/>
                      <w:sz w:val="18"/>
                      <w:szCs w:val="18"/>
                    </w:rPr>
                    <w:t>建筑物插入损失dB（A）</w:t>
                  </w:r>
                </w:p>
              </w:tc>
              <w:tc>
                <w:tcPr>
                  <w:tcW w:w="943" w:type="pct"/>
                  <w:gridSpan w:val="2"/>
                  <w:vAlign w:val="center"/>
                </w:tcPr>
                <w:p w14:paraId="3A85003D">
                  <w:pPr>
                    <w:adjustRightInd w:val="0"/>
                    <w:snapToGrid w:val="0"/>
                    <w:jc w:val="center"/>
                    <w:rPr>
                      <w:b/>
                      <w:bCs/>
                      <w:color w:val="auto"/>
                      <w:kern w:val="0"/>
                      <w:sz w:val="18"/>
                      <w:szCs w:val="18"/>
                    </w:rPr>
                  </w:pPr>
                  <w:r>
                    <w:rPr>
                      <w:rFonts w:hint="eastAsia"/>
                      <w:b/>
                      <w:bCs/>
                      <w:color w:val="auto"/>
                      <w:kern w:val="0"/>
                      <w:sz w:val="18"/>
                      <w:szCs w:val="18"/>
                    </w:rPr>
                    <w:t>建筑物外噪声</w:t>
                  </w:r>
                </w:p>
              </w:tc>
            </w:tr>
            <w:tr w14:paraId="3A85004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01" w:hRule="atLeast"/>
              </w:trPr>
              <w:tc>
                <w:tcPr>
                  <w:tcW w:w="349" w:type="pct"/>
                  <w:vMerge w:val="continue"/>
                  <w:vAlign w:val="center"/>
                </w:tcPr>
                <w:p w14:paraId="3A85003F">
                  <w:pPr>
                    <w:adjustRightInd w:val="0"/>
                    <w:snapToGrid w:val="0"/>
                    <w:jc w:val="center"/>
                    <w:rPr>
                      <w:b/>
                      <w:bCs/>
                      <w:color w:val="auto"/>
                      <w:kern w:val="0"/>
                      <w:sz w:val="18"/>
                      <w:szCs w:val="18"/>
                    </w:rPr>
                  </w:pPr>
                </w:p>
              </w:tc>
              <w:tc>
                <w:tcPr>
                  <w:tcW w:w="366" w:type="pct"/>
                  <w:vMerge w:val="continue"/>
                  <w:vAlign w:val="center"/>
                </w:tcPr>
                <w:p w14:paraId="3A850040">
                  <w:pPr>
                    <w:adjustRightInd w:val="0"/>
                    <w:snapToGrid w:val="0"/>
                    <w:jc w:val="center"/>
                    <w:rPr>
                      <w:b/>
                      <w:bCs/>
                      <w:color w:val="auto"/>
                      <w:kern w:val="0"/>
                      <w:sz w:val="18"/>
                      <w:szCs w:val="18"/>
                    </w:rPr>
                  </w:pPr>
                </w:p>
              </w:tc>
              <w:tc>
                <w:tcPr>
                  <w:tcW w:w="293" w:type="pct"/>
                  <w:vMerge w:val="continue"/>
                  <w:vAlign w:val="center"/>
                </w:tcPr>
                <w:p w14:paraId="3A850041">
                  <w:pPr>
                    <w:adjustRightInd w:val="0"/>
                    <w:snapToGrid w:val="0"/>
                    <w:jc w:val="center"/>
                    <w:rPr>
                      <w:b/>
                      <w:bCs/>
                      <w:color w:val="auto"/>
                      <w:kern w:val="0"/>
                      <w:sz w:val="18"/>
                      <w:szCs w:val="18"/>
                    </w:rPr>
                  </w:pPr>
                </w:p>
              </w:tc>
              <w:tc>
                <w:tcPr>
                  <w:tcW w:w="399" w:type="pct"/>
                  <w:vMerge w:val="continue"/>
                  <w:vAlign w:val="center"/>
                </w:tcPr>
                <w:p w14:paraId="3A850042">
                  <w:pPr>
                    <w:adjustRightInd w:val="0"/>
                    <w:snapToGrid w:val="0"/>
                    <w:jc w:val="center"/>
                    <w:rPr>
                      <w:b/>
                      <w:bCs/>
                      <w:color w:val="auto"/>
                      <w:kern w:val="0"/>
                      <w:sz w:val="18"/>
                      <w:szCs w:val="18"/>
                    </w:rPr>
                  </w:pPr>
                </w:p>
              </w:tc>
              <w:tc>
                <w:tcPr>
                  <w:tcW w:w="360" w:type="pct"/>
                  <w:vMerge w:val="continue"/>
                  <w:vAlign w:val="center"/>
                </w:tcPr>
                <w:p w14:paraId="3A850043">
                  <w:pPr>
                    <w:adjustRightInd w:val="0"/>
                    <w:snapToGrid w:val="0"/>
                    <w:jc w:val="center"/>
                    <w:rPr>
                      <w:b/>
                      <w:bCs/>
                      <w:color w:val="auto"/>
                      <w:kern w:val="0"/>
                      <w:sz w:val="18"/>
                      <w:szCs w:val="18"/>
                    </w:rPr>
                  </w:pPr>
                </w:p>
              </w:tc>
              <w:tc>
                <w:tcPr>
                  <w:tcW w:w="206" w:type="pct"/>
                  <w:vAlign w:val="center"/>
                </w:tcPr>
                <w:p w14:paraId="3A850044">
                  <w:pPr>
                    <w:adjustRightInd w:val="0"/>
                    <w:snapToGrid w:val="0"/>
                    <w:jc w:val="center"/>
                    <w:rPr>
                      <w:b/>
                      <w:bCs/>
                      <w:color w:val="auto"/>
                      <w:kern w:val="0"/>
                      <w:sz w:val="18"/>
                      <w:szCs w:val="18"/>
                    </w:rPr>
                  </w:pPr>
                  <w:r>
                    <w:rPr>
                      <w:b/>
                      <w:bCs/>
                      <w:color w:val="auto"/>
                      <w:kern w:val="0"/>
                      <w:sz w:val="18"/>
                      <w:szCs w:val="18"/>
                    </w:rPr>
                    <w:t>X</w:t>
                  </w:r>
                </w:p>
              </w:tc>
              <w:tc>
                <w:tcPr>
                  <w:tcW w:w="206" w:type="pct"/>
                  <w:vAlign w:val="center"/>
                </w:tcPr>
                <w:p w14:paraId="3A850045">
                  <w:pPr>
                    <w:adjustRightInd w:val="0"/>
                    <w:snapToGrid w:val="0"/>
                    <w:jc w:val="center"/>
                    <w:rPr>
                      <w:b/>
                      <w:bCs/>
                      <w:color w:val="auto"/>
                      <w:kern w:val="0"/>
                      <w:sz w:val="18"/>
                      <w:szCs w:val="18"/>
                    </w:rPr>
                  </w:pPr>
                  <w:r>
                    <w:rPr>
                      <w:b/>
                      <w:bCs/>
                      <w:color w:val="auto"/>
                      <w:kern w:val="0"/>
                      <w:sz w:val="18"/>
                      <w:szCs w:val="18"/>
                    </w:rPr>
                    <w:t>Y</w:t>
                  </w:r>
                </w:p>
              </w:tc>
              <w:tc>
                <w:tcPr>
                  <w:tcW w:w="206" w:type="pct"/>
                  <w:vAlign w:val="center"/>
                </w:tcPr>
                <w:p w14:paraId="3A850046">
                  <w:pPr>
                    <w:adjustRightInd w:val="0"/>
                    <w:snapToGrid w:val="0"/>
                    <w:jc w:val="center"/>
                    <w:rPr>
                      <w:b/>
                      <w:bCs/>
                      <w:color w:val="auto"/>
                      <w:kern w:val="0"/>
                      <w:sz w:val="18"/>
                      <w:szCs w:val="18"/>
                    </w:rPr>
                  </w:pPr>
                  <w:r>
                    <w:rPr>
                      <w:b/>
                      <w:bCs/>
                      <w:color w:val="auto"/>
                      <w:kern w:val="0"/>
                      <w:sz w:val="18"/>
                      <w:szCs w:val="18"/>
                    </w:rPr>
                    <w:t>Z</w:t>
                  </w:r>
                </w:p>
              </w:tc>
              <w:tc>
                <w:tcPr>
                  <w:tcW w:w="206" w:type="pct"/>
                  <w:vAlign w:val="center"/>
                </w:tcPr>
                <w:p w14:paraId="3A850047">
                  <w:pPr>
                    <w:adjustRightInd w:val="0"/>
                    <w:snapToGrid w:val="0"/>
                    <w:jc w:val="center"/>
                    <w:rPr>
                      <w:b/>
                      <w:bCs/>
                      <w:color w:val="auto"/>
                      <w:kern w:val="0"/>
                      <w:sz w:val="18"/>
                      <w:szCs w:val="18"/>
                    </w:rPr>
                  </w:pPr>
                  <w:r>
                    <w:rPr>
                      <w:rFonts w:hint="eastAsia"/>
                      <w:b/>
                      <w:bCs/>
                      <w:color w:val="auto"/>
                      <w:kern w:val="0"/>
                      <w:sz w:val="18"/>
                      <w:szCs w:val="18"/>
                    </w:rPr>
                    <w:t>东</w:t>
                  </w:r>
                </w:p>
              </w:tc>
              <w:tc>
                <w:tcPr>
                  <w:tcW w:w="206" w:type="pct"/>
                  <w:vAlign w:val="center"/>
                </w:tcPr>
                <w:p w14:paraId="3A850048">
                  <w:pPr>
                    <w:adjustRightInd w:val="0"/>
                    <w:snapToGrid w:val="0"/>
                    <w:jc w:val="center"/>
                    <w:rPr>
                      <w:b/>
                      <w:bCs/>
                      <w:color w:val="auto"/>
                      <w:kern w:val="0"/>
                      <w:sz w:val="18"/>
                      <w:szCs w:val="18"/>
                    </w:rPr>
                  </w:pPr>
                  <w:r>
                    <w:rPr>
                      <w:rFonts w:hint="eastAsia"/>
                      <w:b/>
                      <w:bCs/>
                      <w:color w:val="auto"/>
                      <w:kern w:val="0"/>
                      <w:sz w:val="18"/>
                      <w:szCs w:val="18"/>
                    </w:rPr>
                    <w:t>南</w:t>
                  </w:r>
                </w:p>
              </w:tc>
              <w:tc>
                <w:tcPr>
                  <w:tcW w:w="206" w:type="pct"/>
                  <w:vAlign w:val="center"/>
                </w:tcPr>
                <w:p w14:paraId="3A850049">
                  <w:pPr>
                    <w:adjustRightInd w:val="0"/>
                    <w:snapToGrid w:val="0"/>
                    <w:jc w:val="center"/>
                    <w:rPr>
                      <w:b/>
                      <w:bCs/>
                      <w:color w:val="auto"/>
                      <w:kern w:val="0"/>
                      <w:sz w:val="18"/>
                      <w:szCs w:val="18"/>
                    </w:rPr>
                  </w:pPr>
                  <w:r>
                    <w:rPr>
                      <w:rFonts w:hint="eastAsia"/>
                      <w:b/>
                      <w:bCs/>
                      <w:color w:val="auto"/>
                      <w:kern w:val="0"/>
                      <w:sz w:val="18"/>
                      <w:szCs w:val="18"/>
                    </w:rPr>
                    <w:t>西</w:t>
                  </w:r>
                </w:p>
              </w:tc>
              <w:tc>
                <w:tcPr>
                  <w:tcW w:w="208" w:type="pct"/>
                  <w:vAlign w:val="center"/>
                </w:tcPr>
                <w:p w14:paraId="3A85004A">
                  <w:pPr>
                    <w:adjustRightInd w:val="0"/>
                    <w:snapToGrid w:val="0"/>
                    <w:jc w:val="center"/>
                    <w:rPr>
                      <w:b/>
                      <w:bCs/>
                      <w:color w:val="auto"/>
                      <w:kern w:val="0"/>
                      <w:sz w:val="18"/>
                      <w:szCs w:val="18"/>
                    </w:rPr>
                  </w:pPr>
                  <w:r>
                    <w:rPr>
                      <w:rFonts w:hint="eastAsia"/>
                      <w:b/>
                      <w:bCs/>
                      <w:color w:val="auto"/>
                      <w:kern w:val="0"/>
                      <w:sz w:val="18"/>
                      <w:szCs w:val="18"/>
                    </w:rPr>
                    <w:t>北</w:t>
                  </w:r>
                </w:p>
              </w:tc>
              <w:tc>
                <w:tcPr>
                  <w:tcW w:w="399" w:type="pct"/>
                  <w:vMerge w:val="continue"/>
                  <w:vAlign w:val="center"/>
                </w:tcPr>
                <w:p w14:paraId="3A85004B">
                  <w:pPr>
                    <w:adjustRightInd w:val="0"/>
                    <w:snapToGrid w:val="0"/>
                    <w:jc w:val="center"/>
                    <w:rPr>
                      <w:b/>
                      <w:bCs/>
                      <w:color w:val="auto"/>
                      <w:kern w:val="0"/>
                      <w:sz w:val="18"/>
                      <w:szCs w:val="18"/>
                    </w:rPr>
                  </w:pPr>
                </w:p>
              </w:tc>
              <w:tc>
                <w:tcPr>
                  <w:tcW w:w="443" w:type="pct"/>
                  <w:vMerge w:val="continue"/>
                  <w:vAlign w:val="center"/>
                </w:tcPr>
                <w:p w14:paraId="3A85004C">
                  <w:pPr>
                    <w:adjustRightInd w:val="0"/>
                    <w:snapToGrid w:val="0"/>
                    <w:jc w:val="center"/>
                    <w:rPr>
                      <w:b/>
                      <w:bCs/>
                      <w:color w:val="auto"/>
                      <w:kern w:val="0"/>
                      <w:sz w:val="18"/>
                      <w:szCs w:val="18"/>
                    </w:rPr>
                  </w:pPr>
                </w:p>
              </w:tc>
              <w:tc>
                <w:tcPr>
                  <w:tcW w:w="447" w:type="pct"/>
                  <w:vAlign w:val="center"/>
                </w:tcPr>
                <w:p w14:paraId="3A85004D">
                  <w:pPr>
                    <w:adjustRightInd w:val="0"/>
                    <w:snapToGrid w:val="0"/>
                    <w:jc w:val="center"/>
                    <w:rPr>
                      <w:b/>
                      <w:bCs/>
                      <w:color w:val="auto"/>
                      <w:kern w:val="0"/>
                      <w:sz w:val="18"/>
                      <w:szCs w:val="18"/>
                    </w:rPr>
                  </w:pPr>
                  <w:r>
                    <w:rPr>
                      <w:rFonts w:hint="eastAsia"/>
                      <w:b/>
                      <w:bCs/>
                      <w:color w:val="auto"/>
                      <w:kern w:val="0"/>
                      <w:sz w:val="18"/>
                      <w:szCs w:val="18"/>
                    </w:rPr>
                    <w:t>声压级dB（A）</w:t>
                  </w:r>
                  <w:r>
                    <w:rPr>
                      <w:rFonts w:hint="eastAsia"/>
                      <w:b/>
                      <w:bCs/>
                      <w:color w:val="auto"/>
                      <w:kern w:val="0"/>
                      <w:sz w:val="18"/>
                      <w:szCs w:val="18"/>
                      <w:vertAlign w:val="superscript"/>
                    </w:rPr>
                    <w:t>③</w:t>
                  </w:r>
                </w:p>
              </w:tc>
              <w:tc>
                <w:tcPr>
                  <w:tcW w:w="496" w:type="pct"/>
                  <w:vAlign w:val="center"/>
                </w:tcPr>
                <w:p w14:paraId="3A85004E">
                  <w:pPr>
                    <w:adjustRightInd w:val="0"/>
                    <w:snapToGrid w:val="0"/>
                    <w:jc w:val="center"/>
                    <w:rPr>
                      <w:b/>
                      <w:bCs/>
                      <w:color w:val="auto"/>
                      <w:kern w:val="0"/>
                      <w:sz w:val="18"/>
                      <w:szCs w:val="18"/>
                    </w:rPr>
                  </w:pPr>
                  <w:r>
                    <w:rPr>
                      <w:rFonts w:hint="eastAsia"/>
                      <w:b/>
                      <w:bCs/>
                      <w:color w:val="auto"/>
                      <w:kern w:val="0"/>
                      <w:sz w:val="18"/>
                      <w:szCs w:val="18"/>
                    </w:rPr>
                    <w:t>建筑物外距离</w:t>
                  </w:r>
                  <w:r>
                    <w:rPr>
                      <w:rFonts w:hint="eastAsia"/>
                      <w:b/>
                      <w:bCs/>
                      <w:color w:val="auto"/>
                      <w:kern w:val="0"/>
                      <w:sz w:val="18"/>
                      <w:szCs w:val="18"/>
                      <w:vertAlign w:val="superscript"/>
                    </w:rPr>
                    <w:t>④</w:t>
                  </w:r>
                </w:p>
              </w:tc>
            </w:tr>
            <w:tr w14:paraId="3A8500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9" w:type="pct"/>
                  <w:vMerge w:val="restart"/>
                  <w:tcMar>
                    <w:left w:w="28" w:type="dxa"/>
                    <w:right w:w="28" w:type="dxa"/>
                  </w:tcMar>
                  <w:vAlign w:val="center"/>
                </w:tcPr>
                <w:p w14:paraId="3A850050">
                  <w:pPr>
                    <w:adjustRightInd w:val="0"/>
                    <w:snapToGrid w:val="0"/>
                    <w:jc w:val="center"/>
                    <w:rPr>
                      <w:color w:val="auto"/>
                      <w:kern w:val="0"/>
                      <w:sz w:val="18"/>
                      <w:szCs w:val="18"/>
                    </w:rPr>
                  </w:pPr>
                  <w:r>
                    <w:rPr>
                      <w:rFonts w:hint="eastAsia"/>
                      <w:color w:val="auto"/>
                      <w:kern w:val="0"/>
                      <w:sz w:val="18"/>
                      <w:szCs w:val="18"/>
                    </w:rPr>
                    <w:t>车间</w:t>
                  </w:r>
                </w:p>
              </w:tc>
              <w:tc>
                <w:tcPr>
                  <w:tcW w:w="366" w:type="pct"/>
                  <w:tcMar>
                    <w:left w:w="28" w:type="dxa"/>
                    <w:right w:w="28" w:type="dxa"/>
                  </w:tcMar>
                  <w:vAlign w:val="center"/>
                </w:tcPr>
                <w:p w14:paraId="3A850051">
                  <w:pPr>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标签机</w:t>
                  </w:r>
                </w:p>
              </w:tc>
              <w:tc>
                <w:tcPr>
                  <w:tcW w:w="293" w:type="pct"/>
                  <w:tcMar>
                    <w:left w:w="28" w:type="dxa"/>
                    <w:right w:w="28" w:type="dxa"/>
                  </w:tcMar>
                  <w:vAlign w:val="center"/>
                </w:tcPr>
                <w:p w14:paraId="3A850052">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19</w:t>
                  </w:r>
                </w:p>
              </w:tc>
              <w:tc>
                <w:tcPr>
                  <w:tcW w:w="399" w:type="pct"/>
                  <w:tcMar>
                    <w:left w:w="28" w:type="dxa"/>
                    <w:right w:w="28" w:type="dxa"/>
                  </w:tcMar>
                  <w:vAlign w:val="center"/>
                </w:tcPr>
                <w:p w14:paraId="3A850053">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65</w:t>
                  </w:r>
                </w:p>
              </w:tc>
              <w:tc>
                <w:tcPr>
                  <w:tcW w:w="360" w:type="pct"/>
                  <w:vMerge w:val="restart"/>
                  <w:tcMar>
                    <w:left w:w="28" w:type="dxa"/>
                    <w:right w:w="28" w:type="dxa"/>
                  </w:tcMar>
                  <w:vAlign w:val="center"/>
                </w:tcPr>
                <w:p w14:paraId="3A850054">
                  <w:pPr>
                    <w:adjustRightInd w:val="0"/>
                    <w:snapToGrid w:val="0"/>
                    <w:jc w:val="center"/>
                    <w:rPr>
                      <w:color w:val="auto"/>
                      <w:kern w:val="0"/>
                      <w:sz w:val="18"/>
                      <w:szCs w:val="18"/>
                    </w:rPr>
                  </w:pPr>
                  <w:r>
                    <w:rPr>
                      <w:rFonts w:hint="eastAsia"/>
                      <w:color w:val="auto"/>
                      <w:kern w:val="0"/>
                      <w:sz w:val="18"/>
                      <w:szCs w:val="18"/>
                    </w:rPr>
                    <w:t>隔声、减振</w:t>
                  </w:r>
                </w:p>
              </w:tc>
              <w:tc>
                <w:tcPr>
                  <w:tcW w:w="365" w:type="dxa"/>
                  <w:tcMar>
                    <w:left w:w="28" w:type="dxa"/>
                    <w:right w:w="28" w:type="dxa"/>
                  </w:tcMar>
                  <w:vAlign w:val="center"/>
                </w:tcPr>
                <w:p w14:paraId="3A850055">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12</w:t>
                  </w:r>
                </w:p>
              </w:tc>
              <w:tc>
                <w:tcPr>
                  <w:tcW w:w="365" w:type="dxa"/>
                  <w:tcMar>
                    <w:left w:w="28" w:type="dxa"/>
                    <w:right w:w="28" w:type="dxa"/>
                  </w:tcMar>
                  <w:vAlign w:val="center"/>
                </w:tcPr>
                <w:p w14:paraId="3A850056">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7</w:t>
                  </w:r>
                </w:p>
              </w:tc>
              <w:tc>
                <w:tcPr>
                  <w:tcW w:w="365" w:type="dxa"/>
                  <w:tcMar>
                    <w:left w:w="28" w:type="dxa"/>
                    <w:right w:w="28" w:type="dxa"/>
                  </w:tcMar>
                  <w:vAlign w:val="center"/>
                </w:tcPr>
                <w:p w14:paraId="3A850057">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365" w:type="dxa"/>
                  <w:tcMar>
                    <w:left w:w="28" w:type="dxa"/>
                    <w:right w:w="28" w:type="dxa"/>
                  </w:tcMar>
                  <w:vAlign w:val="center"/>
                </w:tcPr>
                <w:p w14:paraId="3A850058">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6</w:t>
                  </w:r>
                </w:p>
              </w:tc>
              <w:tc>
                <w:tcPr>
                  <w:tcW w:w="365" w:type="dxa"/>
                  <w:tcMar>
                    <w:left w:w="28" w:type="dxa"/>
                    <w:right w:w="28" w:type="dxa"/>
                  </w:tcMar>
                  <w:vAlign w:val="center"/>
                </w:tcPr>
                <w:p w14:paraId="3A850059">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55</w:t>
                  </w:r>
                </w:p>
              </w:tc>
              <w:tc>
                <w:tcPr>
                  <w:tcW w:w="365" w:type="dxa"/>
                  <w:tcMar>
                    <w:left w:w="28" w:type="dxa"/>
                    <w:right w:w="28" w:type="dxa"/>
                  </w:tcMar>
                  <w:vAlign w:val="center"/>
                </w:tcPr>
                <w:p w14:paraId="3A85005A">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23</w:t>
                  </w:r>
                </w:p>
              </w:tc>
              <w:tc>
                <w:tcPr>
                  <w:tcW w:w="370" w:type="dxa"/>
                  <w:tcMar>
                    <w:left w:w="28" w:type="dxa"/>
                    <w:right w:w="28" w:type="dxa"/>
                  </w:tcMar>
                  <w:vAlign w:val="center"/>
                </w:tcPr>
                <w:p w14:paraId="3A85005B">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20</w:t>
                  </w:r>
                </w:p>
              </w:tc>
              <w:tc>
                <w:tcPr>
                  <w:tcW w:w="707" w:type="dxa"/>
                  <w:tcMar>
                    <w:left w:w="28" w:type="dxa"/>
                    <w:right w:w="28" w:type="dxa"/>
                  </w:tcMar>
                  <w:vAlign w:val="center"/>
                </w:tcPr>
                <w:p w14:paraId="3A85005C">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52</w:t>
                  </w:r>
                </w:p>
              </w:tc>
              <w:tc>
                <w:tcPr>
                  <w:tcW w:w="443" w:type="pct"/>
                  <w:tcMar>
                    <w:left w:w="28" w:type="dxa"/>
                    <w:right w:w="28" w:type="dxa"/>
                  </w:tcMar>
                  <w:vAlign w:val="center"/>
                </w:tcPr>
                <w:p w14:paraId="3A85005D">
                  <w:pPr>
                    <w:adjustRightInd w:val="0"/>
                    <w:snapToGrid w:val="0"/>
                    <w:jc w:val="center"/>
                    <w:rPr>
                      <w:color w:val="auto"/>
                      <w:kern w:val="0"/>
                      <w:sz w:val="18"/>
                      <w:szCs w:val="18"/>
                    </w:rPr>
                  </w:pPr>
                  <w:r>
                    <w:rPr>
                      <w:rFonts w:hint="eastAsia"/>
                      <w:color w:val="auto"/>
                      <w:kern w:val="0"/>
                      <w:sz w:val="18"/>
                      <w:szCs w:val="18"/>
                    </w:rPr>
                    <w:t>25</w:t>
                  </w:r>
                </w:p>
              </w:tc>
              <w:tc>
                <w:tcPr>
                  <w:tcW w:w="792" w:type="dxa"/>
                  <w:tcMar>
                    <w:left w:w="28" w:type="dxa"/>
                    <w:right w:w="28" w:type="dxa"/>
                  </w:tcMar>
                  <w:vAlign w:val="center"/>
                </w:tcPr>
                <w:p w14:paraId="3A85005E">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27</w:t>
                  </w:r>
                </w:p>
              </w:tc>
              <w:tc>
                <w:tcPr>
                  <w:tcW w:w="496" w:type="pct"/>
                  <w:tcMar>
                    <w:left w:w="28" w:type="dxa"/>
                    <w:right w:w="28" w:type="dxa"/>
                  </w:tcMar>
                  <w:vAlign w:val="center"/>
                </w:tcPr>
                <w:p w14:paraId="3A85005F">
                  <w:pPr>
                    <w:adjustRightInd w:val="0"/>
                    <w:snapToGrid w:val="0"/>
                    <w:jc w:val="center"/>
                    <w:rPr>
                      <w:color w:val="auto"/>
                      <w:kern w:val="0"/>
                      <w:sz w:val="18"/>
                      <w:szCs w:val="18"/>
                    </w:rPr>
                  </w:pPr>
                  <w:r>
                    <w:rPr>
                      <w:rFonts w:hint="eastAsia"/>
                      <w:color w:val="auto"/>
                      <w:kern w:val="0"/>
                      <w:sz w:val="18"/>
                      <w:szCs w:val="18"/>
                    </w:rPr>
                    <w:t>1</w:t>
                  </w:r>
                </w:p>
              </w:tc>
            </w:tr>
            <w:tr w14:paraId="3A8500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9" w:type="pct"/>
                  <w:vMerge w:val="continue"/>
                  <w:tcMar>
                    <w:left w:w="28" w:type="dxa"/>
                    <w:right w:w="28" w:type="dxa"/>
                  </w:tcMar>
                  <w:vAlign w:val="center"/>
                </w:tcPr>
                <w:p w14:paraId="3A850061">
                  <w:pPr>
                    <w:adjustRightInd w:val="0"/>
                    <w:snapToGrid w:val="0"/>
                    <w:jc w:val="center"/>
                    <w:rPr>
                      <w:color w:val="auto"/>
                      <w:kern w:val="0"/>
                      <w:sz w:val="18"/>
                      <w:szCs w:val="18"/>
                    </w:rPr>
                  </w:pPr>
                </w:p>
              </w:tc>
              <w:tc>
                <w:tcPr>
                  <w:tcW w:w="366" w:type="pct"/>
                  <w:tcMar>
                    <w:left w:w="28" w:type="dxa"/>
                    <w:right w:w="28" w:type="dxa"/>
                  </w:tcMar>
                  <w:vAlign w:val="center"/>
                </w:tcPr>
                <w:p w14:paraId="3A850062">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点火管压接机</w:t>
                  </w:r>
                </w:p>
              </w:tc>
              <w:tc>
                <w:tcPr>
                  <w:tcW w:w="293" w:type="pct"/>
                  <w:tcMar>
                    <w:left w:w="28" w:type="dxa"/>
                    <w:right w:w="28" w:type="dxa"/>
                  </w:tcMar>
                  <w:vAlign w:val="center"/>
                </w:tcPr>
                <w:p w14:paraId="3A850063">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16</w:t>
                  </w:r>
                </w:p>
              </w:tc>
              <w:tc>
                <w:tcPr>
                  <w:tcW w:w="399" w:type="pct"/>
                  <w:tcMar>
                    <w:left w:w="28" w:type="dxa"/>
                    <w:right w:w="28" w:type="dxa"/>
                  </w:tcMar>
                  <w:vAlign w:val="center"/>
                </w:tcPr>
                <w:p w14:paraId="3A850064">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70</w:t>
                  </w:r>
                </w:p>
              </w:tc>
              <w:tc>
                <w:tcPr>
                  <w:tcW w:w="360" w:type="pct"/>
                  <w:vMerge w:val="continue"/>
                  <w:tcMar>
                    <w:left w:w="28" w:type="dxa"/>
                    <w:right w:w="28" w:type="dxa"/>
                  </w:tcMar>
                  <w:vAlign w:val="center"/>
                </w:tcPr>
                <w:p w14:paraId="3A850065">
                  <w:pPr>
                    <w:adjustRightInd w:val="0"/>
                    <w:snapToGrid w:val="0"/>
                    <w:jc w:val="center"/>
                    <w:rPr>
                      <w:color w:val="auto"/>
                      <w:kern w:val="0"/>
                      <w:sz w:val="18"/>
                      <w:szCs w:val="18"/>
                    </w:rPr>
                  </w:pPr>
                </w:p>
              </w:tc>
              <w:tc>
                <w:tcPr>
                  <w:tcW w:w="365" w:type="dxa"/>
                  <w:tcMar>
                    <w:left w:w="28" w:type="dxa"/>
                    <w:right w:w="28" w:type="dxa"/>
                  </w:tcMar>
                  <w:vAlign w:val="center"/>
                </w:tcPr>
                <w:p w14:paraId="3A850066">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-9</w:t>
                  </w:r>
                </w:p>
              </w:tc>
              <w:tc>
                <w:tcPr>
                  <w:tcW w:w="365" w:type="dxa"/>
                  <w:tcMar>
                    <w:left w:w="28" w:type="dxa"/>
                    <w:right w:w="28" w:type="dxa"/>
                  </w:tcMar>
                  <w:vAlign w:val="center"/>
                </w:tcPr>
                <w:p w14:paraId="3A850067">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4</w:t>
                  </w:r>
                </w:p>
              </w:tc>
              <w:tc>
                <w:tcPr>
                  <w:tcW w:w="365" w:type="dxa"/>
                  <w:tcMar>
                    <w:left w:w="28" w:type="dxa"/>
                    <w:right w:w="28" w:type="dxa"/>
                  </w:tcMar>
                  <w:vAlign w:val="center"/>
                </w:tcPr>
                <w:p w14:paraId="3A850068">
                  <w:pPr>
                    <w:adjustRightInd w:val="0"/>
                    <w:snapToGrid w:val="0"/>
                    <w:jc w:val="center"/>
                    <w:rPr>
                      <w:color w:val="auto"/>
                      <w:kern w:val="0"/>
                      <w:sz w:val="18"/>
                      <w:szCs w:val="18"/>
                    </w:rPr>
                  </w:pPr>
                  <w:r>
                    <w:rPr>
                      <w:rFonts w:hint="eastAsia"/>
                      <w:color w:val="auto"/>
                      <w:kern w:val="0"/>
                      <w:sz w:val="18"/>
                      <w:szCs w:val="18"/>
                      <w:lang w:val="en-US" w:eastAsia="zh-CN"/>
                    </w:rPr>
                    <w:t>1</w:t>
                  </w:r>
                </w:p>
              </w:tc>
              <w:tc>
                <w:tcPr>
                  <w:tcW w:w="365" w:type="dxa"/>
                  <w:tcMar>
                    <w:left w:w="28" w:type="dxa"/>
                    <w:right w:w="28" w:type="dxa"/>
                  </w:tcMar>
                  <w:vAlign w:val="center"/>
                </w:tcPr>
                <w:p w14:paraId="3A850069">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23</w:t>
                  </w:r>
                </w:p>
              </w:tc>
              <w:tc>
                <w:tcPr>
                  <w:tcW w:w="365" w:type="dxa"/>
                  <w:tcMar>
                    <w:left w:w="28" w:type="dxa"/>
                    <w:right w:w="28" w:type="dxa"/>
                  </w:tcMar>
                  <w:vAlign w:val="center"/>
                </w:tcPr>
                <w:p w14:paraId="3A85006A">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40</w:t>
                  </w:r>
                </w:p>
              </w:tc>
              <w:tc>
                <w:tcPr>
                  <w:tcW w:w="365" w:type="dxa"/>
                  <w:tcMar>
                    <w:left w:w="28" w:type="dxa"/>
                    <w:right w:w="28" w:type="dxa"/>
                  </w:tcMar>
                  <w:vAlign w:val="center"/>
                </w:tcPr>
                <w:p w14:paraId="3A85006B">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6</w:t>
                  </w:r>
                </w:p>
              </w:tc>
              <w:tc>
                <w:tcPr>
                  <w:tcW w:w="370" w:type="dxa"/>
                  <w:tcMar>
                    <w:left w:w="28" w:type="dxa"/>
                    <w:right w:w="28" w:type="dxa"/>
                  </w:tcMar>
                  <w:vAlign w:val="center"/>
                </w:tcPr>
                <w:p w14:paraId="3A85006C">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35</w:t>
                  </w:r>
                </w:p>
              </w:tc>
              <w:tc>
                <w:tcPr>
                  <w:tcW w:w="707" w:type="dxa"/>
                  <w:tcMar>
                    <w:left w:w="28" w:type="dxa"/>
                    <w:right w:w="28" w:type="dxa"/>
                  </w:tcMar>
                  <w:vAlign w:val="center"/>
                </w:tcPr>
                <w:p w14:paraId="3A85006D">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58.7</w:t>
                  </w:r>
                </w:p>
              </w:tc>
              <w:tc>
                <w:tcPr>
                  <w:tcW w:w="443" w:type="pct"/>
                  <w:tcMar>
                    <w:left w:w="28" w:type="dxa"/>
                    <w:right w:w="28" w:type="dxa"/>
                  </w:tcMar>
                  <w:vAlign w:val="center"/>
                </w:tcPr>
                <w:p w14:paraId="3A85006E">
                  <w:pPr>
                    <w:adjustRightInd w:val="0"/>
                    <w:snapToGrid w:val="0"/>
                    <w:jc w:val="center"/>
                    <w:rPr>
                      <w:color w:val="auto"/>
                      <w:kern w:val="0"/>
                      <w:sz w:val="18"/>
                      <w:szCs w:val="18"/>
                    </w:rPr>
                  </w:pPr>
                  <w:r>
                    <w:rPr>
                      <w:rFonts w:hint="eastAsia"/>
                      <w:color w:val="auto"/>
                      <w:kern w:val="0"/>
                      <w:sz w:val="18"/>
                      <w:szCs w:val="18"/>
                    </w:rPr>
                    <w:t>25</w:t>
                  </w:r>
                </w:p>
              </w:tc>
              <w:tc>
                <w:tcPr>
                  <w:tcW w:w="792" w:type="dxa"/>
                  <w:tcMar>
                    <w:left w:w="28" w:type="dxa"/>
                    <w:right w:w="28" w:type="dxa"/>
                  </w:tcMar>
                  <w:vAlign w:val="center"/>
                </w:tcPr>
                <w:p w14:paraId="3A85006F">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33.7</w:t>
                  </w:r>
                </w:p>
              </w:tc>
              <w:tc>
                <w:tcPr>
                  <w:tcW w:w="496" w:type="pct"/>
                  <w:tcMar>
                    <w:left w:w="28" w:type="dxa"/>
                    <w:right w:w="28" w:type="dxa"/>
                  </w:tcMar>
                  <w:vAlign w:val="center"/>
                </w:tcPr>
                <w:p w14:paraId="3A850070">
                  <w:pPr>
                    <w:adjustRightInd w:val="0"/>
                    <w:snapToGrid w:val="0"/>
                    <w:jc w:val="center"/>
                    <w:rPr>
                      <w:color w:val="auto"/>
                      <w:kern w:val="0"/>
                      <w:sz w:val="18"/>
                      <w:szCs w:val="18"/>
                    </w:rPr>
                  </w:pPr>
                  <w:r>
                    <w:rPr>
                      <w:rFonts w:hint="eastAsia"/>
                      <w:color w:val="auto"/>
                      <w:kern w:val="0"/>
                      <w:sz w:val="18"/>
                      <w:szCs w:val="18"/>
                    </w:rPr>
                    <w:t>1</w:t>
                  </w:r>
                </w:p>
              </w:tc>
            </w:tr>
            <w:tr w14:paraId="3A8500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9" w:type="pct"/>
                  <w:vMerge w:val="continue"/>
                  <w:tcMar>
                    <w:left w:w="28" w:type="dxa"/>
                    <w:right w:w="28" w:type="dxa"/>
                  </w:tcMar>
                  <w:vAlign w:val="center"/>
                </w:tcPr>
                <w:p w14:paraId="3A850072">
                  <w:pPr>
                    <w:adjustRightInd w:val="0"/>
                    <w:snapToGrid w:val="0"/>
                    <w:jc w:val="center"/>
                    <w:rPr>
                      <w:color w:val="auto"/>
                      <w:kern w:val="0"/>
                      <w:sz w:val="18"/>
                      <w:szCs w:val="18"/>
                    </w:rPr>
                  </w:pPr>
                </w:p>
              </w:tc>
              <w:tc>
                <w:tcPr>
                  <w:tcW w:w="366" w:type="pct"/>
                  <w:tcMar>
                    <w:left w:w="28" w:type="dxa"/>
                    <w:right w:w="28" w:type="dxa"/>
                  </w:tcMar>
                  <w:vAlign w:val="center"/>
                </w:tcPr>
                <w:p w14:paraId="3A850073">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充药机</w:t>
                  </w:r>
                </w:p>
              </w:tc>
              <w:tc>
                <w:tcPr>
                  <w:tcW w:w="293" w:type="pct"/>
                  <w:tcMar>
                    <w:left w:w="28" w:type="dxa"/>
                    <w:right w:w="28" w:type="dxa"/>
                  </w:tcMar>
                  <w:vAlign w:val="center"/>
                </w:tcPr>
                <w:p w14:paraId="3A850074">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23</w:t>
                  </w:r>
                </w:p>
              </w:tc>
              <w:tc>
                <w:tcPr>
                  <w:tcW w:w="399" w:type="pct"/>
                  <w:tcMar>
                    <w:left w:w="28" w:type="dxa"/>
                    <w:right w:w="28" w:type="dxa"/>
                  </w:tcMar>
                  <w:vAlign w:val="center"/>
                </w:tcPr>
                <w:p w14:paraId="3A850075">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70</w:t>
                  </w:r>
                </w:p>
              </w:tc>
              <w:tc>
                <w:tcPr>
                  <w:tcW w:w="360" w:type="pct"/>
                  <w:vMerge w:val="continue"/>
                  <w:tcMar>
                    <w:left w:w="28" w:type="dxa"/>
                    <w:right w:w="28" w:type="dxa"/>
                  </w:tcMar>
                  <w:vAlign w:val="center"/>
                </w:tcPr>
                <w:p w14:paraId="3A850076">
                  <w:pPr>
                    <w:adjustRightInd w:val="0"/>
                    <w:snapToGrid w:val="0"/>
                    <w:jc w:val="center"/>
                    <w:rPr>
                      <w:color w:val="auto"/>
                      <w:kern w:val="0"/>
                      <w:sz w:val="18"/>
                      <w:szCs w:val="18"/>
                    </w:rPr>
                  </w:pPr>
                </w:p>
              </w:tc>
              <w:tc>
                <w:tcPr>
                  <w:tcW w:w="365" w:type="dxa"/>
                  <w:tcMar>
                    <w:left w:w="28" w:type="dxa"/>
                    <w:right w:w="28" w:type="dxa"/>
                  </w:tcMar>
                  <w:vAlign w:val="center"/>
                </w:tcPr>
                <w:p w14:paraId="3A850077">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-14</w:t>
                  </w:r>
                </w:p>
              </w:tc>
              <w:tc>
                <w:tcPr>
                  <w:tcW w:w="365" w:type="dxa"/>
                  <w:tcMar>
                    <w:left w:w="28" w:type="dxa"/>
                    <w:right w:w="28" w:type="dxa"/>
                  </w:tcMar>
                  <w:vAlign w:val="center"/>
                </w:tcPr>
                <w:p w14:paraId="3A850078">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-10</w:t>
                  </w:r>
                </w:p>
              </w:tc>
              <w:tc>
                <w:tcPr>
                  <w:tcW w:w="365" w:type="dxa"/>
                  <w:tcMar>
                    <w:left w:w="28" w:type="dxa"/>
                    <w:right w:w="28" w:type="dxa"/>
                  </w:tcMar>
                  <w:vAlign w:val="center"/>
                </w:tcPr>
                <w:p w14:paraId="3A850079">
                  <w:pPr>
                    <w:adjustRightInd w:val="0"/>
                    <w:snapToGrid w:val="0"/>
                    <w:jc w:val="center"/>
                    <w:rPr>
                      <w:color w:val="auto"/>
                      <w:kern w:val="0"/>
                      <w:sz w:val="18"/>
                      <w:szCs w:val="18"/>
                    </w:rPr>
                  </w:pPr>
                  <w:r>
                    <w:rPr>
                      <w:rFonts w:hint="eastAsia"/>
                      <w:color w:val="auto"/>
                      <w:kern w:val="0"/>
                      <w:sz w:val="18"/>
                      <w:szCs w:val="18"/>
                      <w:lang w:val="en-US" w:eastAsia="zh-CN"/>
                    </w:rPr>
                    <w:t>1</w:t>
                  </w:r>
                </w:p>
              </w:tc>
              <w:tc>
                <w:tcPr>
                  <w:tcW w:w="365" w:type="dxa"/>
                  <w:tcMar>
                    <w:left w:w="28" w:type="dxa"/>
                    <w:right w:w="28" w:type="dxa"/>
                  </w:tcMar>
                  <w:vAlign w:val="center"/>
                </w:tcPr>
                <w:p w14:paraId="3A85007A">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17</w:t>
                  </w:r>
                </w:p>
              </w:tc>
              <w:tc>
                <w:tcPr>
                  <w:tcW w:w="365" w:type="dxa"/>
                  <w:tcMar>
                    <w:left w:w="28" w:type="dxa"/>
                    <w:right w:w="28" w:type="dxa"/>
                  </w:tcMar>
                  <w:vAlign w:val="center"/>
                </w:tcPr>
                <w:p w14:paraId="3A85007B">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24</w:t>
                  </w:r>
                </w:p>
              </w:tc>
              <w:tc>
                <w:tcPr>
                  <w:tcW w:w="365" w:type="dxa"/>
                  <w:tcMar>
                    <w:left w:w="28" w:type="dxa"/>
                    <w:right w:w="28" w:type="dxa"/>
                  </w:tcMar>
                  <w:vAlign w:val="center"/>
                </w:tcPr>
                <w:p w14:paraId="3A85007C">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12</w:t>
                  </w:r>
                </w:p>
              </w:tc>
              <w:tc>
                <w:tcPr>
                  <w:tcW w:w="370" w:type="dxa"/>
                  <w:tcMar>
                    <w:left w:w="28" w:type="dxa"/>
                    <w:right w:w="28" w:type="dxa"/>
                  </w:tcMar>
                  <w:vAlign w:val="center"/>
                </w:tcPr>
                <w:p w14:paraId="3A85007D">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51</w:t>
                  </w:r>
                </w:p>
              </w:tc>
              <w:tc>
                <w:tcPr>
                  <w:tcW w:w="707" w:type="dxa"/>
                  <w:tcMar>
                    <w:left w:w="28" w:type="dxa"/>
                    <w:right w:w="28" w:type="dxa"/>
                  </w:tcMar>
                  <w:vAlign w:val="center"/>
                </w:tcPr>
                <w:p w14:paraId="3A85007E">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61.3</w:t>
                  </w:r>
                </w:p>
              </w:tc>
              <w:tc>
                <w:tcPr>
                  <w:tcW w:w="443" w:type="pct"/>
                  <w:tcMar>
                    <w:left w:w="28" w:type="dxa"/>
                    <w:right w:w="28" w:type="dxa"/>
                  </w:tcMar>
                  <w:vAlign w:val="center"/>
                </w:tcPr>
                <w:p w14:paraId="3A85007F">
                  <w:pPr>
                    <w:adjustRightInd w:val="0"/>
                    <w:snapToGrid w:val="0"/>
                    <w:jc w:val="center"/>
                    <w:rPr>
                      <w:color w:val="auto"/>
                      <w:kern w:val="0"/>
                      <w:sz w:val="18"/>
                      <w:szCs w:val="18"/>
                    </w:rPr>
                  </w:pPr>
                  <w:r>
                    <w:rPr>
                      <w:rFonts w:hint="eastAsia"/>
                      <w:color w:val="auto"/>
                      <w:kern w:val="0"/>
                      <w:sz w:val="18"/>
                      <w:szCs w:val="18"/>
                    </w:rPr>
                    <w:t>25</w:t>
                  </w:r>
                </w:p>
              </w:tc>
              <w:tc>
                <w:tcPr>
                  <w:tcW w:w="792" w:type="dxa"/>
                  <w:tcMar>
                    <w:left w:w="28" w:type="dxa"/>
                    <w:right w:w="28" w:type="dxa"/>
                  </w:tcMar>
                  <w:vAlign w:val="center"/>
                </w:tcPr>
                <w:p w14:paraId="3A850080">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36.3</w:t>
                  </w:r>
                </w:p>
              </w:tc>
              <w:tc>
                <w:tcPr>
                  <w:tcW w:w="496" w:type="pct"/>
                  <w:tcMar>
                    <w:left w:w="28" w:type="dxa"/>
                    <w:right w:w="28" w:type="dxa"/>
                  </w:tcMar>
                  <w:vAlign w:val="center"/>
                </w:tcPr>
                <w:p w14:paraId="3A850081">
                  <w:pPr>
                    <w:adjustRightInd w:val="0"/>
                    <w:snapToGrid w:val="0"/>
                    <w:jc w:val="center"/>
                    <w:rPr>
                      <w:color w:val="auto"/>
                      <w:kern w:val="0"/>
                      <w:sz w:val="18"/>
                      <w:szCs w:val="18"/>
                    </w:rPr>
                  </w:pPr>
                  <w:r>
                    <w:rPr>
                      <w:rFonts w:hint="eastAsia"/>
                      <w:color w:val="auto"/>
                      <w:kern w:val="0"/>
                      <w:sz w:val="18"/>
                      <w:szCs w:val="18"/>
                    </w:rPr>
                    <w:t>1</w:t>
                  </w:r>
                </w:p>
              </w:tc>
            </w:tr>
            <w:tr w14:paraId="3A8500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9" w:type="pct"/>
                  <w:vMerge w:val="continue"/>
                  <w:tcMar>
                    <w:left w:w="28" w:type="dxa"/>
                    <w:right w:w="28" w:type="dxa"/>
                  </w:tcMar>
                  <w:vAlign w:val="center"/>
                </w:tcPr>
                <w:p w14:paraId="3A850083">
                  <w:pPr>
                    <w:adjustRightInd w:val="0"/>
                    <w:snapToGrid w:val="0"/>
                    <w:jc w:val="center"/>
                    <w:rPr>
                      <w:color w:val="auto"/>
                      <w:kern w:val="0"/>
                      <w:sz w:val="18"/>
                      <w:szCs w:val="18"/>
                    </w:rPr>
                  </w:pPr>
                </w:p>
              </w:tc>
              <w:tc>
                <w:tcPr>
                  <w:tcW w:w="366" w:type="pct"/>
                  <w:tcMar>
                    <w:left w:w="28" w:type="dxa"/>
                    <w:right w:w="28" w:type="dxa"/>
                  </w:tcMar>
                  <w:vAlign w:val="center"/>
                </w:tcPr>
                <w:p w14:paraId="3A850084">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惯性焊</w:t>
                  </w:r>
                </w:p>
              </w:tc>
              <w:tc>
                <w:tcPr>
                  <w:tcW w:w="293" w:type="pct"/>
                  <w:tcMar>
                    <w:left w:w="28" w:type="dxa"/>
                    <w:right w:w="28" w:type="dxa"/>
                  </w:tcMar>
                  <w:vAlign w:val="center"/>
                </w:tcPr>
                <w:p w14:paraId="3A850085">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19</w:t>
                  </w:r>
                </w:p>
              </w:tc>
              <w:tc>
                <w:tcPr>
                  <w:tcW w:w="399" w:type="pct"/>
                  <w:tcMar>
                    <w:left w:w="28" w:type="dxa"/>
                    <w:right w:w="28" w:type="dxa"/>
                  </w:tcMar>
                  <w:vAlign w:val="center"/>
                </w:tcPr>
                <w:p w14:paraId="3A850086">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75</w:t>
                  </w:r>
                </w:p>
              </w:tc>
              <w:tc>
                <w:tcPr>
                  <w:tcW w:w="360" w:type="pct"/>
                  <w:vMerge w:val="continue"/>
                  <w:tcMar>
                    <w:left w:w="28" w:type="dxa"/>
                    <w:right w:w="28" w:type="dxa"/>
                  </w:tcMar>
                  <w:vAlign w:val="center"/>
                </w:tcPr>
                <w:p w14:paraId="3A850087">
                  <w:pPr>
                    <w:adjustRightInd w:val="0"/>
                    <w:snapToGrid w:val="0"/>
                    <w:jc w:val="center"/>
                    <w:rPr>
                      <w:color w:val="auto"/>
                      <w:kern w:val="0"/>
                      <w:sz w:val="18"/>
                      <w:szCs w:val="18"/>
                    </w:rPr>
                  </w:pPr>
                </w:p>
              </w:tc>
              <w:tc>
                <w:tcPr>
                  <w:tcW w:w="365" w:type="dxa"/>
                  <w:tcMar>
                    <w:left w:w="28" w:type="dxa"/>
                    <w:right w:w="28" w:type="dxa"/>
                  </w:tcMar>
                  <w:vAlign w:val="center"/>
                </w:tcPr>
                <w:p w14:paraId="3A850088">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3</w:t>
                  </w:r>
                </w:p>
              </w:tc>
              <w:tc>
                <w:tcPr>
                  <w:tcW w:w="365" w:type="dxa"/>
                  <w:tcMar>
                    <w:left w:w="28" w:type="dxa"/>
                    <w:right w:w="28" w:type="dxa"/>
                  </w:tcMar>
                  <w:vAlign w:val="center"/>
                </w:tcPr>
                <w:p w14:paraId="3A850089">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-5</w:t>
                  </w:r>
                </w:p>
              </w:tc>
              <w:tc>
                <w:tcPr>
                  <w:tcW w:w="365" w:type="dxa"/>
                  <w:tcMar>
                    <w:left w:w="28" w:type="dxa"/>
                    <w:right w:w="28" w:type="dxa"/>
                  </w:tcMar>
                  <w:vAlign w:val="center"/>
                </w:tcPr>
                <w:p w14:paraId="3A85008A">
                  <w:pPr>
                    <w:adjustRightInd w:val="0"/>
                    <w:snapToGrid w:val="0"/>
                    <w:jc w:val="center"/>
                    <w:rPr>
                      <w:color w:val="auto"/>
                      <w:kern w:val="0"/>
                      <w:sz w:val="18"/>
                      <w:szCs w:val="18"/>
                    </w:rPr>
                  </w:pPr>
                  <w:r>
                    <w:rPr>
                      <w:rFonts w:hint="eastAsia"/>
                      <w:color w:val="auto"/>
                      <w:kern w:val="0"/>
                      <w:sz w:val="18"/>
                      <w:szCs w:val="18"/>
                      <w:lang w:val="en-US" w:eastAsia="zh-CN"/>
                    </w:rPr>
                    <w:t>1</w:t>
                  </w:r>
                </w:p>
              </w:tc>
              <w:tc>
                <w:tcPr>
                  <w:tcW w:w="365" w:type="dxa"/>
                  <w:tcMar>
                    <w:left w:w="28" w:type="dxa"/>
                    <w:right w:w="28" w:type="dxa"/>
                  </w:tcMar>
                  <w:vAlign w:val="center"/>
                </w:tcPr>
                <w:p w14:paraId="3A85008B">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6</w:t>
                  </w:r>
                </w:p>
              </w:tc>
              <w:tc>
                <w:tcPr>
                  <w:tcW w:w="365" w:type="dxa"/>
                  <w:tcMar>
                    <w:left w:w="28" w:type="dxa"/>
                    <w:right w:w="28" w:type="dxa"/>
                  </w:tcMar>
                  <w:vAlign w:val="center"/>
                </w:tcPr>
                <w:p w14:paraId="3A85008C">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39</w:t>
                  </w:r>
                </w:p>
              </w:tc>
              <w:tc>
                <w:tcPr>
                  <w:tcW w:w="365" w:type="dxa"/>
                  <w:tcMar>
                    <w:left w:w="28" w:type="dxa"/>
                    <w:right w:w="28" w:type="dxa"/>
                  </w:tcMar>
                  <w:vAlign w:val="center"/>
                </w:tcPr>
                <w:p w14:paraId="3A85008D">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23</w:t>
                  </w:r>
                </w:p>
              </w:tc>
              <w:tc>
                <w:tcPr>
                  <w:tcW w:w="370" w:type="dxa"/>
                  <w:tcMar>
                    <w:left w:w="28" w:type="dxa"/>
                    <w:right w:w="28" w:type="dxa"/>
                  </w:tcMar>
                  <w:vAlign w:val="center"/>
                </w:tcPr>
                <w:p w14:paraId="3A85008E">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36</w:t>
                  </w:r>
                </w:p>
              </w:tc>
              <w:tc>
                <w:tcPr>
                  <w:tcW w:w="707" w:type="dxa"/>
                  <w:tcMar>
                    <w:left w:w="28" w:type="dxa"/>
                    <w:right w:w="28" w:type="dxa"/>
                  </w:tcMar>
                  <w:vAlign w:val="center"/>
                </w:tcPr>
                <w:p w14:paraId="3A85008F">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65.1</w:t>
                  </w:r>
                </w:p>
              </w:tc>
              <w:tc>
                <w:tcPr>
                  <w:tcW w:w="443" w:type="pct"/>
                  <w:tcMar>
                    <w:left w:w="28" w:type="dxa"/>
                    <w:right w:w="28" w:type="dxa"/>
                  </w:tcMar>
                  <w:vAlign w:val="center"/>
                </w:tcPr>
                <w:p w14:paraId="3A850090">
                  <w:pPr>
                    <w:adjustRightInd w:val="0"/>
                    <w:snapToGrid w:val="0"/>
                    <w:jc w:val="center"/>
                    <w:rPr>
                      <w:color w:val="auto"/>
                      <w:kern w:val="0"/>
                      <w:sz w:val="18"/>
                      <w:szCs w:val="18"/>
                    </w:rPr>
                  </w:pPr>
                  <w:r>
                    <w:rPr>
                      <w:rFonts w:hint="eastAsia"/>
                      <w:color w:val="auto"/>
                      <w:kern w:val="0"/>
                      <w:sz w:val="18"/>
                      <w:szCs w:val="18"/>
                    </w:rPr>
                    <w:t>25</w:t>
                  </w:r>
                </w:p>
              </w:tc>
              <w:tc>
                <w:tcPr>
                  <w:tcW w:w="792" w:type="dxa"/>
                  <w:tcMar>
                    <w:left w:w="28" w:type="dxa"/>
                    <w:right w:w="28" w:type="dxa"/>
                  </w:tcMar>
                  <w:vAlign w:val="center"/>
                </w:tcPr>
                <w:p w14:paraId="3A850091">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40.1</w:t>
                  </w:r>
                </w:p>
              </w:tc>
              <w:tc>
                <w:tcPr>
                  <w:tcW w:w="496" w:type="pct"/>
                  <w:tcMar>
                    <w:left w:w="28" w:type="dxa"/>
                    <w:right w:w="28" w:type="dxa"/>
                  </w:tcMar>
                  <w:vAlign w:val="center"/>
                </w:tcPr>
                <w:p w14:paraId="3A850092">
                  <w:pPr>
                    <w:adjustRightInd w:val="0"/>
                    <w:snapToGrid w:val="0"/>
                    <w:jc w:val="center"/>
                    <w:rPr>
                      <w:color w:val="auto"/>
                      <w:kern w:val="0"/>
                      <w:sz w:val="18"/>
                      <w:szCs w:val="18"/>
                    </w:rPr>
                  </w:pPr>
                  <w:r>
                    <w:rPr>
                      <w:rFonts w:hint="eastAsia"/>
                      <w:color w:val="auto"/>
                      <w:kern w:val="0"/>
                      <w:sz w:val="18"/>
                      <w:szCs w:val="18"/>
                    </w:rPr>
                    <w:t>1</w:t>
                  </w:r>
                </w:p>
              </w:tc>
            </w:tr>
            <w:tr w14:paraId="3A8500A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9" w:type="pct"/>
                  <w:vMerge w:val="continue"/>
                  <w:tcMar>
                    <w:left w:w="28" w:type="dxa"/>
                    <w:right w:w="28" w:type="dxa"/>
                  </w:tcMar>
                  <w:vAlign w:val="center"/>
                </w:tcPr>
                <w:p w14:paraId="3A850094">
                  <w:pPr>
                    <w:adjustRightInd w:val="0"/>
                    <w:snapToGrid w:val="0"/>
                    <w:jc w:val="center"/>
                    <w:rPr>
                      <w:color w:val="auto"/>
                      <w:kern w:val="0"/>
                      <w:sz w:val="18"/>
                      <w:szCs w:val="18"/>
                    </w:rPr>
                  </w:pPr>
                </w:p>
              </w:tc>
              <w:tc>
                <w:tcPr>
                  <w:tcW w:w="366" w:type="pct"/>
                  <w:tcMar>
                    <w:left w:w="28" w:type="dxa"/>
                    <w:right w:w="28" w:type="dxa"/>
                  </w:tcMar>
                  <w:vAlign w:val="center"/>
                </w:tcPr>
                <w:p w14:paraId="3A850095">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警示标签机</w:t>
                  </w:r>
                </w:p>
              </w:tc>
              <w:tc>
                <w:tcPr>
                  <w:tcW w:w="293" w:type="pct"/>
                  <w:tcMar>
                    <w:left w:w="28" w:type="dxa"/>
                    <w:right w:w="28" w:type="dxa"/>
                  </w:tcMar>
                  <w:vAlign w:val="center"/>
                </w:tcPr>
                <w:p w14:paraId="3A850096">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19</w:t>
                  </w:r>
                </w:p>
              </w:tc>
              <w:tc>
                <w:tcPr>
                  <w:tcW w:w="399" w:type="pct"/>
                  <w:tcMar>
                    <w:left w:w="28" w:type="dxa"/>
                    <w:right w:w="28" w:type="dxa"/>
                  </w:tcMar>
                  <w:vAlign w:val="center"/>
                </w:tcPr>
                <w:p w14:paraId="3A850097">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65</w:t>
                  </w:r>
                </w:p>
              </w:tc>
              <w:tc>
                <w:tcPr>
                  <w:tcW w:w="360" w:type="pct"/>
                  <w:vMerge w:val="continue"/>
                  <w:tcMar>
                    <w:left w:w="28" w:type="dxa"/>
                    <w:right w:w="28" w:type="dxa"/>
                  </w:tcMar>
                  <w:vAlign w:val="center"/>
                </w:tcPr>
                <w:p w14:paraId="3A850098">
                  <w:pPr>
                    <w:adjustRightInd w:val="0"/>
                    <w:snapToGrid w:val="0"/>
                    <w:jc w:val="center"/>
                    <w:rPr>
                      <w:color w:val="auto"/>
                      <w:kern w:val="0"/>
                      <w:sz w:val="18"/>
                      <w:szCs w:val="18"/>
                    </w:rPr>
                  </w:pPr>
                </w:p>
              </w:tc>
              <w:tc>
                <w:tcPr>
                  <w:tcW w:w="365" w:type="dxa"/>
                  <w:tcMar>
                    <w:left w:w="28" w:type="dxa"/>
                    <w:right w:w="28" w:type="dxa"/>
                  </w:tcMar>
                  <w:vAlign w:val="center"/>
                </w:tcPr>
                <w:p w14:paraId="3A850099">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-9</w:t>
                  </w:r>
                </w:p>
              </w:tc>
              <w:tc>
                <w:tcPr>
                  <w:tcW w:w="365" w:type="dxa"/>
                  <w:tcMar>
                    <w:left w:w="28" w:type="dxa"/>
                    <w:right w:w="28" w:type="dxa"/>
                  </w:tcMar>
                  <w:vAlign w:val="center"/>
                </w:tcPr>
                <w:p w14:paraId="3A85009A">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-20</w:t>
                  </w:r>
                </w:p>
              </w:tc>
              <w:tc>
                <w:tcPr>
                  <w:tcW w:w="365" w:type="dxa"/>
                  <w:tcMar>
                    <w:left w:w="28" w:type="dxa"/>
                    <w:right w:w="28" w:type="dxa"/>
                  </w:tcMar>
                  <w:vAlign w:val="center"/>
                </w:tcPr>
                <w:p w14:paraId="3A85009B">
                  <w:pPr>
                    <w:adjustRightInd w:val="0"/>
                    <w:snapToGrid w:val="0"/>
                    <w:jc w:val="center"/>
                    <w:rPr>
                      <w:color w:val="auto"/>
                      <w:kern w:val="0"/>
                      <w:sz w:val="18"/>
                      <w:szCs w:val="18"/>
                    </w:rPr>
                  </w:pPr>
                  <w:r>
                    <w:rPr>
                      <w:rFonts w:hint="eastAsia"/>
                      <w:color w:val="auto"/>
                      <w:kern w:val="0"/>
                      <w:sz w:val="18"/>
                      <w:szCs w:val="18"/>
                      <w:lang w:val="en-US" w:eastAsia="zh-CN"/>
                    </w:rPr>
                    <w:t>1</w:t>
                  </w:r>
                </w:p>
              </w:tc>
              <w:tc>
                <w:tcPr>
                  <w:tcW w:w="365" w:type="dxa"/>
                  <w:tcMar>
                    <w:left w:w="28" w:type="dxa"/>
                    <w:right w:w="28" w:type="dxa"/>
                  </w:tcMar>
                  <w:vAlign w:val="center"/>
                </w:tcPr>
                <w:p w14:paraId="3A85009C">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8</w:t>
                  </w:r>
                </w:p>
              </w:tc>
              <w:tc>
                <w:tcPr>
                  <w:tcW w:w="365" w:type="dxa"/>
                  <w:tcMar>
                    <w:left w:w="28" w:type="dxa"/>
                    <w:right w:w="28" w:type="dxa"/>
                  </w:tcMar>
                  <w:vAlign w:val="center"/>
                </w:tcPr>
                <w:p w14:paraId="3A85009D">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19</w:t>
                  </w:r>
                </w:p>
              </w:tc>
              <w:tc>
                <w:tcPr>
                  <w:tcW w:w="365" w:type="dxa"/>
                  <w:tcMar>
                    <w:left w:w="28" w:type="dxa"/>
                    <w:right w:w="28" w:type="dxa"/>
                  </w:tcMar>
                  <w:vAlign w:val="center"/>
                </w:tcPr>
                <w:p w14:paraId="3A85009E">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21</w:t>
                  </w:r>
                </w:p>
              </w:tc>
              <w:tc>
                <w:tcPr>
                  <w:tcW w:w="370" w:type="dxa"/>
                  <w:tcMar>
                    <w:left w:w="28" w:type="dxa"/>
                    <w:right w:w="28" w:type="dxa"/>
                  </w:tcMar>
                  <w:vAlign w:val="center"/>
                </w:tcPr>
                <w:p w14:paraId="3A85009F">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56</w:t>
                  </w:r>
                </w:p>
              </w:tc>
              <w:tc>
                <w:tcPr>
                  <w:tcW w:w="707" w:type="dxa"/>
                  <w:tcMar>
                    <w:left w:w="28" w:type="dxa"/>
                    <w:right w:w="28" w:type="dxa"/>
                  </w:tcMar>
                  <w:vAlign w:val="center"/>
                </w:tcPr>
                <w:p w14:paraId="3A8500A0">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65.4</w:t>
                  </w:r>
                </w:p>
              </w:tc>
              <w:tc>
                <w:tcPr>
                  <w:tcW w:w="443" w:type="pct"/>
                  <w:tcMar>
                    <w:left w:w="28" w:type="dxa"/>
                    <w:right w:w="28" w:type="dxa"/>
                  </w:tcMar>
                  <w:vAlign w:val="center"/>
                </w:tcPr>
                <w:p w14:paraId="3A8500A1">
                  <w:pPr>
                    <w:adjustRightInd w:val="0"/>
                    <w:snapToGrid w:val="0"/>
                    <w:jc w:val="center"/>
                    <w:rPr>
                      <w:color w:val="auto"/>
                      <w:kern w:val="0"/>
                      <w:sz w:val="18"/>
                      <w:szCs w:val="18"/>
                    </w:rPr>
                  </w:pPr>
                  <w:r>
                    <w:rPr>
                      <w:rFonts w:hint="eastAsia"/>
                      <w:color w:val="auto"/>
                      <w:kern w:val="0"/>
                      <w:sz w:val="18"/>
                      <w:szCs w:val="18"/>
                    </w:rPr>
                    <w:t>25</w:t>
                  </w:r>
                </w:p>
              </w:tc>
              <w:tc>
                <w:tcPr>
                  <w:tcW w:w="792" w:type="dxa"/>
                  <w:tcMar>
                    <w:left w:w="28" w:type="dxa"/>
                    <w:right w:w="28" w:type="dxa"/>
                  </w:tcMar>
                  <w:vAlign w:val="center"/>
                </w:tcPr>
                <w:p w14:paraId="3A8500A2">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40.4</w:t>
                  </w:r>
                </w:p>
              </w:tc>
              <w:tc>
                <w:tcPr>
                  <w:tcW w:w="496" w:type="pct"/>
                  <w:tcMar>
                    <w:left w:w="28" w:type="dxa"/>
                    <w:right w:w="28" w:type="dxa"/>
                  </w:tcMar>
                  <w:vAlign w:val="center"/>
                </w:tcPr>
                <w:p w14:paraId="3A8500A3">
                  <w:pPr>
                    <w:adjustRightInd w:val="0"/>
                    <w:snapToGrid w:val="0"/>
                    <w:jc w:val="center"/>
                    <w:rPr>
                      <w:color w:val="auto"/>
                      <w:kern w:val="0"/>
                      <w:sz w:val="18"/>
                      <w:szCs w:val="18"/>
                    </w:rPr>
                  </w:pPr>
                  <w:r>
                    <w:rPr>
                      <w:rFonts w:hint="eastAsia"/>
                      <w:color w:val="auto"/>
                      <w:kern w:val="0"/>
                      <w:sz w:val="18"/>
                      <w:szCs w:val="18"/>
                    </w:rPr>
                    <w:t>1</w:t>
                  </w:r>
                </w:p>
              </w:tc>
            </w:tr>
            <w:tr w14:paraId="3A8500F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trPr>
              <w:tc>
                <w:tcPr>
                  <w:tcW w:w="5000" w:type="pct"/>
                  <w:gridSpan w:val="16"/>
                  <w:tcMar>
                    <w:left w:w="28" w:type="dxa"/>
                    <w:right w:w="28" w:type="dxa"/>
                  </w:tcMar>
                  <w:vAlign w:val="center"/>
                </w:tcPr>
                <w:p w14:paraId="3A8500FA">
                  <w:pPr>
                    <w:adjustRightInd w:val="0"/>
                    <w:snapToGrid w:val="0"/>
                    <w:jc w:val="left"/>
                    <w:rPr>
                      <w:color w:val="auto"/>
                      <w:kern w:val="0"/>
                      <w:sz w:val="18"/>
                      <w:szCs w:val="18"/>
                    </w:rPr>
                  </w:pPr>
                  <w:r>
                    <w:rPr>
                      <w:rFonts w:hint="eastAsia"/>
                      <w:color w:val="auto"/>
                      <w:kern w:val="0"/>
                      <w:sz w:val="18"/>
                      <w:szCs w:val="18"/>
                    </w:rPr>
                    <w:t>注：①本项目以</w:t>
                  </w:r>
                  <w:r>
                    <w:rPr>
                      <w:rFonts w:hint="eastAsia"/>
                      <w:color w:val="auto"/>
                      <w:kern w:val="0"/>
                      <w:sz w:val="18"/>
                      <w:szCs w:val="18"/>
                      <w:lang w:val="en-US" w:eastAsia="zh-CN"/>
                    </w:rPr>
                    <w:t>车间</w:t>
                  </w:r>
                  <w:r>
                    <w:rPr>
                      <w:rFonts w:hint="eastAsia"/>
                      <w:color w:val="auto"/>
                      <w:kern w:val="0"/>
                      <w:sz w:val="18"/>
                      <w:szCs w:val="18"/>
                    </w:rPr>
                    <w:t>中心为坐标原点；②为距室内边界距离；③“声压级</w:t>
                  </w:r>
                  <w:r>
                    <w:rPr>
                      <w:color w:val="auto"/>
                      <w:kern w:val="0"/>
                      <w:sz w:val="18"/>
                      <w:szCs w:val="18"/>
                    </w:rPr>
                    <w:t>/</w:t>
                  </w:r>
                  <w:r>
                    <w:rPr>
                      <w:rFonts w:hint="eastAsia"/>
                      <w:color w:val="auto"/>
                      <w:kern w:val="0"/>
                      <w:sz w:val="18"/>
                      <w:szCs w:val="18"/>
                    </w:rPr>
                    <w:t>距声源距离</w:t>
                  </w:r>
                  <w:r>
                    <w:rPr>
                      <w:color w:val="auto"/>
                      <w:kern w:val="0"/>
                      <w:sz w:val="18"/>
                      <w:szCs w:val="18"/>
                    </w:rPr>
                    <w:t>/dB</w:t>
                  </w:r>
                  <w:r>
                    <w:rPr>
                      <w:rFonts w:hint="eastAsia"/>
                      <w:color w:val="auto"/>
                      <w:kern w:val="0"/>
                      <w:sz w:val="18"/>
                      <w:szCs w:val="18"/>
                    </w:rPr>
                    <w:t>（</w:t>
                  </w:r>
                  <w:r>
                    <w:rPr>
                      <w:color w:val="auto"/>
                      <w:kern w:val="0"/>
                      <w:sz w:val="18"/>
                      <w:szCs w:val="18"/>
                    </w:rPr>
                    <w:t>A</w:t>
                  </w:r>
                  <w:r>
                    <w:rPr>
                      <w:rFonts w:hint="eastAsia"/>
                      <w:color w:val="auto"/>
                      <w:kern w:val="0"/>
                      <w:sz w:val="18"/>
                      <w:szCs w:val="18"/>
                    </w:rPr>
                    <w:t>）</w:t>
                  </w:r>
                  <w:r>
                    <w:rPr>
                      <w:color w:val="auto"/>
                      <w:kern w:val="0"/>
                      <w:sz w:val="18"/>
                      <w:szCs w:val="18"/>
                    </w:rPr>
                    <w:t>/m</w:t>
                  </w:r>
                  <w:r>
                    <w:rPr>
                      <w:rFonts w:hint="eastAsia"/>
                      <w:color w:val="auto"/>
                      <w:kern w:val="0"/>
                      <w:sz w:val="18"/>
                      <w:szCs w:val="18"/>
                    </w:rPr>
                    <w:t>”中“声压级”为单台设备的声压级；④建筑物外最近距离。</w:t>
                  </w:r>
                </w:p>
              </w:tc>
            </w:tr>
          </w:tbl>
          <w:p w14:paraId="3A850109">
            <w:pPr>
              <w:widowControl/>
              <w:adjustRightInd w:val="0"/>
              <w:snapToGrid w:val="0"/>
              <w:spacing w:line="360" w:lineRule="auto"/>
              <w:ind w:firstLine="420" w:firstLineChars="200"/>
              <w:rPr>
                <w:b/>
                <w:bCs/>
                <w:color w:val="auto"/>
                <w:kern w:val="0"/>
              </w:rPr>
            </w:pPr>
            <w:r>
              <w:rPr>
                <w:rFonts w:hint="eastAsia"/>
                <w:color w:val="auto"/>
                <w:kern w:val="0"/>
              </w:rPr>
              <w:t>通过选用低噪声设备、吸声、隔声、合理布局、减振等措施，可使项目产生的噪声源强削减25dB（A），以减轻噪声对周围环境的影响。上述措施到位时，项目地周围噪声可达标排放。</w:t>
            </w:r>
          </w:p>
          <w:p w14:paraId="3A85010A">
            <w:pPr>
              <w:adjustRightInd w:val="0"/>
              <w:snapToGrid w:val="0"/>
              <w:spacing w:line="360" w:lineRule="auto"/>
              <w:ind w:firstLine="422" w:firstLineChars="200"/>
              <w:rPr>
                <w:b/>
                <w:bCs/>
                <w:color w:val="auto"/>
                <w:kern w:val="0"/>
              </w:rPr>
            </w:pPr>
            <w:r>
              <w:rPr>
                <w:rFonts w:hint="eastAsia"/>
                <w:b/>
                <w:bCs/>
                <w:color w:val="auto"/>
                <w:kern w:val="0"/>
              </w:rPr>
              <w:t>（2）噪声污染防治措施</w:t>
            </w:r>
          </w:p>
          <w:p w14:paraId="3A85010B">
            <w:pPr>
              <w:adjustRightInd w:val="0"/>
              <w:snapToGrid w:val="0"/>
              <w:spacing w:line="360" w:lineRule="auto"/>
              <w:ind w:firstLine="420" w:firstLineChars="200"/>
              <w:rPr>
                <w:color w:val="auto"/>
                <w:kern w:val="0"/>
              </w:rPr>
            </w:pPr>
            <w:r>
              <w:rPr>
                <w:rFonts w:hint="eastAsia" w:ascii="宋体" w:hAnsi="宋体" w:cs="宋体"/>
                <w:color w:val="auto"/>
                <w:kern w:val="0"/>
              </w:rPr>
              <w:t>①</w:t>
            </w:r>
            <w:r>
              <w:rPr>
                <w:color w:val="auto"/>
                <w:kern w:val="0"/>
              </w:rPr>
              <w:t>企业在选购设备时购置符合国家颁布的各类机械噪声标准的低噪声设备，保证运行时能符合工业企业车间噪声卫生标准，同时能保证达到厂界噪声控制值。</w:t>
            </w:r>
          </w:p>
          <w:p w14:paraId="3A85010C">
            <w:pPr>
              <w:adjustRightInd w:val="0"/>
              <w:snapToGrid w:val="0"/>
              <w:spacing w:line="360" w:lineRule="auto"/>
              <w:ind w:firstLine="420" w:firstLineChars="200"/>
              <w:rPr>
                <w:color w:val="auto"/>
                <w:kern w:val="0"/>
              </w:rPr>
            </w:pPr>
            <w:r>
              <w:rPr>
                <w:rFonts w:hint="eastAsia" w:ascii="宋体" w:hAnsi="宋体" w:cs="宋体"/>
                <w:color w:val="auto"/>
                <w:kern w:val="0"/>
              </w:rPr>
              <w:t>②</w:t>
            </w:r>
            <w:r>
              <w:rPr>
                <w:color w:val="auto"/>
                <w:kern w:val="0"/>
              </w:rPr>
              <w:t>对噪声污染大的设备，如风机等须配置减振装置，安装隔声罩或消声器。</w:t>
            </w:r>
          </w:p>
          <w:p w14:paraId="3A85010D">
            <w:pPr>
              <w:adjustRightInd w:val="0"/>
              <w:snapToGrid w:val="0"/>
              <w:spacing w:line="360" w:lineRule="auto"/>
              <w:ind w:firstLine="420" w:firstLineChars="200"/>
              <w:rPr>
                <w:color w:val="auto"/>
                <w:kern w:val="0"/>
              </w:rPr>
            </w:pPr>
            <w:r>
              <w:rPr>
                <w:rFonts w:hint="eastAsia" w:ascii="宋体" w:hAnsi="宋体" w:cs="宋体"/>
                <w:color w:val="auto"/>
                <w:kern w:val="0"/>
              </w:rPr>
              <w:t>③</w:t>
            </w:r>
            <w:r>
              <w:rPr>
                <w:color w:val="auto"/>
                <w:kern w:val="0"/>
              </w:rPr>
              <w:t>在噪声传播途径上采取措施加以控制，如强噪声源车间的建筑围护结构均以封闭为主，同时采取车间外及厂界的绿化，利用建筑物与树木阻隔声音的传播。</w:t>
            </w:r>
          </w:p>
          <w:p w14:paraId="3A85010E">
            <w:pPr>
              <w:adjustRightInd w:val="0"/>
              <w:snapToGrid w:val="0"/>
              <w:spacing w:line="360" w:lineRule="auto"/>
              <w:ind w:firstLine="420" w:firstLineChars="200"/>
              <w:rPr>
                <w:color w:val="auto"/>
                <w:kern w:val="0"/>
              </w:rPr>
            </w:pPr>
            <w:r>
              <w:rPr>
                <w:color w:val="auto"/>
                <w:kern w:val="0"/>
              </w:rPr>
              <w:fldChar w:fldCharType="begin"/>
            </w:r>
            <w:r>
              <w:rPr>
                <w:color w:val="auto"/>
                <w:kern w:val="0"/>
              </w:rPr>
              <w:instrText xml:space="preserve"> = 4 \* GB3 \* MERGEFORMAT </w:instrText>
            </w:r>
            <w:r>
              <w:rPr>
                <w:color w:val="auto"/>
                <w:kern w:val="0"/>
              </w:rPr>
              <w:fldChar w:fldCharType="separate"/>
            </w:r>
            <w:r>
              <w:rPr>
                <w:color w:val="auto"/>
                <w:kern w:val="0"/>
              </w:rPr>
              <w:t>④</w:t>
            </w:r>
            <w:r>
              <w:rPr>
                <w:color w:val="auto"/>
                <w:kern w:val="0"/>
              </w:rPr>
              <w:fldChar w:fldCharType="end"/>
            </w:r>
            <w:r>
              <w:rPr>
                <w:color w:val="auto"/>
                <w:kern w:val="0"/>
              </w:rPr>
              <w:t>项目噪声污染防治工作执行</w:t>
            </w:r>
            <w:r>
              <w:rPr>
                <w:rFonts w:hint="eastAsia"/>
                <w:color w:val="auto"/>
                <w:kern w:val="0"/>
              </w:rPr>
              <w:t>“</w:t>
            </w:r>
            <w:r>
              <w:rPr>
                <w:color w:val="auto"/>
                <w:kern w:val="0"/>
              </w:rPr>
              <w:t>三同时</w:t>
            </w:r>
            <w:r>
              <w:rPr>
                <w:rFonts w:hint="eastAsia"/>
                <w:color w:val="auto"/>
                <w:kern w:val="0"/>
              </w:rPr>
              <w:t>”</w:t>
            </w:r>
            <w:r>
              <w:rPr>
                <w:color w:val="auto"/>
                <w:kern w:val="0"/>
              </w:rPr>
              <w:t>制度。对防振垫、隔声、吸声、消声器等降噪设备应进行定期检查、维修，对不符合要求的及时更换，防止机械噪声的升高。</w:t>
            </w:r>
          </w:p>
          <w:p w14:paraId="3A85010F">
            <w:pPr>
              <w:adjustRightInd w:val="0"/>
              <w:snapToGrid w:val="0"/>
              <w:spacing w:line="360" w:lineRule="auto"/>
              <w:ind w:firstLine="420" w:firstLineChars="200"/>
              <w:rPr>
                <w:color w:val="auto"/>
                <w:kern w:val="0"/>
              </w:rPr>
            </w:pPr>
            <w:r>
              <w:rPr>
                <w:color w:val="auto"/>
                <w:kern w:val="0"/>
              </w:rPr>
              <w:fldChar w:fldCharType="begin"/>
            </w:r>
            <w:r>
              <w:rPr>
                <w:color w:val="auto"/>
                <w:kern w:val="0"/>
              </w:rPr>
              <w:instrText xml:space="preserve"> = 5 \* GB3 \* MERGEFORMAT </w:instrText>
            </w:r>
            <w:r>
              <w:rPr>
                <w:color w:val="auto"/>
                <w:kern w:val="0"/>
              </w:rPr>
              <w:fldChar w:fldCharType="separate"/>
            </w:r>
            <w:r>
              <w:rPr>
                <w:color w:val="auto"/>
                <w:kern w:val="0"/>
              </w:rPr>
              <w:t>⑤</w:t>
            </w:r>
            <w:r>
              <w:rPr>
                <w:color w:val="auto"/>
                <w:kern w:val="0"/>
              </w:rPr>
              <w:fldChar w:fldCharType="end"/>
            </w:r>
            <w:r>
              <w:rPr>
                <w:color w:val="auto"/>
                <w:kern w:val="0"/>
              </w:rPr>
              <w:t>加强设备的维修保养，使设备处于最佳工作状态。</w:t>
            </w:r>
          </w:p>
          <w:p w14:paraId="3A850110">
            <w:pPr>
              <w:widowControl/>
              <w:snapToGrid w:val="0"/>
              <w:spacing w:line="360" w:lineRule="auto"/>
              <w:ind w:firstLine="422" w:firstLineChars="200"/>
              <w:rPr>
                <w:b/>
                <w:bCs/>
                <w:color w:val="auto"/>
                <w:kern w:val="0"/>
              </w:rPr>
            </w:pPr>
            <w:r>
              <w:rPr>
                <w:rFonts w:hint="eastAsia"/>
                <w:b/>
                <w:bCs/>
                <w:color w:val="auto"/>
                <w:kern w:val="0"/>
              </w:rPr>
              <w:t>（3）达标排放分析</w:t>
            </w:r>
          </w:p>
          <w:p w14:paraId="3A850111">
            <w:pPr>
              <w:adjustRightInd w:val="0"/>
              <w:snapToGrid w:val="0"/>
              <w:spacing w:line="360" w:lineRule="auto"/>
              <w:ind w:firstLine="420" w:firstLineChars="200"/>
              <w:rPr>
                <w:color w:val="auto"/>
                <w:kern w:val="0"/>
              </w:rPr>
            </w:pPr>
            <w:r>
              <w:rPr>
                <w:rFonts w:hint="eastAsia" w:cs="宋体"/>
                <w:color w:val="auto"/>
                <w:kern w:val="0"/>
              </w:rPr>
              <w:t>本次环评声环境影响预测方法采用《环境影响评价技术导则声环境》（HJ2.4-2021）中工业噪声预测计算模式。预测模式如下：</w:t>
            </w:r>
          </w:p>
          <w:p w14:paraId="3A850112">
            <w:pPr>
              <w:adjustRightInd w:val="0"/>
              <w:snapToGrid w:val="0"/>
              <w:spacing w:line="360" w:lineRule="auto"/>
              <w:ind w:firstLine="420" w:firstLineChars="200"/>
              <w:rPr>
                <w:color w:val="auto"/>
                <w:kern w:val="0"/>
              </w:rPr>
            </w:pPr>
            <w:r>
              <w:rPr>
                <w:rFonts w:hint="eastAsia" w:cs="宋体"/>
                <w:color w:val="auto"/>
                <w:kern w:val="0"/>
              </w:rPr>
              <w:t>①</w:t>
            </w:r>
            <w:r>
              <w:rPr>
                <w:color w:val="auto"/>
                <w:kern w:val="0"/>
              </w:rPr>
              <w:t>室外声源</w:t>
            </w:r>
          </w:p>
          <w:p w14:paraId="3A850113">
            <w:pPr>
              <w:overflowPunct w:val="0"/>
              <w:adjustRightInd w:val="0"/>
              <w:snapToGrid w:val="0"/>
              <w:spacing w:line="360" w:lineRule="auto"/>
              <w:ind w:firstLine="420" w:firstLineChars="200"/>
              <w:rPr>
                <w:color w:val="auto"/>
                <w:kern w:val="0"/>
              </w:rPr>
            </w:pPr>
            <w:r>
              <w:rPr>
                <w:color w:val="auto"/>
                <w:kern w:val="0"/>
              </w:rPr>
              <w:t>户外声传播衰减包括几何发散（</w:t>
            </w:r>
            <w:r>
              <w:rPr>
                <w:i/>
                <w:iCs/>
                <w:color w:val="auto"/>
                <w:kern w:val="0"/>
              </w:rPr>
              <w:t>A</w:t>
            </w:r>
            <w:r>
              <w:rPr>
                <w:color w:val="auto"/>
                <w:kern w:val="0"/>
                <w:vertAlign w:val="subscript"/>
              </w:rPr>
              <w:t>div</w:t>
            </w:r>
            <w:r>
              <w:rPr>
                <w:color w:val="auto"/>
                <w:kern w:val="0"/>
              </w:rPr>
              <w:t>）、大气吸收（</w:t>
            </w:r>
            <w:r>
              <w:rPr>
                <w:i/>
                <w:iCs/>
                <w:color w:val="auto"/>
                <w:kern w:val="0"/>
              </w:rPr>
              <w:t>A</w:t>
            </w:r>
            <w:r>
              <w:rPr>
                <w:color w:val="auto"/>
                <w:kern w:val="0"/>
                <w:vertAlign w:val="subscript"/>
              </w:rPr>
              <w:t>atm</w:t>
            </w:r>
            <w:r>
              <w:rPr>
                <w:color w:val="auto"/>
                <w:kern w:val="0"/>
              </w:rPr>
              <w:t>）、地面效应（</w:t>
            </w:r>
            <w:r>
              <w:rPr>
                <w:i/>
                <w:iCs/>
                <w:color w:val="auto"/>
                <w:kern w:val="0"/>
              </w:rPr>
              <w:t>A</w:t>
            </w:r>
            <w:r>
              <w:rPr>
                <w:color w:val="auto"/>
                <w:kern w:val="0"/>
                <w:vertAlign w:val="subscript"/>
              </w:rPr>
              <w:t>gr</w:t>
            </w:r>
            <w:r>
              <w:rPr>
                <w:color w:val="auto"/>
                <w:kern w:val="0"/>
              </w:rPr>
              <w:t>）、障碍物屏蔽（</w:t>
            </w:r>
            <w:r>
              <w:rPr>
                <w:i/>
                <w:iCs/>
                <w:color w:val="auto"/>
                <w:kern w:val="0"/>
              </w:rPr>
              <w:t>A</w:t>
            </w:r>
            <w:r>
              <w:rPr>
                <w:color w:val="auto"/>
                <w:kern w:val="0"/>
                <w:vertAlign w:val="subscript"/>
              </w:rPr>
              <w:t>bar</w:t>
            </w:r>
            <w:r>
              <w:rPr>
                <w:color w:val="auto"/>
                <w:kern w:val="0"/>
              </w:rPr>
              <w:t>）、其他多方面效应（</w:t>
            </w:r>
            <w:r>
              <w:rPr>
                <w:i/>
                <w:iCs/>
                <w:color w:val="auto"/>
                <w:kern w:val="0"/>
              </w:rPr>
              <w:t>A</w:t>
            </w:r>
            <w:r>
              <w:rPr>
                <w:color w:val="auto"/>
                <w:kern w:val="0"/>
                <w:vertAlign w:val="subscript"/>
              </w:rPr>
              <w:t>misc</w:t>
            </w:r>
            <w:r>
              <w:rPr>
                <w:color w:val="auto"/>
                <w:kern w:val="0"/>
              </w:rPr>
              <w:t>）引起的衰减。</w:t>
            </w:r>
          </w:p>
          <w:p w14:paraId="3A850114">
            <w:pPr>
              <w:overflowPunct w:val="0"/>
              <w:adjustRightInd w:val="0"/>
              <w:snapToGrid w:val="0"/>
              <w:spacing w:line="360" w:lineRule="auto"/>
              <w:ind w:firstLine="420" w:firstLineChars="200"/>
              <w:rPr>
                <w:color w:val="auto"/>
                <w:kern w:val="0"/>
              </w:rPr>
            </w:pPr>
            <w:r>
              <w:rPr>
                <w:color w:val="auto"/>
                <w:kern w:val="0"/>
              </w:rPr>
              <w:t>a）在环境影响评价中，应根据声源声功率级或参考位置处的声压级、户外声传播衰减，计算预测点的声级，分别按式（A.1）或式（A.2）计算。</w:t>
            </w:r>
          </w:p>
          <w:p w14:paraId="3A850115">
            <w:pPr>
              <w:overflowPunct w:val="0"/>
              <w:adjustRightInd w:val="0"/>
              <w:snapToGrid w:val="0"/>
              <w:spacing w:line="360" w:lineRule="auto"/>
              <w:ind w:firstLine="420" w:firstLineChars="200"/>
              <w:jc w:val="center"/>
              <w:rPr>
                <w:color w:val="auto"/>
                <w:kern w:val="0"/>
              </w:rPr>
            </w:pPr>
            <w:r>
              <w:rPr>
                <w:i/>
                <w:iCs/>
                <w:color w:val="auto"/>
                <w:kern w:val="0"/>
              </w:rPr>
              <w:t>Lp</w:t>
            </w:r>
            <w:r>
              <w:rPr>
                <w:color w:val="auto"/>
                <w:kern w:val="0"/>
              </w:rPr>
              <w:t>(</w:t>
            </w:r>
            <w:r>
              <w:rPr>
                <w:i/>
                <w:iCs/>
                <w:color w:val="auto"/>
                <w:kern w:val="0"/>
              </w:rPr>
              <w:t>r</w:t>
            </w:r>
            <w:r>
              <w:rPr>
                <w:color w:val="auto"/>
                <w:kern w:val="0"/>
              </w:rPr>
              <w:t>)＝</w:t>
            </w:r>
            <w:r>
              <w:rPr>
                <w:i/>
                <w:iCs/>
                <w:color w:val="auto"/>
                <w:kern w:val="0"/>
              </w:rPr>
              <w:t>Lw</w:t>
            </w:r>
            <w:r>
              <w:rPr>
                <w:color w:val="auto"/>
                <w:kern w:val="0"/>
              </w:rPr>
              <w:t>+</w:t>
            </w:r>
            <w:r>
              <w:rPr>
                <w:i/>
                <w:iCs/>
                <w:color w:val="auto"/>
                <w:kern w:val="0"/>
              </w:rPr>
              <w:t>D</w:t>
            </w:r>
            <w:r>
              <w:rPr>
                <w:color w:val="auto"/>
                <w:kern w:val="0"/>
                <w:vertAlign w:val="subscript"/>
              </w:rPr>
              <w:t>C</w:t>
            </w:r>
            <w:r>
              <w:rPr>
                <w:color w:val="auto"/>
                <w:kern w:val="0"/>
              </w:rPr>
              <w:t>－</w:t>
            </w:r>
            <w:r>
              <w:rPr>
                <w:rFonts w:hint="eastAsia"/>
                <w:color w:val="auto"/>
                <w:kern w:val="0"/>
              </w:rPr>
              <w:t>（</w:t>
            </w:r>
            <w:r>
              <w:rPr>
                <w:i/>
                <w:iCs/>
                <w:color w:val="auto"/>
                <w:kern w:val="0"/>
              </w:rPr>
              <w:t>A</w:t>
            </w:r>
            <w:r>
              <w:rPr>
                <w:color w:val="auto"/>
                <w:kern w:val="0"/>
                <w:vertAlign w:val="subscript"/>
              </w:rPr>
              <w:t>div</w:t>
            </w:r>
            <w:r>
              <w:rPr>
                <w:color w:val="auto"/>
                <w:kern w:val="0"/>
              </w:rPr>
              <w:t>＋</w:t>
            </w:r>
            <w:r>
              <w:rPr>
                <w:i/>
                <w:iCs/>
                <w:color w:val="auto"/>
                <w:kern w:val="0"/>
              </w:rPr>
              <w:t>A</w:t>
            </w:r>
            <w:r>
              <w:rPr>
                <w:color w:val="auto"/>
                <w:kern w:val="0"/>
                <w:vertAlign w:val="subscript"/>
              </w:rPr>
              <w:t>atm</w:t>
            </w:r>
            <w:r>
              <w:rPr>
                <w:color w:val="auto"/>
                <w:kern w:val="0"/>
              </w:rPr>
              <w:t>＋</w:t>
            </w:r>
            <w:r>
              <w:rPr>
                <w:i/>
                <w:iCs/>
                <w:color w:val="auto"/>
                <w:kern w:val="0"/>
              </w:rPr>
              <w:t>A</w:t>
            </w:r>
            <w:r>
              <w:rPr>
                <w:color w:val="auto"/>
                <w:kern w:val="0"/>
                <w:vertAlign w:val="subscript"/>
              </w:rPr>
              <w:t>gr</w:t>
            </w:r>
            <w:r>
              <w:rPr>
                <w:color w:val="auto"/>
                <w:kern w:val="0"/>
              </w:rPr>
              <w:t>＋</w:t>
            </w:r>
            <w:r>
              <w:rPr>
                <w:i/>
                <w:iCs/>
                <w:color w:val="auto"/>
                <w:kern w:val="0"/>
              </w:rPr>
              <w:t>A</w:t>
            </w:r>
            <w:r>
              <w:rPr>
                <w:color w:val="auto"/>
                <w:kern w:val="0"/>
                <w:vertAlign w:val="subscript"/>
              </w:rPr>
              <w:t>bar</w:t>
            </w:r>
            <w:r>
              <w:rPr>
                <w:color w:val="auto"/>
                <w:kern w:val="0"/>
              </w:rPr>
              <w:t>＋</w:t>
            </w:r>
            <w:r>
              <w:rPr>
                <w:i/>
                <w:iCs/>
                <w:color w:val="auto"/>
                <w:kern w:val="0"/>
              </w:rPr>
              <w:t>A</w:t>
            </w:r>
            <w:r>
              <w:rPr>
                <w:color w:val="auto"/>
                <w:kern w:val="0"/>
                <w:vertAlign w:val="subscript"/>
              </w:rPr>
              <w:t>misc</w:t>
            </w:r>
            <w:r>
              <w:rPr>
                <w:rFonts w:hint="eastAsia"/>
                <w:color w:val="auto"/>
                <w:kern w:val="0"/>
              </w:rPr>
              <w:t>）</w:t>
            </w:r>
            <w:r>
              <w:rPr>
                <w:color w:val="auto"/>
                <w:kern w:val="0"/>
              </w:rPr>
              <w:t xml:space="preserve">  （A.1）</w:t>
            </w:r>
          </w:p>
          <w:p w14:paraId="3A850116">
            <w:pPr>
              <w:overflowPunct w:val="0"/>
              <w:adjustRightInd w:val="0"/>
              <w:snapToGrid w:val="0"/>
              <w:spacing w:line="360" w:lineRule="auto"/>
              <w:ind w:firstLine="420" w:firstLineChars="200"/>
              <w:jc w:val="center"/>
              <w:rPr>
                <w:color w:val="auto"/>
                <w:kern w:val="0"/>
              </w:rPr>
            </w:pPr>
            <w:r>
              <w:rPr>
                <w:i/>
                <w:iCs/>
                <w:color w:val="auto"/>
                <w:kern w:val="0"/>
              </w:rPr>
              <w:t>Lp</w:t>
            </w:r>
            <w:r>
              <w:rPr>
                <w:color w:val="auto"/>
                <w:kern w:val="0"/>
              </w:rPr>
              <w:t>(</w:t>
            </w:r>
            <w:r>
              <w:rPr>
                <w:i/>
                <w:iCs/>
                <w:color w:val="auto"/>
                <w:kern w:val="0"/>
              </w:rPr>
              <w:t>r</w:t>
            </w:r>
            <w:r>
              <w:rPr>
                <w:color w:val="auto"/>
                <w:kern w:val="0"/>
              </w:rPr>
              <w:t>)＝</w:t>
            </w:r>
            <w:r>
              <w:rPr>
                <w:i/>
                <w:iCs/>
                <w:color w:val="auto"/>
                <w:kern w:val="0"/>
              </w:rPr>
              <w:t>Lp</w:t>
            </w:r>
            <w:r>
              <w:rPr>
                <w:color w:val="auto"/>
                <w:kern w:val="0"/>
              </w:rPr>
              <w:t>(</w:t>
            </w:r>
            <w:r>
              <w:rPr>
                <w:i/>
                <w:iCs/>
                <w:color w:val="auto"/>
                <w:kern w:val="0"/>
              </w:rPr>
              <w:t>r</w:t>
            </w:r>
            <w:r>
              <w:rPr>
                <w:color w:val="auto"/>
                <w:kern w:val="0"/>
              </w:rPr>
              <w:t>0)+</w:t>
            </w:r>
            <w:r>
              <w:rPr>
                <w:i/>
                <w:iCs/>
                <w:color w:val="auto"/>
                <w:kern w:val="0"/>
              </w:rPr>
              <w:t>D</w:t>
            </w:r>
            <w:r>
              <w:rPr>
                <w:color w:val="auto"/>
                <w:kern w:val="0"/>
              </w:rPr>
              <w:t>C－</w:t>
            </w:r>
            <w:r>
              <w:rPr>
                <w:rFonts w:hint="eastAsia"/>
                <w:color w:val="auto"/>
                <w:kern w:val="0"/>
              </w:rPr>
              <w:t>（</w:t>
            </w:r>
            <w:r>
              <w:rPr>
                <w:i/>
                <w:iCs/>
                <w:color w:val="auto"/>
                <w:kern w:val="0"/>
              </w:rPr>
              <w:t>A</w:t>
            </w:r>
            <w:r>
              <w:rPr>
                <w:color w:val="auto"/>
                <w:kern w:val="0"/>
              </w:rPr>
              <w:t>div＋</w:t>
            </w:r>
            <w:r>
              <w:rPr>
                <w:i/>
                <w:iCs/>
                <w:color w:val="auto"/>
                <w:kern w:val="0"/>
              </w:rPr>
              <w:t>A</w:t>
            </w:r>
            <w:r>
              <w:rPr>
                <w:color w:val="auto"/>
                <w:kern w:val="0"/>
              </w:rPr>
              <w:t>atm＋</w:t>
            </w:r>
            <w:r>
              <w:rPr>
                <w:i/>
                <w:iCs/>
                <w:color w:val="auto"/>
                <w:kern w:val="0"/>
              </w:rPr>
              <w:t>A</w:t>
            </w:r>
            <w:r>
              <w:rPr>
                <w:color w:val="auto"/>
                <w:kern w:val="0"/>
              </w:rPr>
              <w:t>gr＋</w:t>
            </w:r>
            <w:r>
              <w:rPr>
                <w:i/>
                <w:iCs/>
                <w:color w:val="auto"/>
                <w:kern w:val="0"/>
              </w:rPr>
              <w:t>A</w:t>
            </w:r>
            <w:r>
              <w:rPr>
                <w:color w:val="auto"/>
                <w:kern w:val="0"/>
              </w:rPr>
              <w:t>bar＋</w:t>
            </w:r>
            <w:r>
              <w:rPr>
                <w:i/>
                <w:iCs/>
                <w:color w:val="auto"/>
                <w:kern w:val="0"/>
              </w:rPr>
              <w:t>A</w:t>
            </w:r>
            <w:r>
              <w:rPr>
                <w:color w:val="auto"/>
                <w:kern w:val="0"/>
              </w:rPr>
              <w:t>misc</w:t>
            </w:r>
            <w:r>
              <w:rPr>
                <w:rFonts w:hint="eastAsia"/>
                <w:color w:val="auto"/>
                <w:kern w:val="0"/>
              </w:rPr>
              <w:t>）</w:t>
            </w:r>
            <w:r>
              <w:rPr>
                <w:color w:val="auto"/>
                <w:kern w:val="0"/>
              </w:rPr>
              <w:t xml:space="preserve">  （A.2）</w:t>
            </w:r>
          </w:p>
          <w:p w14:paraId="3A850117">
            <w:pPr>
              <w:overflowPunct w:val="0"/>
              <w:adjustRightInd w:val="0"/>
              <w:snapToGrid w:val="0"/>
              <w:spacing w:line="360" w:lineRule="auto"/>
              <w:ind w:firstLine="420" w:firstLineChars="200"/>
              <w:rPr>
                <w:color w:val="auto"/>
                <w:kern w:val="0"/>
              </w:rPr>
            </w:pPr>
            <w:r>
              <w:rPr>
                <w:color w:val="auto"/>
                <w:kern w:val="0"/>
              </w:rPr>
              <w:t>b）预测点的A声级</w:t>
            </w:r>
            <w:r>
              <w:rPr>
                <w:i/>
                <w:iCs/>
                <w:color w:val="auto"/>
                <w:kern w:val="0"/>
              </w:rPr>
              <w:t>L</w:t>
            </w:r>
            <w:r>
              <w:rPr>
                <w:color w:val="auto"/>
                <w:kern w:val="0"/>
              </w:rPr>
              <w:t>A</w:t>
            </w:r>
            <w:r>
              <w:rPr>
                <w:rFonts w:hint="eastAsia"/>
                <w:color w:val="auto"/>
                <w:kern w:val="0"/>
              </w:rPr>
              <w:t>（</w:t>
            </w:r>
            <w:r>
              <w:rPr>
                <w:i/>
                <w:iCs/>
                <w:color w:val="auto"/>
                <w:kern w:val="0"/>
              </w:rPr>
              <w:t>r</w:t>
            </w:r>
            <w:r>
              <w:rPr>
                <w:rFonts w:hint="eastAsia"/>
                <w:color w:val="auto"/>
                <w:kern w:val="0"/>
              </w:rPr>
              <w:t>）</w:t>
            </w:r>
            <w:r>
              <w:rPr>
                <w:color w:val="auto"/>
                <w:kern w:val="0"/>
              </w:rPr>
              <w:t>可按式（A.3）计算，即将8个倍频带声压级合成，计算出预测点的A声级[</w:t>
            </w:r>
            <w:r>
              <w:rPr>
                <w:i/>
                <w:iCs/>
                <w:color w:val="auto"/>
                <w:kern w:val="0"/>
              </w:rPr>
              <w:t>L</w:t>
            </w:r>
            <w:r>
              <w:rPr>
                <w:color w:val="auto"/>
                <w:kern w:val="0"/>
              </w:rPr>
              <w:t>A</w:t>
            </w:r>
            <w:r>
              <w:rPr>
                <w:rFonts w:hint="eastAsia"/>
                <w:color w:val="auto"/>
                <w:kern w:val="0"/>
              </w:rPr>
              <w:t>（</w:t>
            </w:r>
            <w:r>
              <w:rPr>
                <w:i/>
                <w:iCs/>
                <w:color w:val="auto"/>
                <w:kern w:val="0"/>
              </w:rPr>
              <w:t>r</w:t>
            </w:r>
            <w:r>
              <w:rPr>
                <w:rFonts w:hint="eastAsia"/>
                <w:color w:val="auto"/>
                <w:kern w:val="0"/>
              </w:rPr>
              <w:t>）</w:t>
            </w:r>
            <w:r>
              <w:rPr>
                <w:color w:val="auto"/>
                <w:kern w:val="0"/>
              </w:rPr>
              <w:t>]。</w:t>
            </w:r>
          </w:p>
          <w:p w14:paraId="3A850118">
            <w:pPr>
              <w:pStyle w:val="23"/>
              <w:jc w:val="center"/>
              <w:rPr>
                <w:color w:val="auto"/>
                <w:sz w:val="21"/>
                <w:szCs w:val="21"/>
              </w:rPr>
            </w:pPr>
            <w:r>
              <w:rPr>
                <w:color w:val="auto"/>
                <w:sz w:val="21"/>
                <w:szCs w:val="21"/>
              </w:rPr>
              <w:drawing>
                <wp:inline distT="0" distB="0" distL="114300" distR="114300">
                  <wp:extent cx="4229100" cy="581025"/>
                  <wp:effectExtent l="0" t="0" r="0" b="952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77"/>
                          <a:stretch>
                            <a:fillRect/>
                          </a:stretch>
                        </pic:blipFill>
                        <pic:spPr>
                          <a:xfrm>
                            <a:off x="0" y="0"/>
                            <a:ext cx="4229100" cy="581025"/>
                          </a:xfrm>
                          <a:prstGeom prst="rect">
                            <a:avLst/>
                          </a:prstGeom>
                          <a:noFill/>
                          <a:ln>
                            <a:noFill/>
                          </a:ln>
                        </pic:spPr>
                      </pic:pic>
                    </a:graphicData>
                  </a:graphic>
                </wp:inline>
              </w:drawing>
            </w:r>
          </w:p>
          <w:p w14:paraId="3A850119">
            <w:pPr>
              <w:overflowPunct w:val="0"/>
              <w:adjustRightInd w:val="0"/>
              <w:snapToGrid w:val="0"/>
              <w:spacing w:line="360" w:lineRule="auto"/>
              <w:ind w:firstLine="420" w:firstLineChars="200"/>
              <w:rPr>
                <w:color w:val="auto"/>
                <w:kern w:val="0"/>
              </w:rPr>
            </w:pPr>
            <w:r>
              <w:rPr>
                <w:color w:val="auto"/>
                <w:kern w:val="0"/>
              </w:rPr>
              <w:t>c）在只考虑几何发散衰减时，可按式（A.4）计算。</w:t>
            </w:r>
          </w:p>
          <w:p w14:paraId="3A85011A">
            <w:pPr>
              <w:overflowPunct w:val="0"/>
              <w:adjustRightInd w:val="0"/>
              <w:snapToGrid w:val="0"/>
              <w:spacing w:line="360" w:lineRule="auto"/>
              <w:jc w:val="center"/>
              <w:rPr>
                <w:color w:val="auto"/>
                <w:kern w:val="0"/>
              </w:rPr>
            </w:pPr>
            <w:r>
              <w:rPr>
                <w:color w:val="auto"/>
                <w:kern w:val="0"/>
              </w:rPr>
              <w:drawing>
                <wp:inline distT="0" distB="0" distL="114300" distR="114300">
                  <wp:extent cx="3810000" cy="304800"/>
                  <wp:effectExtent l="0" t="0" r="0"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78"/>
                          <a:stretch>
                            <a:fillRect/>
                          </a:stretch>
                        </pic:blipFill>
                        <pic:spPr>
                          <a:xfrm>
                            <a:off x="0" y="0"/>
                            <a:ext cx="3810000" cy="304800"/>
                          </a:xfrm>
                          <a:prstGeom prst="rect">
                            <a:avLst/>
                          </a:prstGeom>
                          <a:noFill/>
                          <a:ln>
                            <a:noFill/>
                          </a:ln>
                        </pic:spPr>
                      </pic:pic>
                    </a:graphicData>
                  </a:graphic>
                </wp:inline>
              </w:drawing>
            </w:r>
          </w:p>
          <w:p w14:paraId="3A85011B">
            <w:pPr>
              <w:adjustRightInd w:val="0"/>
              <w:snapToGrid w:val="0"/>
              <w:spacing w:line="360" w:lineRule="auto"/>
              <w:ind w:firstLine="420" w:firstLineChars="200"/>
              <w:rPr>
                <w:color w:val="auto"/>
                <w:kern w:val="0"/>
              </w:rPr>
            </w:pPr>
            <w:r>
              <w:rPr>
                <w:rFonts w:hint="eastAsia" w:cs="宋体"/>
                <w:color w:val="auto"/>
                <w:kern w:val="0"/>
              </w:rPr>
              <w:t>②</w:t>
            </w:r>
            <w:r>
              <w:rPr>
                <w:color w:val="auto"/>
                <w:kern w:val="0"/>
              </w:rPr>
              <w:t>室内点声源</w:t>
            </w:r>
          </w:p>
          <w:p w14:paraId="3A85011C">
            <w:pPr>
              <w:overflowPunct w:val="0"/>
              <w:adjustRightInd w:val="0"/>
              <w:snapToGrid w:val="0"/>
              <w:spacing w:line="360" w:lineRule="auto"/>
              <w:ind w:firstLine="420" w:firstLineChars="200"/>
              <w:rPr>
                <w:color w:val="auto"/>
                <w:kern w:val="0"/>
              </w:rPr>
            </w:pPr>
            <w:r>
              <w:rPr>
                <w:color w:val="auto"/>
                <w:kern w:val="0"/>
              </w:rPr>
              <w:t>声源位于室内，室内声源可采用等效室外声源声功率级法进行计算。设靠近开口处（或窗户）室内、室外某倍频带的声压级或A声级分别为</w:t>
            </w:r>
            <w:r>
              <w:rPr>
                <w:i/>
                <w:iCs/>
                <w:color w:val="auto"/>
                <w:kern w:val="0"/>
              </w:rPr>
              <w:t>Lp1</w:t>
            </w:r>
            <w:r>
              <w:rPr>
                <w:color w:val="auto"/>
                <w:kern w:val="0"/>
              </w:rPr>
              <w:t>和</w:t>
            </w:r>
            <w:r>
              <w:rPr>
                <w:i/>
                <w:iCs/>
                <w:color w:val="auto"/>
                <w:kern w:val="0"/>
              </w:rPr>
              <w:t>Lp2</w:t>
            </w:r>
            <w:r>
              <w:rPr>
                <w:color w:val="auto"/>
                <w:kern w:val="0"/>
              </w:rPr>
              <w:t>。若声源所在室内声场为近似扩散声场，则室外的倍频带声压级可按式（B.1）近似求出：</w:t>
            </w:r>
          </w:p>
          <w:p w14:paraId="3A85011D">
            <w:pPr>
              <w:overflowPunct w:val="0"/>
              <w:adjustRightInd w:val="0"/>
              <w:snapToGrid w:val="0"/>
              <w:spacing w:line="360" w:lineRule="auto"/>
              <w:jc w:val="center"/>
              <w:rPr>
                <w:color w:val="auto"/>
                <w:kern w:val="0"/>
              </w:rPr>
            </w:pPr>
            <w:r>
              <w:rPr>
                <w:color w:val="auto"/>
                <w:kern w:val="0"/>
              </w:rPr>
              <w:drawing>
                <wp:inline distT="0" distB="0" distL="114300" distR="114300">
                  <wp:extent cx="3790950" cy="390525"/>
                  <wp:effectExtent l="0" t="0" r="0" b="9525"/>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79"/>
                          <a:stretch>
                            <a:fillRect/>
                          </a:stretch>
                        </pic:blipFill>
                        <pic:spPr>
                          <a:xfrm>
                            <a:off x="0" y="0"/>
                            <a:ext cx="3790950" cy="390525"/>
                          </a:xfrm>
                          <a:prstGeom prst="rect">
                            <a:avLst/>
                          </a:prstGeom>
                          <a:noFill/>
                          <a:ln>
                            <a:noFill/>
                          </a:ln>
                        </pic:spPr>
                      </pic:pic>
                    </a:graphicData>
                  </a:graphic>
                </wp:inline>
              </w:drawing>
            </w:r>
          </w:p>
          <w:p w14:paraId="3A85011E">
            <w:pPr>
              <w:overflowPunct w:val="0"/>
              <w:adjustRightInd w:val="0"/>
              <w:snapToGrid w:val="0"/>
              <w:spacing w:line="360" w:lineRule="auto"/>
              <w:ind w:firstLine="420" w:firstLineChars="200"/>
              <w:rPr>
                <w:color w:val="auto"/>
                <w:kern w:val="0"/>
              </w:rPr>
            </w:pPr>
            <w:r>
              <w:rPr>
                <w:color w:val="auto"/>
                <w:kern w:val="0"/>
              </w:rPr>
              <w:t>也可按式（B.2）计算某一室内声源靠近围护结构处产生的倍频带声压级或A声级：</w:t>
            </w:r>
          </w:p>
          <w:p w14:paraId="3A85011F">
            <w:pPr>
              <w:pStyle w:val="23"/>
              <w:jc w:val="center"/>
              <w:rPr>
                <w:color w:val="auto"/>
                <w:sz w:val="21"/>
                <w:szCs w:val="21"/>
              </w:rPr>
            </w:pPr>
            <w:r>
              <w:rPr>
                <w:color w:val="auto"/>
                <w:sz w:val="21"/>
                <w:szCs w:val="21"/>
              </w:rPr>
              <w:drawing>
                <wp:inline distT="0" distB="0" distL="114300" distR="114300">
                  <wp:extent cx="3810000" cy="428625"/>
                  <wp:effectExtent l="0" t="0" r="0" b="9525"/>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80"/>
                          <a:stretch>
                            <a:fillRect/>
                          </a:stretch>
                        </pic:blipFill>
                        <pic:spPr>
                          <a:xfrm>
                            <a:off x="0" y="0"/>
                            <a:ext cx="3810000" cy="428625"/>
                          </a:xfrm>
                          <a:prstGeom prst="rect">
                            <a:avLst/>
                          </a:prstGeom>
                          <a:noFill/>
                          <a:ln>
                            <a:noFill/>
                          </a:ln>
                        </pic:spPr>
                      </pic:pic>
                    </a:graphicData>
                  </a:graphic>
                </wp:inline>
              </w:drawing>
            </w:r>
          </w:p>
          <w:p w14:paraId="3A850120">
            <w:pPr>
              <w:overflowPunct w:val="0"/>
              <w:adjustRightInd w:val="0"/>
              <w:snapToGrid w:val="0"/>
              <w:spacing w:line="360" w:lineRule="auto"/>
              <w:ind w:firstLine="420" w:firstLineChars="200"/>
              <w:rPr>
                <w:color w:val="auto"/>
                <w:kern w:val="0"/>
              </w:rPr>
            </w:pPr>
            <w:r>
              <w:rPr>
                <w:color w:val="auto"/>
                <w:kern w:val="0"/>
              </w:rPr>
              <w:t>然后按式（B.3）计算出所有室内声源在围护结构处产生的</w:t>
            </w:r>
            <w:r>
              <w:rPr>
                <w:i/>
                <w:iCs/>
                <w:color w:val="auto"/>
                <w:kern w:val="0"/>
              </w:rPr>
              <w:t>i</w:t>
            </w:r>
            <w:r>
              <w:rPr>
                <w:color w:val="auto"/>
                <w:kern w:val="0"/>
              </w:rPr>
              <w:t>倍频带叠加声压级：</w:t>
            </w:r>
          </w:p>
          <w:p w14:paraId="3A850121">
            <w:pPr>
              <w:pStyle w:val="23"/>
              <w:jc w:val="center"/>
              <w:rPr>
                <w:color w:val="auto"/>
                <w:sz w:val="21"/>
                <w:szCs w:val="21"/>
              </w:rPr>
            </w:pPr>
            <w:r>
              <w:rPr>
                <w:color w:val="auto"/>
                <w:sz w:val="21"/>
                <w:szCs w:val="21"/>
              </w:rPr>
              <w:drawing>
                <wp:inline distT="0" distB="0" distL="114300" distR="114300">
                  <wp:extent cx="3790950" cy="466725"/>
                  <wp:effectExtent l="0" t="0" r="0" b="9525"/>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81"/>
                          <a:stretch>
                            <a:fillRect/>
                          </a:stretch>
                        </pic:blipFill>
                        <pic:spPr>
                          <a:xfrm>
                            <a:off x="0" y="0"/>
                            <a:ext cx="3790950" cy="466725"/>
                          </a:xfrm>
                          <a:prstGeom prst="rect">
                            <a:avLst/>
                          </a:prstGeom>
                          <a:noFill/>
                          <a:ln>
                            <a:noFill/>
                          </a:ln>
                        </pic:spPr>
                      </pic:pic>
                    </a:graphicData>
                  </a:graphic>
                </wp:inline>
              </w:drawing>
            </w:r>
          </w:p>
          <w:p w14:paraId="3A850122">
            <w:pPr>
              <w:overflowPunct w:val="0"/>
              <w:adjustRightInd w:val="0"/>
              <w:snapToGrid w:val="0"/>
              <w:spacing w:line="360" w:lineRule="auto"/>
              <w:ind w:firstLine="420" w:firstLineChars="200"/>
              <w:rPr>
                <w:color w:val="auto"/>
                <w:kern w:val="0"/>
              </w:rPr>
            </w:pPr>
            <w:r>
              <w:rPr>
                <w:color w:val="auto"/>
                <w:kern w:val="0"/>
              </w:rPr>
              <w:t>在室内近似为扩散声场时，按式（B.4）计算出靠近室外围护结构处的声压级：</w:t>
            </w:r>
          </w:p>
          <w:p w14:paraId="3A850123">
            <w:pPr>
              <w:pStyle w:val="23"/>
              <w:jc w:val="center"/>
              <w:rPr>
                <w:color w:val="auto"/>
                <w:sz w:val="21"/>
                <w:szCs w:val="21"/>
              </w:rPr>
            </w:pPr>
            <w:r>
              <w:rPr>
                <w:color w:val="auto"/>
                <w:sz w:val="21"/>
                <w:szCs w:val="21"/>
              </w:rPr>
              <w:drawing>
                <wp:inline distT="0" distB="0" distL="114300" distR="114300">
                  <wp:extent cx="4057650" cy="381000"/>
                  <wp:effectExtent l="0" t="0" r="0" b="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82"/>
                          <a:stretch>
                            <a:fillRect/>
                          </a:stretch>
                        </pic:blipFill>
                        <pic:spPr>
                          <a:xfrm>
                            <a:off x="0" y="0"/>
                            <a:ext cx="4057650" cy="381000"/>
                          </a:xfrm>
                          <a:prstGeom prst="rect">
                            <a:avLst/>
                          </a:prstGeom>
                          <a:noFill/>
                          <a:ln>
                            <a:noFill/>
                          </a:ln>
                        </pic:spPr>
                      </pic:pic>
                    </a:graphicData>
                  </a:graphic>
                </wp:inline>
              </w:drawing>
            </w:r>
          </w:p>
          <w:p w14:paraId="3A850124">
            <w:pPr>
              <w:overflowPunct w:val="0"/>
              <w:adjustRightInd w:val="0"/>
              <w:snapToGrid w:val="0"/>
              <w:spacing w:line="360" w:lineRule="auto"/>
              <w:ind w:firstLine="420" w:firstLineChars="200"/>
              <w:rPr>
                <w:color w:val="auto"/>
                <w:kern w:val="0"/>
              </w:rPr>
            </w:pPr>
            <w:r>
              <w:rPr>
                <w:color w:val="auto"/>
                <w:kern w:val="0"/>
              </w:rPr>
              <w:t>然后按式（B.5）将室外声源的声压级和透过面积换算成等效的室外声源，计算出中心位置位于透声面积（</w:t>
            </w:r>
            <w:r>
              <w:rPr>
                <w:i/>
                <w:iCs/>
                <w:color w:val="auto"/>
                <w:kern w:val="0"/>
              </w:rPr>
              <w:t>S</w:t>
            </w:r>
            <w:r>
              <w:rPr>
                <w:color w:val="auto"/>
                <w:kern w:val="0"/>
              </w:rPr>
              <w:t>）处的等效声源的倍频带声功率级。</w:t>
            </w:r>
          </w:p>
          <w:p w14:paraId="3A850125">
            <w:pPr>
              <w:pStyle w:val="23"/>
              <w:jc w:val="center"/>
              <w:rPr>
                <w:color w:val="auto"/>
                <w:sz w:val="21"/>
                <w:szCs w:val="21"/>
              </w:rPr>
            </w:pPr>
            <w:r>
              <w:rPr>
                <w:color w:val="auto"/>
                <w:sz w:val="21"/>
                <w:szCs w:val="21"/>
              </w:rPr>
              <w:drawing>
                <wp:inline distT="0" distB="0" distL="114300" distR="114300">
                  <wp:extent cx="4038600" cy="295275"/>
                  <wp:effectExtent l="0" t="0" r="0" b="9525"/>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83"/>
                          <a:stretch>
                            <a:fillRect/>
                          </a:stretch>
                        </pic:blipFill>
                        <pic:spPr>
                          <a:xfrm>
                            <a:off x="0" y="0"/>
                            <a:ext cx="4038600" cy="295275"/>
                          </a:xfrm>
                          <a:prstGeom prst="rect">
                            <a:avLst/>
                          </a:prstGeom>
                          <a:noFill/>
                          <a:ln>
                            <a:noFill/>
                          </a:ln>
                        </pic:spPr>
                      </pic:pic>
                    </a:graphicData>
                  </a:graphic>
                </wp:inline>
              </w:drawing>
            </w:r>
          </w:p>
          <w:p w14:paraId="3A850126">
            <w:pPr>
              <w:adjustRightInd w:val="0"/>
              <w:snapToGrid w:val="0"/>
              <w:spacing w:line="360" w:lineRule="auto"/>
              <w:ind w:firstLine="420" w:firstLineChars="200"/>
              <w:rPr>
                <w:color w:val="auto"/>
                <w:kern w:val="0"/>
              </w:rPr>
            </w:pPr>
            <w:r>
              <w:rPr>
                <w:color w:val="auto"/>
                <w:kern w:val="0"/>
              </w:rPr>
              <w:t>然后按室外声源预测方法计算预测点处的A声级。</w:t>
            </w:r>
          </w:p>
          <w:p w14:paraId="3A850127">
            <w:pPr>
              <w:adjustRightInd w:val="0"/>
              <w:snapToGrid w:val="0"/>
              <w:spacing w:line="360" w:lineRule="auto"/>
              <w:ind w:firstLine="420" w:firstLineChars="200"/>
              <w:rPr>
                <w:color w:val="auto"/>
                <w:kern w:val="0"/>
              </w:rPr>
            </w:pPr>
            <w:r>
              <w:rPr>
                <w:rFonts w:hint="eastAsia" w:cs="宋体"/>
                <w:color w:val="auto"/>
                <w:kern w:val="0"/>
              </w:rPr>
              <w:t>③</w:t>
            </w:r>
            <w:r>
              <w:rPr>
                <w:color w:val="auto"/>
                <w:kern w:val="0"/>
              </w:rPr>
              <w:t>噪声贡献值计算</w:t>
            </w:r>
          </w:p>
          <w:p w14:paraId="3A850128">
            <w:pPr>
              <w:adjustRightInd w:val="0"/>
              <w:snapToGrid w:val="0"/>
              <w:spacing w:line="360" w:lineRule="auto"/>
              <w:ind w:firstLine="420" w:firstLineChars="200"/>
              <w:rPr>
                <w:color w:val="auto"/>
                <w:kern w:val="0"/>
              </w:rPr>
            </w:pPr>
            <w:r>
              <w:rPr>
                <w:color w:val="auto"/>
                <w:kern w:val="0"/>
              </w:rPr>
              <w:t>设第</w:t>
            </w:r>
            <w:r>
              <w:rPr>
                <w:i/>
                <w:color w:val="auto"/>
                <w:kern w:val="0"/>
              </w:rPr>
              <w:t>i</w:t>
            </w:r>
            <w:r>
              <w:rPr>
                <w:color w:val="auto"/>
                <w:kern w:val="0"/>
              </w:rPr>
              <w:t>个室外声源在预测点产生的A声级为</w:t>
            </w:r>
            <w:r>
              <w:rPr>
                <w:i/>
                <w:color w:val="auto"/>
                <w:kern w:val="0"/>
              </w:rPr>
              <w:t>L</w:t>
            </w:r>
            <w:r>
              <w:rPr>
                <w:i/>
                <w:color w:val="auto"/>
                <w:kern w:val="0"/>
                <w:vertAlign w:val="subscript"/>
              </w:rPr>
              <w:t>Ai</w:t>
            </w:r>
            <w:r>
              <w:rPr>
                <w:color w:val="auto"/>
                <w:kern w:val="0"/>
              </w:rPr>
              <w:t>，在</w:t>
            </w:r>
            <w:r>
              <w:rPr>
                <w:i/>
                <w:color w:val="auto"/>
                <w:kern w:val="0"/>
              </w:rPr>
              <w:t>T</w:t>
            </w:r>
            <w:r>
              <w:rPr>
                <w:color w:val="auto"/>
                <w:kern w:val="0"/>
              </w:rPr>
              <w:t>时间内该声源工作时间为</w:t>
            </w:r>
            <w:r>
              <w:rPr>
                <w:i/>
                <w:color w:val="auto"/>
                <w:kern w:val="0"/>
              </w:rPr>
              <w:t>t</w:t>
            </w:r>
            <w:r>
              <w:rPr>
                <w:i/>
                <w:color w:val="auto"/>
                <w:kern w:val="0"/>
                <w:vertAlign w:val="subscript"/>
              </w:rPr>
              <w:t>i</w:t>
            </w:r>
            <w:r>
              <w:rPr>
                <w:color w:val="auto"/>
                <w:kern w:val="0"/>
              </w:rPr>
              <w:t>；第</w:t>
            </w:r>
            <w:r>
              <w:rPr>
                <w:i/>
                <w:color w:val="auto"/>
                <w:kern w:val="0"/>
              </w:rPr>
              <w:t>j</w:t>
            </w:r>
            <w:r>
              <w:rPr>
                <w:color w:val="auto"/>
                <w:kern w:val="0"/>
              </w:rPr>
              <w:t>个等效室外声源在预测点产生的A声级为L</w:t>
            </w:r>
            <w:r>
              <w:rPr>
                <w:i/>
                <w:color w:val="auto"/>
                <w:kern w:val="0"/>
                <w:vertAlign w:val="subscript"/>
              </w:rPr>
              <w:t>Aj</w:t>
            </w:r>
            <w:r>
              <w:rPr>
                <w:color w:val="auto"/>
                <w:kern w:val="0"/>
              </w:rPr>
              <w:t>，在</w:t>
            </w:r>
            <w:r>
              <w:rPr>
                <w:i/>
                <w:color w:val="auto"/>
                <w:kern w:val="0"/>
              </w:rPr>
              <w:t>T</w:t>
            </w:r>
            <w:r>
              <w:rPr>
                <w:color w:val="auto"/>
                <w:kern w:val="0"/>
              </w:rPr>
              <w:t>时间内该声源工作时间为</w:t>
            </w:r>
            <w:r>
              <w:rPr>
                <w:i/>
                <w:color w:val="auto"/>
                <w:kern w:val="0"/>
              </w:rPr>
              <w:t>t</w:t>
            </w:r>
            <w:r>
              <w:rPr>
                <w:i/>
                <w:color w:val="auto"/>
                <w:kern w:val="0"/>
                <w:vertAlign w:val="subscript"/>
              </w:rPr>
              <w:t>j</w:t>
            </w:r>
            <w:r>
              <w:rPr>
                <w:color w:val="auto"/>
                <w:kern w:val="0"/>
              </w:rPr>
              <w:t>，则拟建工程声源对预测点产生的贡献值为：</w:t>
            </w:r>
          </w:p>
          <w:p w14:paraId="3A850129">
            <w:pPr>
              <w:autoSpaceDE w:val="0"/>
              <w:autoSpaceDN w:val="0"/>
              <w:adjustRightInd w:val="0"/>
              <w:snapToGrid w:val="0"/>
              <w:spacing w:line="360" w:lineRule="auto"/>
              <w:jc w:val="center"/>
              <w:rPr>
                <w:color w:val="auto"/>
                <w:kern w:val="0"/>
              </w:rPr>
            </w:pPr>
            <w:r>
              <w:rPr>
                <w:color w:val="auto"/>
                <w:kern w:val="0"/>
              </w:rPr>
              <w:object>
                <v:shape id="_x0000_i1057" o:spt="75" type="#_x0000_t75" style="height:39.75pt;width:206.25pt;" o:ole="t" filled="f" o:preferrelative="t" stroked="f" coordsize="21600,21600">
                  <v:path/>
                  <v:fill on="f" focussize="0,0"/>
                  <v:stroke on="f" joinstyle="miter"/>
                  <v:imagedata r:id="rId85" o:title=""/>
                  <o:lock v:ext="edit" aspectratio="t"/>
                  <w10:wrap type="none"/>
                  <w10:anchorlock/>
                </v:shape>
                <o:OLEObject Type="Embed" ProgID="Equation.DSMT4" ShapeID="_x0000_i1057" DrawAspect="Content" ObjectID="_1468075757" r:id="rId84">
                  <o:LockedField>false</o:LockedField>
                </o:OLEObject>
              </w:object>
            </w:r>
          </w:p>
          <w:p w14:paraId="3A85012A">
            <w:pPr>
              <w:adjustRightInd w:val="0"/>
              <w:snapToGrid w:val="0"/>
              <w:spacing w:line="360" w:lineRule="auto"/>
              <w:ind w:firstLine="420" w:firstLineChars="200"/>
              <w:rPr>
                <w:color w:val="auto"/>
                <w:kern w:val="0"/>
              </w:rPr>
            </w:pPr>
            <w:r>
              <w:rPr>
                <w:rFonts w:hint="eastAsia" w:cs="宋体"/>
                <w:color w:val="auto"/>
                <w:kern w:val="0"/>
              </w:rPr>
              <w:t>④</w:t>
            </w:r>
            <w:r>
              <w:rPr>
                <w:color w:val="auto"/>
                <w:kern w:val="0"/>
              </w:rPr>
              <w:t>预测值计算</w:t>
            </w:r>
          </w:p>
          <w:p w14:paraId="3A85012B">
            <w:pPr>
              <w:adjustRightInd w:val="0"/>
              <w:snapToGrid w:val="0"/>
              <w:spacing w:line="360" w:lineRule="auto"/>
              <w:ind w:firstLine="420" w:firstLineChars="200"/>
              <w:rPr>
                <w:color w:val="auto"/>
                <w:kern w:val="0"/>
              </w:rPr>
            </w:pPr>
            <w:r>
              <w:rPr>
                <w:color w:val="auto"/>
                <w:kern w:val="0"/>
              </w:rPr>
              <w:t>预测点的预测等效声级为：</w:t>
            </w:r>
          </w:p>
          <w:p w14:paraId="3A85012C">
            <w:pPr>
              <w:autoSpaceDE w:val="0"/>
              <w:autoSpaceDN w:val="0"/>
              <w:adjustRightInd w:val="0"/>
              <w:snapToGrid w:val="0"/>
              <w:spacing w:line="360" w:lineRule="auto"/>
              <w:jc w:val="center"/>
              <w:rPr>
                <w:color w:val="auto"/>
                <w:kern w:val="0"/>
              </w:rPr>
            </w:pPr>
            <w:r>
              <w:rPr>
                <w:color w:val="auto"/>
                <w:kern w:val="0"/>
              </w:rPr>
              <w:object>
                <v:shape id="_x0000_i1058" o:spt="75" type="#_x0000_t75" style="height:24pt;width:138.75pt;" o:ole="t" filled="f" o:preferrelative="t" stroked="f" coordsize="21600,21600">
                  <v:path/>
                  <v:fill on="f" focussize="0,0"/>
                  <v:stroke on="f" joinstyle="miter"/>
                  <v:imagedata r:id="rId87" o:title=""/>
                  <o:lock v:ext="edit" aspectratio="t"/>
                  <w10:wrap type="none"/>
                  <w10:anchorlock/>
                </v:shape>
                <o:OLEObject Type="Embed" ProgID="Equation.DSMT4" ShapeID="_x0000_i1058" DrawAspect="Content" ObjectID="_1468075758" r:id="rId86">
                  <o:LockedField>false</o:LockedField>
                </o:OLEObject>
              </w:object>
            </w:r>
          </w:p>
          <w:p w14:paraId="3A85012D">
            <w:pPr>
              <w:adjustRightInd w:val="0"/>
              <w:snapToGrid w:val="0"/>
              <w:spacing w:line="360" w:lineRule="auto"/>
              <w:ind w:firstLine="420" w:firstLineChars="200"/>
              <w:rPr>
                <w:color w:val="auto"/>
                <w:kern w:val="0"/>
              </w:rPr>
            </w:pPr>
            <w:r>
              <w:rPr>
                <w:color w:val="auto"/>
                <w:kern w:val="0"/>
              </w:rPr>
              <w:t>上式中各符号的意义和单位见HJ2.4-2021。</w:t>
            </w:r>
          </w:p>
          <w:p w14:paraId="3A85012E">
            <w:pPr>
              <w:adjustRightInd w:val="0"/>
              <w:snapToGrid w:val="0"/>
              <w:spacing w:line="360" w:lineRule="auto"/>
              <w:ind w:firstLine="420" w:firstLineChars="200"/>
              <w:jc w:val="left"/>
              <w:rPr>
                <w:color w:val="auto"/>
                <w:kern w:val="0"/>
              </w:rPr>
            </w:pPr>
            <w:r>
              <w:rPr>
                <w:color w:val="auto"/>
                <w:kern w:val="0"/>
              </w:rPr>
              <w:t>在采取相应降噪措施后，本项目噪声源强分析如下表所示。</w:t>
            </w:r>
          </w:p>
          <w:p w14:paraId="3A85012F">
            <w:pPr>
              <w:pStyle w:val="674"/>
              <w:snapToGrid w:val="0"/>
              <w:jc w:val="center"/>
              <w:rPr>
                <w:rFonts w:ascii="Times New Roman" w:hAnsi="Times New Roman" w:cs="Times New Roman"/>
                <w:bCs/>
                <w:color w:val="auto"/>
                <w:sz w:val="21"/>
                <w:szCs w:val="21"/>
              </w:rPr>
            </w:pPr>
            <w:r>
              <w:rPr>
                <w:rFonts w:ascii="Times New Roman" w:hAnsi="Times New Roman" w:cs="Times New Roman"/>
                <w:b/>
                <w:bCs/>
                <w:color w:val="auto"/>
                <w:sz w:val="21"/>
                <w:szCs w:val="21"/>
              </w:rPr>
              <w:t>表4-</w:t>
            </w:r>
            <w:r>
              <w:rPr>
                <w:rFonts w:hint="eastAsia" w:ascii="Times New Roman" w:hAnsi="Times New Roman" w:cs="Times New Roman"/>
                <w:b/>
                <w:bCs/>
                <w:color w:val="auto"/>
                <w:sz w:val="21"/>
                <w:szCs w:val="21"/>
                <w:lang w:val="en-US" w:eastAsia="zh-CN"/>
              </w:rPr>
              <w:t>15</w:t>
            </w:r>
            <w:r>
              <w:rPr>
                <w:rFonts w:ascii="Times New Roman" w:hAnsi="Times New Roman" w:cs="Times New Roman"/>
                <w:b/>
                <w:bCs/>
                <w:color w:val="auto"/>
                <w:sz w:val="21"/>
                <w:szCs w:val="21"/>
              </w:rPr>
              <w:t xml:space="preserve">   本项目噪声</w:t>
            </w:r>
            <w:r>
              <w:rPr>
                <w:rFonts w:hint="eastAsia" w:ascii="Times New Roman" w:hAnsi="Times New Roman" w:cs="Times New Roman"/>
                <w:b/>
                <w:bCs/>
                <w:color w:val="auto"/>
                <w:sz w:val="21"/>
                <w:szCs w:val="21"/>
              </w:rPr>
              <w:t>预测结果</w:t>
            </w:r>
            <w:r>
              <w:rPr>
                <w:rFonts w:ascii="Times New Roman" w:hAnsi="Times New Roman" w:cs="Times New Roman"/>
                <w:b/>
                <w:bCs/>
                <w:color w:val="auto"/>
                <w:sz w:val="21"/>
                <w:szCs w:val="21"/>
              </w:rPr>
              <w:t>表</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83"/>
              <w:gridCol w:w="1876"/>
              <w:gridCol w:w="1185"/>
              <w:gridCol w:w="1139"/>
              <w:gridCol w:w="1151"/>
              <w:gridCol w:w="1151"/>
              <w:gridCol w:w="1151"/>
              <w:gridCol w:w="1153"/>
            </w:tblGrid>
            <w:tr w14:paraId="3A85013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408" w:type="pct"/>
                  <w:vMerge w:val="restart"/>
                  <w:vAlign w:val="center"/>
                </w:tcPr>
                <w:p w14:paraId="3A850130">
                  <w:pPr>
                    <w:pStyle w:val="6"/>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序号</w:t>
                  </w:r>
                </w:p>
              </w:tc>
              <w:tc>
                <w:tcPr>
                  <w:tcW w:w="978" w:type="pct"/>
                  <w:vMerge w:val="restart"/>
                  <w:vAlign w:val="center"/>
                </w:tcPr>
                <w:p w14:paraId="3A850131">
                  <w:pPr>
                    <w:pStyle w:val="6"/>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噪声源</w:t>
                  </w:r>
                </w:p>
              </w:tc>
              <w:tc>
                <w:tcPr>
                  <w:tcW w:w="618" w:type="pct"/>
                  <w:vMerge w:val="restart"/>
                  <w:vAlign w:val="center"/>
                </w:tcPr>
                <w:p w14:paraId="3A850132">
                  <w:pPr>
                    <w:pStyle w:val="6"/>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等效源强dB（A）</w:t>
                  </w:r>
                </w:p>
              </w:tc>
              <w:tc>
                <w:tcPr>
                  <w:tcW w:w="592" w:type="pct"/>
                  <w:vMerge w:val="restart"/>
                  <w:vAlign w:val="center"/>
                </w:tcPr>
                <w:p w14:paraId="3A850133">
                  <w:pPr>
                    <w:pStyle w:val="6"/>
                    <w:snapToGrid w:val="0"/>
                    <w:spacing w:before="0" w:after="0"/>
                    <w:jc w:val="center"/>
                    <w:rPr>
                      <w:rStyle w:val="71"/>
                      <w:rFonts w:ascii="Times New Roman" w:hAnsi="Times New Roman"/>
                      <w:b/>
                      <w:bCs/>
                      <w:color w:val="auto"/>
                      <w:kern w:val="0"/>
                      <w:szCs w:val="21"/>
                    </w:rPr>
                  </w:pPr>
                  <w:r>
                    <w:rPr>
                      <w:rStyle w:val="71"/>
                      <w:rFonts w:ascii="Times New Roman" w:hAnsi="Times New Roman"/>
                      <w:b/>
                      <w:bCs/>
                      <w:color w:val="auto"/>
                      <w:kern w:val="0"/>
                      <w:szCs w:val="21"/>
                    </w:rPr>
                    <w:t>降噪量</w:t>
                  </w:r>
                  <w:r>
                    <w:rPr>
                      <w:rFonts w:ascii="Times New Roman" w:hAnsi="Times New Roman"/>
                      <w:b/>
                      <w:bCs/>
                      <w:color w:val="auto"/>
                      <w:kern w:val="0"/>
                      <w:sz w:val="21"/>
                      <w:szCs w:val="21"/>
                    </w:rPr>
                    <w:t>dB（A）</w:t>
                  </w:r>
                </w:p>
              </w:tc>
              <w:tc>
                <w:tcPr>
                  <w:tcW w:w="2401" w:type="pct"/>
                  <w:gridSpan w:val="4"/>
                  <w:vAlign w:val="center"/>
                </w:tcPr>
                <w:p w14:paraId="3A850134">
                  <w:pPr>
                    <w:pStyle w:val="601"/>
                    <w:adjustRightInd w:val="0"/>
                    <w:snapToGrid w:val="0"/>
                    <w:spacing w:line="240" w:lineRule="auto"/>
                    <w:ind w:firstLine="0" w:firstLineChars="0"/>
                    <w:jc w:val="center"/>
                    <w:rPr>
                      <w:rFonts w:ascii="Times New Roman" w:hAnsi="Times New Roman"/>
                      <w:b/>
                      <w:bCs/>
                      <w:color w:val="auto"/>
                      <w:kern w:val="0"/>
                      <w:sz w:val="21"/>
                    </w:rPr>
                  </w:pPr>
                  <w:r>
                    <w:rPr>
                      <w:rFonts w:ascii="Times New Roman" w:hAnsi="Times New Roman"/>
                      <w:b/>
                      <w:bCs/>
                      <w:color w:val="auto"/>
                      <w:kern w:val="0"/>
                      <w:sz w:val="21"/>
                    </w:rPr>
                    <w:t>降噪+距离衰减后预测点贡献值dB（A）</w:t>
                  </w:r>
                </w:p>
              </w:tc>
            </w:tr>
            <w:tr w14:paraId="3A85013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408" w:type="pct"/>
                  <w:vMerge w:val="continue"/>
                  <w:vAlign w:val="center"/>
                </w:tcPr>
                <w:p w14:paraId="3A850136">
                  <w:pPr>
                    <w:pStyle w:val="6"/>
                    <w:snapToGrid w:val="0"/>
                    <w:spacing w:before="0" w:after="0"/>
                    <w:jc w:val="center"/>
                    <w:rPr>
                      <w:rFonts w:ascii="Times New Roman" w:hAnsi="Times New Roman"/>
                      <w:b/>
                      <w:bCs/>
                      <w:color w:val="auto"/>
                      <w:kern w:val="0"/>
                      <w:sz w:val="21"/>
                      <w:szCs w:val="21"/>
                    </w:rPr>
                  </w:pPr>
                </w:p>
              </w:tc>
              <w:tc>
                <w:tcPr>
                  <w:tcW w:w="978" w:type="pct"/>
                  <w:vMerge w:val="continue"/>
                  <w:vAlign w:val="center"/>
                </w:tcPr>
                <w:p w14:paraId="3A850137">
                  <w:pPr>
                    <w:pStyle w:val="6"/>
                    <w:snapToGrid w:val="0"/>
                    <w:spacing w:before="0" w:after="0"/>
                    <w:jc w:val="center"/>
                    <w:rPr>
                      <w:rFonts w:ascii="Times New Roman" w:hAnsi="Times New Roman"/>
                      <w:b/>
                      <w:bCs/>
                      <w:color w:val="auto"/>
                      <w:kern w:val="0"/>
                      <w:sz w:val="21"/>
                      <w:szCs w:val="21"/>
                    </w:rPr>
                  </w:pPr>
                </w:p>
              </w:tc>
              <w:tc>
                <w:tcPr>
                  <w:tcW w:w="618" w:type="pct"/>
                  <w:vMerge w:val="continue"/>
                  <w:vAlign w:val="center"/>
                </w:tcPr>
                <w:p w14:paraId="3A850138">
                  <w:pPr>
                    <w:pStyle w:val="6"/>
                    <w:snapToGrid w:val="0"/>
                    <w:spacing w:before="0" w:after="0"/>
                    <w:jc w:val="center"/>
                    <w:rPr>
                      <w:rFonts w:ascii="Times New Roman" w:hAnsi="Times New Roman"/>
                      <w:b/>
                      <w:bCs/>
                      <w:color w:val="auto"/>
                      <w:kern w:val="0"/>
                      <w:sz w:val="21"/>
                      <w:szCs w:val="21"/>
                    </w:rPr>
                  </w:pPr>
                </w:p>
              </w:tc>
              <w:tc>
                <w:tcPr>
                  <w:tcW w:w="592" w:type="pct"/>
                  <w:vMerge w:val="continue"/>
                  <w:vAlign w:val="center"/>
                </w:tcPr>
                <w:p w14:paraId="3A850139">
                  <w:pPr>
                    <w:pStyle w:val="6"/>
                    <w:snapToGrid w:val="0"/>
                    <w:spacing w:before="0" w:after="0"/>
                    <w:jc w:val="center"/>
                    <w:rPr>
                      <w:rFonts w:ascii="Times New Roman" w:hAnsi="Times New Roman"/>
                      <w:b/>
                      <w:bCs/>
                      <w:color w:val="auto"/>
                      <w:kern w:val="0"/>
                      <w:sz w:val="21"/>
                      <w:szCs w:val="21"/>
                    </w:rPr>
                  </w:pPr>
                </w:p>
              </w:tc>
              <w:tc>
                <w:tcPr>
                  <w:tcW w:w="600" w:type="pct"/>
                  <w:vAlign w:val="center"/>
                </w:tcPr>
                <w:p w14:paraId="3A85013A">
                  <w:pPr>
                    <w:pStyle w:val="601"/>
                    <w:adjustRightInd w:val="0"/>
                    <w:snapToGrid w:val="0"/>
                    <w:spacing w:line="240" w:lineRule="auto"/>
                    <w:ind w:firstLine="0" w:firstLineChars="0"/>
                    <w:jc w:val="center"/>
                    <w:rPr>
                      <w:rFonts w:ascii="Times New Roman" w:hAnsi="Times New Roman"/>
                      <w:b/>
                      <w:bCs/>
                      <w:color w:val="auto"/>
                      <w:kern w:val="0"/>
                      <w:sz w:val="21"/>
                    </w:rPr>
                  </w:pPr>
                  <w:r>
                    <w:rPr>
                      <w:rFonts w:ascii="Times New Roman" w:hAnsi="Times New Roman"/>
                      <w:b/>
                      <w:bCs/>
                      <w:color w:val="auto"/>
                      <w:kern w:val="0"/>
                      <w:sz w:val="21"/>
                    </w:rPr>
                    <w:t>东厂界</w:t>
                  </w:r>
                </w:p>
              </w:tc>
              <w:tc>
                <w:tcPr>
                  <w:tcW w:w="600" w:type="pct"/>
                  <w:vAlign w:val="center"/>
                </w:tcPr>
                <w:p w14:paraId="3A85013B">
                  <w:pPr>
                    <w:pStyle w:val="601"/>
                    <w:adjustRightInd w:val="0"/>
                    <w:snapToGrid w:val="0"/>
                    <w:spacing w:line="240" w:lineRule="auto"/>
                    <w:ind w:firstLine="0" w:firstLineChars="0"/>
                    <w:jc w:val="center"/>
                    <w:rPr>
                      <w:rFonts w:ascii="Times New Roman" w:hAnsi="Times New Roman"/>
                      <w:b/>
                      <w:bCs/>
                      <w:color w:val="auto"/>
                      <w:kern w:val="0"/>
                      <w:sz w:val="21"/>
                    </w:rPr>
                  </w:pPr>
                  <w:r>
                    <w:rPr>
                      <w:rFonts w:ascii="Times New Roman" w:hAnsi="Times New Roman"/>
                      <w:b/>
                      <w:bCs/>
                      <w:color w:val="auto"/>
                      <w:kern w:val="0"/>
                      <w:sz w:val="21"/>
                    </w:rPr>
                    <w:t>南厂界</w:t>
                  </w:r>
                </w:p>
              </w:tc>
              <w:tc>
                <w:tcPr>
                  <w:tcW w:w="600" w:type="pct"/>
                  <w:vAlign w:val="center"/>
                </w:tcPr>
                <w:p w14:paraId="3A85013C">
                  <w:pPr>
                    <w:pStyle w:val="601"/>
                    <w:adjustRightInd w:val="0"/>
                    <w:snapToGrid w:val="0"/>
                    <w:spacing w:line="240" w:lineRule="auto"/>
                    <w:ind w:firstLine="0" w:firstLineChars="0"/>
                    <w:jc w:val="center"/>
                    <w:rPr>
                      <w:rFonts w:ascii="Times New Roman" w:hAnsi="Times New Roman"/>
                      <w:b/>
                      <w:bCs/>
                      <w:color w:val="auto"/>
                      <w:kern w:val="0"/>
                      <w:sz w:val="21"/>
                    </w:rPr>
                  </w:pPr>
                  <w:r>
                    <w:rPr>
                      <w:rFonts w:ascii="Times New Roman" w:hAnsi="Times New Roman"/>
                      <w:b/>
                      <w:bCs/>
                      <w:color w:val="auto"/>
                      <w:kern w:val="0"/>
                      <w:sz w:val="21"/>
                    </w:rPr>
                    <w:t>西厂界</w:t>
                  </w:r>
                </w:p>
              </w:tc>
              <w:tc>
                <w:tcPr>
                  <w:tcW w:w="601" w:type="pct"/>
                  <w:vAlign w:val="center"/>
                </w:tcPr>
                <w:p w14:paraId="3A85013D">
                  <w:pPr>
                    <w:pStyle w:val="601"/>
                    <w:adjustRightInd w:val="0"/>
                    <w:snapToGrid w:val="0"/>
                    <w:spacing w:line="240" w:lineRule="auto"/>
                    <w:ind w:firstLine="0" w:firstLineChars="0"/>
                    <w:jc w:val="center"/>
                    <w:rPr>
                      <w:rFonts w:ascii="Times New Roman" w:hAnsi="Times New Roman"/>
                      <w:b/>
                      <w:bCs/>
                      <w:color w:val="auto"/>
                      <w:kern w:val="0"/>
                      <w:sz w:val="21"/>
                    </w:rPr>
                  </w:pPr>
                  <w:r>
                    <w:rPr>
                      <w:rFonts w:ascii="Times New Roman" w:hAnsi="Times New Roman"/>
                      <w:b/>
                      <w:bCs/>
                      <w:color w:val="auto"/>
                      <w:kern w:val="0"/>
                      <w:sz w:val="21"/>
                    </w:rPr>
                    <w:t>北厂界</w:t>
                  </w:r>
                </w:p>
              </w:tc>
            </w:tr>
            <w:tr w14:paraId="3A85014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408" w:type="pct"/>
                  <w:vAlign w:val="center"/>
                </w:tcPr>
                <w:p w14:paraId="3A85013F">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1</w:t>
                  </w:r>
                </w:p>
              </w:tc>
              <w:tc>
                <w:tcPr>
                  <w:tcW w:w="978" w:type="pct"/>
                  <w:vAlign w:val="center"/>
                </w:tcPr>
                <w:p w14:paraId="3A850140">
                  <w:pPr>
                    <w:adjustRightInd w:val="0"/>
                    <w:snapToGrid w:val="0"/>
                    <w:jc w:val="center"/>
                    <w:rPr>
                      <w:rFonts w:ascii="Times New Roman" w:hAnsi="Times New Roman"/>
                      <w:bCs/>
                      <w:color w:val="auto"/>
                      <w:kern w:val="0"/>
                      <w:sz w:val="21"/>
                      <w:szCs w:val="21"/>
                    </w:rPr>
                  </w:pPr>
                  <w:r>
                    <w:rPr>
                      <w:rFonts w:hint="eastAsia"/>
                      <w:color w:val="auto"/>
                      <w:kern w:val="0"/>
                      <w:sz w:val="21"/>
                      <w:szCs w:val="21"/>
                      <w:lang w:val="en-US" w:eastAsia="zh-CN"/>
                    </w:rPr>
                    <w:t>标签机</w:t>
                  </w:r>
                </w:p>
              </w:tc>
              <w:tc>
                <w:tcPr>
                  <w:tcW w:w="618" w:type="pct"/>
                  <w:vAlign w:val="bottom"/>
                </w:tcPr>
                <w:p w14:paraId="3A850141">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lang w:val="en-US" w:eastAsia="zh-CN"/>
                    </w:rPr>
                    <w:t>77.8</w:t>
                  </w:r>
                </w:p>
              </w:tc>
              <w:tc>
                <w:tcPr>
                  <w:tcW w:w="592" w:type="pct"/>
                  <w:vAlign w:val="center"/>
                </w:tcPr>
                <w:p w14:paraId="3A850142">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25</w:t>
                  </w:r>
                </w:p>
              </w:tc>
              <w:tc>
                <w:tcPr>
                  <w:tcW w:w="600" w:type="pct"/>
                  <w:vAlign w:val="bottom"/>
                </w:tcPr>
                <w:p w14:paraId="3A850143">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37.2</w:t>
                  </w:r>
                </w:p>
              </w:tc>
              <w:tc>
                <w:tcPr>
                  <w:tcW w:w="600" w:type="pct"/>
                  <w:vAlign w:val="bottom"/>
                </w:tcPr>
                <w:p w14:paraId="3A850144">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18</w:t>
                  </w:r>
                </w:p>
              </w:tc>
              <w:tc>
                <w:tcPr>
                  <w:tcW w:w="600" w:type="pct"/>
                  <w:vAlign w:val="bottom"/>
                </w:tcPr>
                <w:p w14:paraId="3A850145">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25.8</w:t>
                  </w:r>
                </w:p>
              </w:tc>
              <w:tc>
                <w:tcPr>
                  <w:tcW w:w="601" w:type="pct"/>
                  <w:vAlign w:val="bottom"/>
                </w:tcPr>
                <w:p w14:paraId="3A850146">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26.9</w:t>
                  </w:r>
                </w:p>
              </w:tc>
            </w:tr>
            <w:tr w14:paraId="3A8501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408" w:type="pct"/>
                  <w:vAlign w:val="center"/>
                </w:tcPr>
                <w:p w14:paraId="3A850148">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2</w:t>
                  </w:r>
                </w:p>
              </w:tc>
              <w:tc>
                <w:tcPr>
                  <w:tcW w:w="978" w:type="pct"/>
                  <w:vAlign w:val="center"/>
                </w:tcPr>
                <w:p w14:paraId="3A850149">
                  <w:pPr>
                    <w:adjustRightInd w:val="0"/>
                    <w:snapToGrid w:val="0"/>
                    <w:jc w:val="center"/>
                    <w:rPr>
                      <w:rFonts w:ascii="Times New Roman" w:hAnsi="Times New Roman"/>
                      <w:bCs/>
                      <w:color w:val="auto"/>
                      <w:kern w:val="0"/>
                      <w:sz w:val="21"/>
                      <w:szCs w:val="21"/>
                    </w:rPr>
                  </w:pPr>
                  <w:r>
                    <w:rPr>
                      <w:rFonts w:hint="eastAsia"/>
                      <w:color w:val="auto"/>
                      <w:kern w:val="0"/>
                      <w:sz w:val="21"/>
                      <w:szCs w:val="21"/>
                      <w:lang w:val="en-US" w:eastAsia="zh-CN"/>
                    </w:rPr>
                    <w:t>点火管压接机</w:t>
                  </w:r>
                </w:p>
              </w:tc>
              <w:tc>
                <w:tcPr>
                  <w:tcW w:w="618" w:type="pct"/>
                  <w:vAlign w:val="bottom"/>
                </w:tcPr>
                <w:p w14:paraId="3A85014A">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lang w:val="en-US" w:eastAsia="zh-CN"/>
                    </w:rPr>
                    <w:t>82.0</w:t>
                  </w:r>
                </w:p>
              </w:tc>
              <w:tc>
                <w:tcPr>
                  <w:tcW w:w="592" w:type="pct"/>
                  <w:vAlign w:val="center"/>
                </w:tcPr>
                <w:p w14:paraId="3A85014B">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25</w:t>
                  </w:r>
                </w:p>
              </w:tc>
              <w:tc>
                <w:tcPr>
                  <w:tcW w:w="600" w:type="pct"/>
                  <w:vAlign w:val="bottom"/>
                </w:tcPr>
                <w:p w14:paraId="3A85014C">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37.9</w:t>
                  </w:r>
                </w:p>
              </w:tc>
              <w:tc>
                <w:tcPr>
                  <w:tcW w:w="600" w:type="pct"/>
                  <w:vAlign w:val="bottom"/>
                </w:tcPr>
                <w:p w14:paraId="3A85014D">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25.8</w:t>
                  </w:r>
                </w:p>
              </w:tc>
              <w:tc>
                <w:tcPr>
                  <w:tcW w:w="600" w:type="pct"/>
                  <w:vAlign w:val="bottom"/>
                </w:tcPr>
                <w:p w14:paraId="3A85014E">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41.6</w:t>
                  </w:r>
                </w:p>
              </w:tc>
              <w:tc>
                <w:tcPr>
                  <w:tcW w:w="601" w:type="pct"/>
                  <w:vAlign w:val="bottom"/>
                </w:tcPr>
                <w:p w14:paraId="3A85014F">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29.6</w:t>
                  </w:r>
                </w:p>
              </w:tc>
            </w:tr>
            <w:tr w14:paraId="3A85015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408" w:type="pct"/>
                  <w:vAlign w:val="center"/>
                </w:tcPr>
                <w:p w14:paraId="3A850151">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3</w:t>
                  </w:r>
                </w:p>
              </w:tc>
              <w:tc>
                <w:tcPr>
                  <w:tcW w:w="978" w:type="pct"/>
                  <w:vAlign w:val="center"/>
                </w:tcPr>
                <w:p w14:paraId="3A850152">
                  <w:pPr>
                    <w:adjustRightInd w:val="0"/>
                    <w:snapToGrid w:val="0"/>
                    <w:jc w:val="center"/>
                    <w:rPr>
                      <w:rFonts w:ascii="Times New Roman" w:hAnsi="Times New Roman"/>
                      <w:bCs/>
                      <w:color w:val="auto"/>
                      <w:kern w:val="0"/>
                      <w:sz w:val="21"/>
                      <w:szCs w:val="21"/>
                    </w:rPr>
                  </w:pPr>
                  <w:r>
                    <w:rPr>
                      <w:rFonts w:hint="eastAsia"/>
                      <w:color w:val="auto"/>
                      <w:kern w:val="0"/>
                      <w:sz w:val="21"/>
                      <w:szCs w:val="21"/>
                      <w:lang w:val="en-US" w:eastAsia="zh-CN"/>
                    </w:rPr>
                    <w:t>充药机</w:t>
                  </w:r>
                </w:p>
              </w:tc>
              <w:tc>
                <w:tcPr>
                  <w:tcW w:w="618" w:type="pct"/>
                  <w:vAlign w:val="bottom"/>
                </w:tcPr>
                <w:p w14:paraId="3A850153">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lang w:val="en-US" w:eastAsia="zh-CN"/>
                    </w:rPr>
                    <w:t>83.6</w:t>
                  </w:r>
                </w:p>
              </w:tc>
              <w:tc>
                <w:tcPr>
                  <w:tcW w:w="592" w:type="pct"/>
                  <w:vAlign w:val="center"/>
                </w:tcPr>
                <w:p w14:paraId="3A850154">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25</w:t>
                  </w:r>
                </w:p>
              </w:tc>
              <w:tc>
                <w:tcPr>
                  <w:tcW w:w="600" w:type="pct"/>
                  <w:vAlign w:val="bottom"/>
                </w:tcPr>
                <w:p w14:paraId="3A850155">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39.4</w:t>
                  </w:r>
                </w:p>
              </w:tc>
              <w:tc>
                <w:tcPr>
                  <w:tcW w:w="600" w:type="pct"/>
                  <w:vAlign w:val="bottom"/>
                </w:tcPr>
                <w:p w14:paraId="3A850156">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32.2</w:t>
                  </w:r>
                </w:p>
              </w:tc>
              <w:tc>
                <w:tcPr>
                  <w:tcW w:w="600" w:type="pct"/>
                  <w:vAlign w:val="bottom"/>
                </w:tcPr>
                <w:p w14:paraId="3A850157">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42.9</w:t>
                  </w:r>
                </w:p>
              </w:tc>
              <w:tc>
                <w:tcPr>
                  <w:tcW w:w="601" w:type="pct"/>
                  <w:vAlign w:val="bottom"/>
                </w:tcPr>
                <w:p w14:paraId="3A850158">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30.7</w:t>
                  </w:r>
                </w:p>
              </w:tc>
            </w:tr>
            <w:tr w14:paraId="3A85016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408" w:type="pct"/>
                  <w:vAlign w:val="center"/>
                </w:tcPr>
                <w:p w14:paraId="3A85015A">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4</w:t>
                  </w:r>
                </w:p>
              </w:tc>
              <w:tc>
                <w:tcPr>
                  <w:tcW w:w="978" w:type="pct"/>
                  <w:vAlign w:val="center"/>
                </w:tcPr>
                <w:p w14:paraId="3A85015B">
                  <w:pPr>
                    <w:adjustRightInd w:val="0"/>
                    <w:snapToGrid w:val="0"/>
                    <w:jc w:val="center"/>
                    <w:rPr>
                      <w:rFonts w:ascii="Times New Roman" w:hAnsi="Times New Roman"/>
                      <w:bCs/>
                      <w:color w:val="auto"/>
                      <w:kern w:val="0"/>
                      <w:sz w:val="21"/>
                      <w:szCs w:val="21"/>
                    </w:rPr>
                  </w:pPr>
                  <w:r>
                    <w:rPr>
                      <w:rFonts w:hint="eastAsia"/>
                      <w:color w:val="auto"/>
                      <w:kern w:val="0"/>
                      <w:sz w:val="21"/>
                      <w:szCs w:val="21"/>
                      <w:lang w:val="en-US" w:eastAsia="zh-CN"/>
                    </w:rPr>
                    <w:t>惯性焊</w:t>
                  </w:r>
                </w:p>
              </w:tc>
              <w:tc>
                <w:tcPr>
                  <w:tcW w:w="618" w:type="pct"/>
                  <w:vAlign w:val="bottom"/>
                </w:tcPr>
                <w:p w14:paraId="3A85015C">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lang w:val="en-US" w:eastAsia="zh-CN"/>
                    </w:rPr>
                    <w:t>87.8</w:t>
                  </w:r>
                </w:p>
              </w:tc>
              <w:tc>
                <w:tcPr>
                  <w:tcW w:w="592" w:type="pct"/>
                  <w:vAlign w:val="center"/>
                </w:tcPr>
                <w:p w14:paraId="3A85015D">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25</w:t>
                  </w:r>
                </w:p>
              </w:tc>
              <w:tc>
                <w:tcPr>
                  <w:tcW w:w="600" w:type="pct"/>
                  <w:vAlign w:val="bottom"/>
                </w:tcPr>
                <w:p w14:paraId="3A85015E">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47.9</w:t>
                  </w:r>
                </w:p>
              </w:tc>
              <w:tc>
                <w:tcPr>
                  <w:tcW w:w="600" w:type="pct"/>
                  <w:vAlign w:val="bottom"/>
                </w:tcPr>
                <w:p w14:paraId="3A85015F">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34.6</w:t>
                  </w:r>
                </w:p>
              </w:tc>
              <w:tc>
                <w:tcPr>
                  <w:tcW w:w="600" w:type="pct"/>
                  <w:vAlign w:val="bottom"/>
                </w:tcPr>
                <w:p w14:paraId="3A850160">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43.6</w:t>
                  </w:r>
                </w:p>
              </w:tc>
              <w:tc>
                <w:tcPr>
                  <w:tcW w:w="601" w:type="pct"/>
                  <w:vAlign w:val="bottom"/>
                </w:tcPr>
                <w:p w14:paraId="3A850161">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34.2</w:t>
                  </w:r>
                </w:p>
              </w:tc>
            </w:tr>
            <w:tr w14:paraId="3A85016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408" w:type="pct"/>
                  <w:vAlign w:val="center"/>
                </w:tcPr>
                <w:p w14:paraId="3A850163">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5</w:t>
                  </w:r>
                </w:p>
              </w:tc>
              <w:tc>
                <w:tcPr>
                  <w:tcW w:w="978" w:type="pct"/>
                  <w:vAlign w:val="center"/>
                </w:tcPr>
                <w:p w14:paraId="3A850164">
                  <w:pPr>
                    <w:adjustRightInd w:val="0"/>
                    <w:snapToGrid w:val="0"/>
                    <w:jc w:val="center"/>
                    <w:rPr>
                      <w:rFonts w:ascii="Times New Roman" w:hAnsi="Times New Roman"/>
                      <w:bCs/>
                      <w:color w:val="auto"/>
                      <w:kern w:val="0"/>
                      <w:sz w:val="21"/>
                      <w:szCs w:val="21"/>
                    </w:rPr>
                  </w:pPr>
                  <w:r>
                    <w:rPr>
                      <w:rFonts w:hint="eastAsia"/>
                      <w:color w:val="auto"/>
                      <w:kern w:val="0"/>
                      <w:sz w:val="21"/>
                      <w:szCs w:val="21"/>
                      <w:lang w:val="en-US" w:eastAsia="zh-CN"/>
                    </w:rPr>
                    <w:t>警示标签机</w:t>
                  </w:r>
                </w:p>
              </w:tc>
              <w:tc>
                <w:tcPr>
                  <w:tcW w:w="618" w:type="pct"/>
                  <w:vAlign w:val="bottom"/>
                </w:tcPr>
                <w:p w14:paraId="3A850165">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lang w:val="en-US" w:eastAsia="zh-CN"/>
                    </w:rPr>
                    <w:t>77.8</w:t>
                  </w:r>
                </w:p>
              </w:tc>
              <w:tc>
                <w:tcPr>
                  <w:tcW w:w="592" w:type="pct"/>
                  <w:vAlign w:val="center"/>
                </w:tcPr>
                <w:p w14:paraId="3A850166">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25</w:t>
                  </w:r>
                </w:p>
              </w:tc>
              <w:tc>
                <w:tcPr>
                  <w:tcW w:w="600" w:type="pct"/>
                  <w:vAlign w:val="bottom"/>
                </w:tcPr>
                <w:p w14:paraId="3A850167">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48.1</w:t>
                  </w:r>
                </w:p>
              </w:tc>
              <w:tc>
                <w:tcPr>
                  <w:tcW w:w="600" w:type="pct"/>
                  <w:vAlign w:val="bottom"/>
                </w:tcPr>
                <w:p w14:paraId="3A850168">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35.3</w:t>
                  </w:r>
                </w:p>
              </w:tc>
              <w:tc>
                <w:tcPr>
                  <w:tcW w:w="600" w:type="pct"/>
                  <w:vAlign w:val="bottom"/>
                </w:tcPr>
                <w:p w14:paraId="3A850169">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43.7</w:t>
                  </w:r>
                </w:p>
              </w:tc>
              <w:tc>
                <w:tcPr>
                  <w:tcW w:w="601" w:type="pct"/>
                  <w:vAlign w:val="bottom"/>
                </w:tcPr>
                <w:p w14:paraId="3A85016A">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34.3</w:t>
                  </w:r>
                </w:p>
              </w:tc>
            </w:tr>
            <w:tr w14:paraId="3A85019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598" w:type="pct"/>
                  <w:gridSpan w:val="4"/>
                  <w:vAlign w:val="center"/>
                </w:tcPr>
                <w:p w14:paraId="3A850199">
                  <w:pPr>
                    <w:pStyle w:val="601"/>
                    <w:adjustRightInd w:val="0"/>
                    <w:snapToGrid w:val="0"/>
                    <w:spacing w:line="240" w:lineRule="auto"/>
                    <w:ind w:firstLine="0" w:firstLineChars="0"/>
                    <w:jc w:val="center"/>
                    <w:rPr>
                      <w:rFonts w:ascii="Times New Roman" w:hAnsi="Times New Roman"/>
                      <w:bCs/>
                      <w:color w:val="auto"/>
                      <w:kern w:val="0"/>
                      <w:sz w:val="21"/>
                    </w:rPr>
                  </w:pPr>
                  <w:r>
                    <w:rPr>
                      <w:rFonts w:ascii="Times New Roman" w:hAnsi="Times New Roman"/>
                      <w:color w:val="auto"/>
                      <w:kern w:val="0"/>
                      <w:sz w:val="21"/>
                    </w:rPr>
                    <w:t>贡献值</w:t>
                  </w:r>
                </w:p>
              </w:tc>
              <w:tc>
                <w:tcPr>
                  <w:tcW w:w="600" w:type="pct"/>
                  <w:vAlign w:val="center"/>
                </w:tcPr>
                <w:p w14:paraId="3A85019A">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42.1</w:t>
                  </w:r>
                </w:p>
              </w:tc>
              <w:tc>
                <w:tcPr>
                  <w:tcW w:w="600" w:type="pct"/>
                  <w:vAlign w:val="center"/>
                </w:tcPr>
                <w:p w14:paraId="3A85019B">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29.2</w:t>
                  </w:r>
                </w:p>
              </w:tc>
              <w:tc>
                <w:tcPr>
                  <w:tcW w:w="600" w:type="pct"/>
                  <w:vAlign w:val="center"/>
                </w:tcPr>
                <w:p w14:paraId="3A85019C">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lang w:val="en-US" w:eastAsia="zh-CN"/>
                    </w:rPr>
                    <w:t>39.5</w:t>
                  </w:r>
                </w:p>
              </w:tc>
              <w:tc>
                <w:tcPr>
                  <w:tcW w:w="601" w:type="pct"/>
                  <w:vAlign w:val="center"/>
                </w:tcPr>
                <w:p w14:paraId="3A85019D">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31.2</w:t>
                  </w:r>
                </w:p>
              </w:tc>
            </w:tr>
            <w:tr w14:paraId="07B1536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598" w:type="pct"/>
                  <w:gridSpan w:val="4"/>
                  <w:vAlign w:val="center"/>
                </w:tcPr>
                <w:p w14:paraId="1A880E33">
                  <w:pPr>
                    <w:pStyle w:val="601"/>
                    <w:adjustRightInd w:val="0"/>
                    <w:snapToGrid w:val="0"/>
                    <w:spacing w:line="240" w:lineRule="auto"/>
                    <w:ind w:firstLine="0" w:firstLineChars="0"/>
                    <w:jc w:val="center"/>
                    <w:rPr>
                      <w:rFonts w:hint="eastAsia" w:ascii="Times New Roman" w:hAnsi="Times New Roman" w:eastAsia="宋体"/>
                      <w:color w:val="auto"/>
                      <w:kern w:val="0"/>
                      <w:sz w:val="21"/>
                      <w:lang w:val="en-US" w:eastAsia="zh-CN"/>
                    </w:rPr>
                  </w:pPr>
                  <w:r>
                    <w:rPr>
                      <w:rFonts w:hint="eastAsia" w:ascii="Times New Roman" w:hAnsi="Times New Roman"/>
                      <w:color w:val="auto"/>
                      <w:kern w:val="0"/>
                      <w:sz w:val="21"/>
                      <w:lang w:val="en-US" w:eastAsia="zh-CN"/>
                    </w:rPr>
                    <w:t>背景值</w:t>
                  </w:r>
                </w:p>
              </w:tc>
              <w:tc>
                <w:tcPr>
                  <w:tcW w:w="600" w:type="pct"/>
                  <w:vAlign w:val="center"/>
                </w:tcPr>
                <w:p w14:paraId="275511B1">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56.6/38.0</w:t>
                  </w:r>
                </w:p>
              </w:tc>
              <w:tc>
                <w:tcPr>
                  <w:tcW w:w="600" w:type="pct"/>
                  <w:vAlign w:val="center"/>
                </w:tcPr>
                <w:p w14:paraId="5A3E35B9">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46.6/38.5</w:t>
                  </w:r>
                </w:p>
              </w:tc>
              <w:tc>
                <w:tcPr>
                  <w:tcW w:w="600" w:type="pct"/>
                  <w:vAlign w:val="center"/>
                </w:tcPr>
                <w:p w14:paraId="437FB920">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48.7/40.4</w:t>
                  </w:r>
                </w:p>
              </w:tc>
              <w:tc>
                <w:tcPr>
                  <w:tcW w:w="601" w:type="pct"/>
                  <w:vAlign w:val="center"/>
                </w:tcPr>
                <w:p w14:paraId="719904B5">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48.0/43.4</w:t>
                  </w:r>
                </w:p>
              </w:tc>
            </w:tr>
            <w:tr w14:paraId="0A89E3C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598" w:type="pct"/>
                  <w:gridSpan w:val="4"/>
                  <w:vAlign w:val="center"/>
                </w:tcPr>
                <w:p w14:paraId="3AD2A798">
                  <w:pPr>
                    <w:pStyle w:val="601"/>
                    <w:adjustRightInd w:val="0"/>
                    <w:snapToGrid w:val="0"/>
                    <w:spacing w:line="240" w:lineRule="auto"/>
                    <w:ind w:firstLine="0" w:firstLineChars="0"/>
                    <w:jc w:val="center"/>
                    <w:rPr>
                      <w:rFonts w:hint="eastAsia" w:ascii="Times New Roman" w:hAnsi="Times New Roman" w:eastAsia="宋体"/>
                      <w:color w:val="auto"/>
                      <w:kern w:val="0"/>
                      <w:sz w:val="21"/>
                      <w:lang w:val="en-US" w:eastAsia="zh-CN"/>
                    </w:rPr>
                  </w:pPr>
                  <w:r>
                    <w:rPr>
                      <w:rFonts w:hint="eastAsia" w:ascii="Times New Roman" w:hAnsi="Times New Roman"/>
                      <w:color w:val="auto"/>
                      <w:kern w:val="0"/>
                      <w:sz w:val="21"/>
                      <w:lang w:val="en-US" w:eastAsia="zh-CN"/>
                    </w:rPr>
                    <w:t>预测值</w:t>
                  </w:r>
                </w:p>
              </w:tc>
              <w:tc>
                <w:tcPr>
                  <w:tcW w:w="600" w:type="pct"/>
                  <w:vAlign w:val="center"/>
                </w:tcPr>
                <w:p w14:paraId="5123ABF6">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56.8/43.5</w:t>
                  </w:r>
                </w:p>
              </w:tc>
              <w:tc>
                <w:tcPr>
                  <w:tcW w:w="600" w:type="pct"/>
                  <w:vAlign w:val="center"/>
                </w:tcPr>
                <w:p w14:paraId="092F39AC">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46.7/38.9</w:t>
                  </w:r>
                </w:p>
              </w:tc>
              <w:tc>
                <w:tcPr>
                  <w:tcW w:w="600" w:type="pct"/>
                  <w:vAlign w:val="center"/>
                </w:tcPr>
                <w:p w14:paraId="1FCB0A69">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49.2/42.9</w:t>
                  </w:r>
                </w:p>
              </w:tc>
              <w:tc>
                <w:tcPr>
                  <w:tcW w:w="601" w:type="pct"/>
                  <w:vAlign w:val="center"/>
                </w:tcPr>
                <w:p w14:paraId="01EDBFF1">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48.1/43.7</w:t>
                  </w:r>
                </w:p>
              </w:tc>
            </w:tr>
            <w:tr w14:paraId="3A8501A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598" w:type="pct"/>
                  <w:gridSpan w:val="4"/>
                  <w:vAlign w:val="center"/>
                </w:tcPr>
                <w:p w14:paraId="3A85019F">
                  <w:pPr>
                    <w:pStyle w:val="601"/>
                    <w:adjustRightInd w:val="0"/>
                    <w:snapToGrid w:val="0"/>
                    <w:spacing w:line="240" w:lineRule="auto"/>
                    <w:ind w:firstLine="0" w:firstLineChars="0"/>
                    <w:jc w:val="center"/>
                    <w:rPr>
                      <w:rFonts w:ascii="Times New Roman" w:hAnsi="Times New Roman"/>
                      <w:bCs/>
                      <w:color w:val="auto"/>
                      <w:kern w:val="0"/>
                      <w:sz w:val="21"/>
                    </w:rPr>
                  </w:pPr>
                  <w:r>
                    <w:rPr>
                      <w:rFonts w:ascii="Times New Roman" w:hAnsi="Times New Roman"/>
                      <w:color w:val="auto"/>
                      <w:kern w:val="0"/>
                      <w:sz w:val="21"/>
                    </w:rPr>
                    <w:t>标准限值（昼/夜）</w:t>
                  </w:r>
                </w:p>
              </w:tc>
              <w:tc>
                <w:tcPr>
                  <w:tcW w:w="600" w:type="pct"/>
                  <w:vAlign w:val="center"/>
                </w:tcPr>
                <w:p w14:paraId="3A8501A0">
                  <w:pPr>
                    <w:pStyle w:val="6"/>
                    <w:snapToGrid w:val="0"/>
                    <w:spacing w:before="0" w:after="0"/>
                    <w:jc w:val="center"/>
                    <w:rPr>
                      <w:rFonts w:hint="eastAsia" w:ascii="Times New Roman" w:hAnsi="Times New Roman" w:eastAsia="宋体"/>
                      <w:bCs/>
                      <w:color w:val="auto"/>
                      <w:kern w:val="0"/>
                      <w:sz w:val="21"/>
                      <w:szCs w:val="21"/>
                      <w:lang w:eastAsia="zh-CN"/>
                    </w:rPr>
                  </w:pPr>
                  <w:r>
                    <w:rPr>
                      <w:rFonts w:ascii="Times New Roman" w:hAnsi="Times New Roman"/>
                      <w:bCs/>
                      <w:color w:val="auto"/>
                      <w:kern w:val="0"/>
                      <w:sz w:val="21"/>
                      <w:szCs w:val="21"/>
                    </w:rPr>
                    <w:t>6</w:t>
                  </w:r>
                  <w:r>
                    <w:rPr>
                      <w:rFonts w:hint="eastAsia" w:ascii="Times New Roman" w:hAnsi="Times New Roman"/>
                      <w:bCs/>
                      <w:color w:val="auto"/>
                      <w:kern w:val="0"/>
                      <w:sz w:val="21"/>
                      <w:szCs w:val="21"/>
                      <w:lang w:val="en-US" w:eastAsia="zh-CN"/>
                    </w:rPr>
                    <w:t>0</w:t>
                  </w:r>
                  <w:r>
                    <w:rPr>
                      <w:rFonts w:ascii="Times New Roman" w:hAnsi="Times New Roman"/>
                      <w:bCs/>
                      <w:color w:val="auto"/>
                      <w:kern w:val="0"/>
                      <w:sz w:val="21"/>
                      <w:szCs w:val="21"/>
                    </w:rPr>
                    <w:t>/5</w:t>
                  </w:r>
                  <w:r>
                    <w:rPr>
                      <w:rFonts w:hint="eastAsia" w:ascii="Times New Roman" w:hAnsi="Times New Roman"/>
                      <w:bCs/>
                      <w:color w:val="auto"/>
                      <w:kern w:val="0"/>
                      <w:sz w:val="21"/>
                      <w:szCs w:val="21"/>
                      <w:lang w:val="en-US" w:eastAsia="zh-CN"/>
                    </w:rPr>
                    <w:t>0</w:t>
                  </w:r>
                </w:p>
              </w:tc>
              <w:tc>
                <w:tcPr>
                  <w:tcW w:w="600" w:type="pct"/>
                  <w:vAlign w:val="center"/>
                </w:tcPr>
                <w:p w14:paraId="3A8501A1">
                  <w:pPr>
                    <w:snapToGrid w:val="0"/>
                    <w:jc w:val="center"/>
                    <w:rPr>
                      <w:bCs/>
                      <w:color w:val="auto"/>
                      <w:kern w:val="0"/>
                    </w:rPr>
                  </w:pPr>
                  <w:r>
                    <w:rPr>
                      <w:rFonts w:ascii="Times New Roman" w:hAnsi="Times New Roman"/>
                      <w:bCs/>
                      <w:color w:val="auto"/>
                      <w:kern w:val="0"/>
                      <w:sz w:val="21"/>
                      <w:szCs w:val="21"/>
                    </w:rPr>
                    <w:t>6</w:t>
                  </w:r>
                  <w:r>
                    <w:rPr>
                      <w:rFonts w:hint="eastAsia" w:ascii="Times New Roman" w:hAnsi="Times New Roman"/>
                      <w:bCs/>
                      <w:color w:val="auto"/>
                      <w:kern w:val="0"/>
                      <w:sz w:val="21"/>
                      <w:szCs w:val="21"/>
                      <w:lang w:val="en-US" w:eastAsia="zh-CN"/>
                    </w:rPr>
                    <w:t>0</w:t>
                  </w:r>
                  <w:r>
                    <w:rPr>
                      <w:rFonts w:ascii="Times New Roman" w:hAnsi="Times New Roman"/>
                      <w:bCs/>
                      <w:color w:val="auto"/>
                      <w:kern w:val="0"/>
                      <w:sz w:val="21"/>
                      <w:szCs w:val="21"/>
                    </w:rPr>
                    <w:t>/5</w:t>
                  </w:r>
                  <w:r>
                    <w:rPr>
                      <w:rFonts w:hint="eastAsia" w:ascii="Times New Roman" w:hAnsi="Times New Roman"/>
                      <w:bCs/>
                      <w:color w:val="auto"/>
                      <w:kern w:val="0"/>
                      <w:sz w:val="21"/>
                      <w:szCs w:val="21"/>
                      <w:lang w:val="en-US" w:eastAsia="zh-CN"/>
                    </w:rPr>
                    <w:t>0</w:t>
                  </w:r>
                </w:p>
              </w:tc>
              <w:tc>
                <w:tcPr>
                  <w:tcW w:w="600" w:type="pct"/>
                  <w:vAlign w:val="center"/>
                </w:tcPr>
                <w:p w14:paraId="3A8501A2">
                  <w:pPr>
                    <w:snapToGrid w:val="0"/>
                    <w:jc w:val="center"/>
                    <w:rPr>
                      <w:bCs/>
                      <w:color w:val="auto"/>
                      <w:kern w:val="0"/>
                    </w:rPr>
                  </w:pPr>
                  <w:r>
                    <w:rPr>
                      <w:rFonts w:ascii="Times New Roman" w:hAnsi="Times New Roman"/>
                      <w:bCs/>
                      <w:color w:val="auto"/>
                      <w:kern w:val="0"/>
                      <w:sz w:val="21"/>
                      <w:szCs w:val="21"/>
                    </w:rPr>
                    <w:t>6</w:t>
                  </w:r>
                  <w:r>
                    <w:rPr>
                      <w:rFonts w:hint="eastAsia" w:ascii="Times New Roman" w:hAnsi="Times New Roman"/>
                      <w:bCs/>
                      <w:color w:val="auto"/>
                      <w:kern w:val="0"/>
                      <w:sz w:val="21"/>
                      <w:szCs w:val="21"/>
                      <w:lang w:val="en-US" w:eastAsia="zh-CN"/>
                    </w:rPr>
                    <w:t>0</w:t>
                  </w:r>
                  <w:r>
                    <w:rPr>
                      <w:rFonts w:ascii="Times New Roman" w:hAnsi="Times New Roman"/>
                      <w:bCs/>
                      <w:color w:val="auto"/>
                      <w:kern w:val="0"/>
                      <w:sz w:val="21"/>
                      <w:szCs w:val="21"/>
                    </w:rPr>
                    <w:t>/5</w:t>
                  </w:r>
                  <w:r>
                    <w:rPr>
                      <w:rFonts w:hint="eastAsia" w:ascii="Times New Roman" w:hAnsi="Times New Roman"/>
                      <w:bCs/>
                      <w:color w:val="auto"/>
                      <w:kern w:val="0"/>
                      <w:sz w:val="21"/>
                      <w:szCs w:val="21"/>
                      <w:lang w:val="en-US" w:eastAsia="zh-CN"/>
                    </w:rPr>
                    <w:t>0</w:t>
                  </w:r>
                </w:p>
              </w:tc>
              <w:tc>
                <w:tcPr>
                  <w:tcW w:w="601" w:type="pct"/>
                  <w:vAlign w:val="center"/>
                </w:tcPr>
                <w:p w14:paraId="3A8501A3">
                  <w:pPr>
                    <w:snapToGrid w:val="0"/>
                    <w:jc w:val="center"/>
                    <w:rPr>
                      <w:bCs/>
                      <w:color w:val="auto"/>
                      <w:kern w:val="0"/>
                    </w:rPr>
                  </w:pPr>
                  <w:r>
                    <w:rPr>
                      <w:rFonts w:ascii="Times New Roman" w:hAnsi="Times New Roman"/>
                      <w:bCs/>
                      <w:color w:val="auto"/>
                      <w:kern w:val="0"/>
                      <w:sz w:val="21"/>
                      <w:szCs w:val="21"/>
                    </w:rPr>
                    <w:t>6</w:t>
                  </w:r>
                  <w:r>
                    <w:rPr>
                      <w:rFonts w:hint="eastAsia" w:ascii="Times New Roman" w:hAnsi="Times New Roman"/>
                      <w:bCs/>
                      <w:color w:val="auto"/>
                      <w:kern w:val="0"/>
                      <w:sz w:val="21"/>
                      <w:szCs w:val="21"/>
                      <w:lang w:val="en-US" w:eastAsia="zh-CN"/>
                    </w:rPr>
                    <w:t>0</w:t>
                  </w:r>
                  <w:r>
                    <w:rPr>
                      <w:rFonts w:ascii="Times New Roman" w:hAnsi="Times New Roman"/>
                      <w:bCs/>
                      <w:color w:val="auto"/>
                      <w:kern w:val="0"/>
                      <w:sz w:val="21"/>
                      <w:szCs w:val="21"/>
                    </w:rPr>
                    <w:t>/5</w:t>
                  </w:r>
                  <w:r>
                    <w:rPr>
                      <w:rFonts w:hint="eastAsia" w:ascii="Times New Roman" w:hAnsi="Times New Roman"/>
                      <w:bCs/>
                      <w:color w:val="auto"/>
                      <w:kern w:val="0"/>
                      <w:sz w:val="21"/>
                      <w:szCs w:val="21"/>
                      <w:lang w:val="en-US" w:eastAsia="zh-CN"/>
                    </w:rPr>
                    <w:t>0</w:t>
                  </w:r>
                </w:p>
              </w:tc>
            </w:tr>
            <w:tr w14:paraId="3A8501A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598" w:type="pct"/>
                  <w:gridSpan w:val="4"/>
                  <w:vAlign w:val="center"/>
                </w:tcPr>
                <w:p w14:paraId="3A8501A5">
                  <w:pPr>
                    <w:pStyle w:val="601"/>
                    <w:adjustRightInd w:val="0"/>
                    <w:snapToGrid w:val="0"/>
                    <w:spacing w:line="240" w:lineRule="auto"/>
                    <w:ind w:firstLine="0" w:firstLineChars="0"/>
                    <w:jc w:val="center"/>
                    <w:rPr>
                      <w:rFonts w:ascii="Times New Roman" w:hAnsi="Times New Roman"/>
                      <w:bCs/>
                      <w:color w:val="auto"/>
                      <w:kern w:val="0"/>
                      <w:sz w:val="21"/>
                    </w:rPr>
                  </w:pPr>
                  <w:r>
                    <w:rPr>
                      <w:rFonts w:ascii="Times New Roman" w:hAnsi="Times New Roman"/>
                      <w:color w:val="auto"/>
                      <w:kern w:val="0"/>
                      <w:sz w:val="21"/>
                    </w:rPr>
                    <w:t>达标情况</w:t>
                  </w:r>
                </w:p>
              </w:tc>
              <w:tc>
                <w:tcPr>
                  <w:tcW w:w="600" w:type="pct"/>
                  <w:vAlign w:val="center"/>
                </w:tcPr>
                <w:p w14:paraId="3A8501A6">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达标</w:t>
                  </w:r>
                </w:p>
              </w:tc>
              <w:tc>
                <w:tcPr>
                  <w:tcW w:w="600" w:type="pct"/>
                  <w:vAlign w:val="center"/>
                </w:tcPr>
                <w:p w14:paraId="3A8501A7">
                  <w:pPr>
                    <w:snapToGrid w:val="0"/>
                    <w:jc w:val="center"/>
                    <w:rPr>
                      <w:bCs/>
                      <w:color w:val="auto"/>
                      <w:kern w:val="0"/>
                    </w:rPr>
                  </w:pPr>
                  <w:r>
                    <w:rPr>
                      <w:bCs/>
                      <w:color w:val="auto"/>
                      <w:kern w:val="0"/>
                    </w:rPr>
                    <w:t>达标</w:t>
                  </w:r>
                </w:p>
              </w:tc>
              <w:tc>
                <w:tcPr>
                  <w:tcW w:w="600" w:type="pct"/>
                  <w:vAlign w:val="center"/>
                </w:tcPr>
                <w:p w14:paraId="3A8501A8">
                  <w:pPr>
                    <w:snapToGrid w:val="0"/>
                    <w:jc w:val="center"/>
                    <w:rPr>
                      <w:bCs/>
                      <w:color w:val="auto"/>
                      <w:kern w:val="0"/>
                    </w:rPr>
                  </w:pPr>
                  <w:r>
                    <w:rPr>
                      <w:bCs/>
                      <w:color w:val="auto"/>
                      <w:kern w:val="0"/>
                    </w:rPr>
                    <w:t>达标</w:t>
                  </w:r>
                </w:p>
              </w:tc>
              <w:tc>
                <w:tcPr>
                  <w:tcW w:w="601" w:type="pct"/>
                  <w:vAlign w:val="center"/>
                </w:tcPr>
                <w:p w14:paraId="3A8501A9">
                  <w:pPr>
                    <w:snapToGrid w:val="0"/>
                    <w:jc w:val="center"/>
                    <w:rPr>
                      <w:bCs/>
                      <w:color w:val="auto"/>
                      <w:kern w:val="0"/>
                    </w:rPr>
                  </w:pPr>
                  <w:r>
                    <w:rPr>
                      <w:bCs/>
                      <w:color w:val="auto"/>
                      <w:kern w:val="0"/>
                    </w:rPr>
                    <w:t>达标</w:t>
                  </w:r>
                </w:p>
              </w:tc>
            </w:tr>
          </w:tbl>
          <w:p w14:paraId="3A8501AB">
            <w:pPr>
              <w:widowControl/>
              <w:snapToGrid w:val="0"/>
              <w:spacing w:line="360" w:lineRule="auto"/>
              <w:ind w:firstLine="422" w:firstLineChars="200"/>
              <w:rPr>
                <w:b/>
                <w:bCs/>
                <w:color w:val="auto"/>
                <w:kern w:val="0"/>
              </w:rPr>
            </w:pPr>
            <w:r>
              <w:rPr>
                <w:rFonts w:hint="eastAsia"/>
                <w:b/>
                <w:bCs/>
                <w:color w:val="auto"/>
                <w:kern w:val="0"/>
              </w:rPr>
              <w:t>（4）声环境影响分析结论</w:t>
            </w:r>
          </w:p>
          <w:p w14:paraId="3A8501AC">
            <w:pPr>
              <w:pStyle w:val="27"/>
              <w:spacing w:line="360" w:lineRule="auto"/>
              <w:ind w:left="0" w:leftChars="0" w:right="0" w:rightChars="0" w:firstLine="420"/>
              <w:rPr>
                <w:color w:val="auto"/>
                <w:kern w:val="0"/>
                <w:sz w:val="21"/>
              </w:rPr>
            </w:pPr>
            <w:r>
              <w:rPr>
                <w:color w:val="auto"/>
                <w:kern w:val="0"/>
                <w:sz w:val="21"/>
              </w:rPr>
              <w:t>本项目设计通过选用低噪声设备，并采用隔音及减震措施，同时通过优化平面布置、设置绿化带等措施可使厂界噪声达标。</w:t>
            </w:r>
          </w:p>
          <w:p w14:paraId="3A8501AD">
            <w:pPr>
              <w:pStyle w:val="27"/>
              <w:spacing w:line="360" w:lineRule="auto"/>
              <w:ind w:left="0" w:leftChars="0" w:right="0" w:rightChars="0" w:firstLine="420"/>
              <w:rPr>
                <w:b/>
                <w:bCs/>
                <w:color w:val="auto"/>
                <w:kern w:val="0"/>
                <w:sz w:val="21"/>
              </w:rPr>
            </w:pPr>
            <w:r>
              <w:rPr>
                <w:color w:val="auto"/>
                <w:kern w:val="0"/>
                <w:sz w:val="21"/>
              </w:rPr>
              <w:t>由上述计算可知，通过采取上述治理措施后，再经距离衰减、减振措施等进一步降噪后，可确保所有厂界</w:t>
            </w:r>
            <w:r>
              <w:rPr>
                <w:rFonts w:hint="eastAsia"/>
                <w:color w:val="auto"/>
                <w:kern w:val="0"/>
                <w:sz w:val="21"/>
              </w:rPr>
              <w:t>噪声贡献值均满足</w:t>
            </w:r>
            <w:r>
              <w:rPr>
                <w:color w:val="auto"/>
                <w:kern w:val="0"/>
                <w:sz w:val="21"/>
              </w:rPr>
              <w:t>《工业企业厂界环境噪声排放标准》（GB12348-2008）表1中</w:t>
            </w:r>
            <w:r>
              <w:rPr>
                <w:rFonts w:hint="eastAsia"/>
                <w:color w:val="auto"/>
                <w:kern w:val="0"/>
                <w:sz w:val="21"/>
                <w:lang w:eastAsia="zh-CN"/>
              </w:rPr>
              <w:t>2类</w:t>
            </w:r>
            <w:r>
              <w:rPr>
                <w:color w:val="auto"/>
                <w:kern w:val="0"/>
                <w:sz w:val="21"/>
              </w:rPr>
              <w:t>区限值</w:t>
            </w:r>
            <w:r>
              <w:rPr>
                <w:rFonts w:hint="eastAsia"/>
                <w:color w:val="auto"/>
                <w:kern w:val="0"/>
                <w:sz w:val="21"/>
              </w:rPr>
              <w:t>要求</w:t>
            </w:r>
            <w:r>
              <w:rPr>
                <w:color w:val="auto"/>
                <w:kern w:val="0"/>
                <w:sz w:val="21"/>
              </w:rPr>
              <w:t>。</w:t>
            </w:r>
            <w:r>
              <w:rPr>
                <w:rFonts w:hint="eastAsia"/>
                <w:color w:val="auto"/>
                <w:kern w:val="0"/>
                <w:sz w:val="21"/>
              </w:rPr>
              <w:t>厂界噪声预测值满足《声环境质量标准》（GB3096-2008）</w:t>
            </w:r>
            <w:r>
              <w:rPr>
                <w:color w:val="auto"/>
                <w:kern w:val="0"/>
                <w:sz w:val="21"/>
              </w:rPr>
              <w:t>表1中</w:t>
            </w:r>
            <w:r>
              <w:rPr>
                <w:rFonts w:hint="eastAsia"/>
                <w:color w:val="auto"/>
                <w:kern w:val="0"/>
                <w:sz w:val="21"/>
                <w:lang w:eastAsia="zh-CN"/>
              </w:rPr>
              <w:t>2类</w:t>
            </w:r>
            <w:r>
              <w:rPr>
                <w:color w:val="auto"/>
                <w:kern w:val="0"/>
                <w:sz w:val="21"/>
              </w:rPr>
              <w:t>区限值</w:t>
            </w:r>
            <w:r>
              <w:rPr>
                <w:rFonts w:hint="eastAsia"/>
                <w:color w:val="auto"/>
                <w:kern w:val="0"/>
                <w:sz w:val="21"/>
              </w:rPr>
              <w:t>要求</w:t>
            </w:r>
            <w:r>
              <w:rPr>
                <w:color w:val="auto"/>
                <w:kern w:val="0"/>
                <w:sz w:val="21"/>
              </w:rPr>
              <w:t>。因此，本项目运行对周围环境影响较小。</w:t>
            </w:r>
          </w:p>
          <w:p w14:paraId="3A8501AE">
            <w:pPr>
              <w:widowControl/>
              <w:snapToGrid w:val="0"/>
              <w:spacing w:line="360" w:lineRule="auto"/>
              <w:ind w:firstLine="422" w:firstLineChars="200"/>
              <w:rPr>
                <w:b/>
                <w:bCs/>
                <w:color w:val="auto"/>
                <w:kern w:val="0"/>
              </w:rPr>
            </w:pPr>
            <w:r>
              <w:rPr>
                <w:rFonts w:hint="eastAsia"/>
                <w:b/>
                <w:bCs/>
                <w:color w:val="auto"/>
                <w:kern w:val="0"/>
              </w:rPr>
              <w:t>（5）噪声源监测计划</w:t>
            </w:r>
          </w:p>
          <w:p w14:paraId="3A8501AF">
            <w:pPr>
              <w:adjustRightInd w:val="0"/>
              <w:snapToGrid w:val="0"/>
              <w:spacing w:line="360" w:lineRule="auto"/>
              <w:ind w:firstLine="420" w:firstLineChars="200"/>
              <w:rPr>
                <w:bCs/>
                <w:color w:val="auto"/>
                <w:kern w:val="0"/>
              </w:rPr>
            </w:pPr>
            <w:r>
              <w:rPr>
                <w:bCs/>
                <w:color w:val="auto"/>
                <w:kern w:val="0"/>
              </w:rPr>
              <w:t>参考《排污单位自行监测技术指南总则》（HJ819-2017），结合企业实际情况，本项目噪声日常监测要求见</w:t>
            </w:r>
            <w:r>
              <w:rPr>
                <w:rFonts w:hint="eastAsia"/>
                <w:bCs/>
                <w:color w:val="auto"/>
                <w:kern w:val="0"/>
              </w:rPr>
              <w:t>下表</w:t>
            </w:r>
            <w:r>
              <w:rPr>
                <w:bCs/>
                <w:color w:val="auto"/>
                <w:kern w:val="0"/>
              </w:rPr>
              <w:t>。</w:t>
            </w:r>
          </w:p>
          <w:p w14:paraId="3A8501B0">
            <w:pPr>
              <w:jc w:val="center"/>
              <w:rPr>
                <w:b/>
                <w:bCs/>
                <w:color w:val="auto"/>
                <w:kern w:val="0"/>
              </w:rPr>
            </w:pPr>
            <w:r>
              <w:rPr>
                <w:b/>
                <w:bCs/>
                <w:color w:val="auto"/>
                <w:kern w:val="0"/>
              </w:rPr>
              <w:t>表4-</w:t>
            </w:r>
            <w:r>
              <w:rPr>
                <w:rFonts w:hint="eastAsia"/>
                <w:b/>
                <w:bCs/>
                <w:color w:val="auto"/>
                <w:kern w:val="0"/>
                <w:lang w:val="en-US" w:eastAsia="zh-CN"/>
              </w:rPr>
              <w:t>16</w:t>
            </w:r>
            <w:r>
              <w:rPr>
                <w:b/>
                <w:bCs/>
                <w:color w:val="auto"/>
                <w:kern w:val="0"/>
              </w:rPr>
              <w:t xml:space="preserve">   本项目噪声监测计划一览表</w:t>
            </w:r>
          </w:p>
          <w:tbl>
            <w:tblPr>
              <w:tblStyle w:val="59"/>
              <w:tblW w:w="4997" w:type="pct"/>
              <w:tblInd w:w="11"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91"/>
              <w:gridCol w:w="1773"/>
              <w:gridCol w:w="2042"/>
              <w:gridCol w:w="1299"/>
              <w:gridCol w:w="3684"/>
            </w:tblGrid>
            <w:tr w14:paraId="3A8501B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12" w:type="pct"/>
                  <w:vAlign w:val="center"/>
                </w:tcPr>
                <w:p w14:paraId="3A8501B1">
                  <w:pPr>
                    <w:pStyle w:val="6"/>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类型</w:t>
                  </w:r>
                </w:p>
              </w:tc>
              <w:tc>
                <w:tcPr>
                  <w:tcW w:w="924" w:type="pct"/>
                  <w:vAlign w:val="center"/>
                </w:tcPr>
                <w:p w14:paraId="3A8501B2">
                  <w:pPr>
                    <w:pStyle w:val="6"/>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监测点位</w:t>
                  </w:r>
                </w:p>
              </w:tc>
              <w:tc>
                <w:tcPr>
                  <w:tcW w:w="1064" w:type="pct"/>
                  <w:vAlign w:val="center"/>
                </w:tcPr>
                <w:p w14:paraId="3A8501B3">
                  <w:pPr>
                    <w:pStyle w:val="6"/>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监测因子</w:t>
                  </w:r>
                </w:p>
              </w:tc>
              <w:tc>
                <w:tcPr>
                  <w:tcW w:w="677" w:type="pct"/>
                  <w:vAlign w:val="center"/>
                </w:tcPr>
                <w:p w14:paraId="3A8501B4">
                  <w:pPr>
                    <w:pStyle w:val="6"/>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监测频次</w:t>
                  </w:r>
                </w:p>
              </w:tc>
              <w:tc>
                <w:tcPr>
                  <w:tcW w:w="1920" w:type="pct"/>
                  <w:vAlign w:val="center"/>
                </w:tcPr>
                <w:p w14:paraId="3A8501B5">
                  <w:pPr>
                    <w:pStyle w:val="6"/>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排放标准</w:t>
                  </w:r>
                </w:p>
              </w:tc>
            </w:tr>
            <w:tr w14:paraId="3A8501B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12" w:type="pct"/>
                  <w:vAlign w:val="center"/>
                </w:tcPr>
                <w:p w14:paraId="3A8501B7">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噪声</w:t>
                  </w:r>
                </w:p>
              </w:tc>
              <w:tc>
                <w:tcPr>
                  <w:tcW w:w="924" w:type="pct"/>
                  <w:vAlign w:val="center"/>
                </w:tcPr>
                <w:p w14:paraId="3A8501B8">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rPr>
                    <w:t>四周</w:t>
                  </w:r>
                  <w:r>
                    <w:rPr>
                      <w:rFonts w:ascii="Times New Roman" w:hAnsi="Times New Roman"/>
                      <w:bCs/>
                      <w:color w:val="auto"/>
                      <w:kern w:val="0"/>
                      <w:sz w:val="21"/>
                      <w:szCs w:val="21"/>
                    </w:rPr>
                    <w:t>厂界外1米</w:t>
                  </w:r>
                </w:p>
              </w:tc>
              <w:tc>
                <w:tcPr>
                  <w:tcW w:w="1064" w:type="pct"/>
                  <w:vAlign w:val="center"/>
                </w:tcPr>
                <w:p w14:paraId="3A8501B9">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昼</w:t>
                  </w:r>
                  <w:r>
                    <w:rPr>
                      <w:rFonts w:hint="eastAsia" w:ascii="Times New Roman" w:hAnsi="Times New Roman"/>
                      <w:bCs/>
                      <w:color w:val="auto"/>
                      <w:kern w:val="0"/>
                      <w:sz w:val="21"/>
                      <w:szCs w:val="21"/>
                    </w:rPr>
                    <w:t>夜</w:t>
                  </w:r>
                  <w:r>
                    <w:rPr>
                      <w:rFonts w:ascii="Times New Roman" w:hAnsi="Times New Roman"/>
                      <w:bCs/>
                      <w:color w:val="auto"/>
                      <w:kern w:val="0"/>
                      <w:sz w:val="21"/>
                      <w:szCs w:val="21"/>
                    </w:rPr>
                    <w:t>间等效声级</w:t>
                  </w:r>
                </w:p>
              </w:tc>
              <w:tc>
                <w:tcPr>
                  <w:tcW w:w="677" w:type="pct"/>
                  <w:vAlign w:val="center"/>
                </w:tcPr>
                <w:p w14:paraId="3A8501BA">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1次/季度</w:t>
                  </w:r>
                </w:p>
              </w:tc>
              <w:tc>
                <w:tcPr>
                  <w:tcW w:w="1920" w:type="pct"/>
                  <w:vAlign w:val="center"/>
                </w:tcPr>
                <w:p w14:paraId="3A8501BB">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《工业企业厂界环境噪声排放标准》（GB12348-2008）</w:t>
                  </w:r>
                  <w:r>
                    <w:rPr>
                      <w:rFonts w:hint="eastAsia" w:ascii="Times New Roman" w:hAnsi="Times New Roman"/>
                      <w:bCs/>
                      <w:color w:val="auto"/>
                      <w:kern w:val="0"/>
                      <w:sz w:val="21"/>
                      <w:szCs w:val="21"/>
                      <w:lang w:eastAsia="zh-CN"/>
                    </w:rPr>
                    <w:t>2类</w:t>
                  </w:r>
                  <w:r>
                    <w:rPr>
                      <w:rFonts w:ascii="Times New Roman" w:hAnsi="Times New Roman"/>
                      <w:bCs/>
                      <w:color w:val="auto"/>
                      <w:kern w:val="0"/>
                      <w:sz w:val="21"/>
                      <w:szCs w:val="21"/>
                    </w:rPr>
                    <w:t>标准</w:t>
                  </w:r>
                </w:p>
              </w:tc>
            </w:tr>
          </w:tbl>
          <w:p w14:paraId="3A8501BD">
            <w:pPr>
              <w:spacing w:line="360" w:lineRule="auto"/>
              <w:rPr>
                <w:b/>
                <w:bCs/>
                <w:color w:val="auto"/>
                <w:kern w:val="0"/>
              </w:rPr>
            </w:pPr>
            <w:r>
              <w:rPr>
                <w:b/>
                <w:bCs/>
                <w:color w:val="auto"/>
                <w:kern w:val="0"/>
              </w:rPr>
              <w:t>4</w:t>
            </w:r>
            <w:r>
              <w:rPr>
                <w:rFonts w:hint="eastAsia"/>
                <w:b/>
                <w:bCs/>
                <w:color w:val="auto"/>
                <w:kern w:val="0"/>
              </w:rPr>
              <w:t>、</w:t>
            </w:r>
            <w:r>
              <w:rPr>
                <w:b/>
                <w:bCs/>
                <w:color w:val="auto"/>
                <w:kern w:val="0"/>
              </w:rPr>
              <w:t>固体废物</w:t>
            </w:r>
            <w:r>
              <w:rPr>
                <w:rFonts w:hint="eastAsia"/>
                <w:b/>
                <w:bCs/>
                <w:color w:val="auto"/>
                <w:kern w:val="0"/>
              </w:rPr>
              <w:t>环境影响分析</w:t>
            </w:r>
          </w:p>
          <w:p w14:paraId="3A8501BE">
            <w:pPr>
              <w:adjustRightInd w:val="0"/>
              <w:snapToGrid w:val="0"/>
              <w:spacing w:line="360" w:lineRule="auto"/>
              <w:ind w:firstLine="422" w:firstLineChars="200"/>
              <w:rPr>
                <w:b/>
                <w:bCs/>
                <w:color w:val="auto"/>
                <w:kern w:val="0"/>
              </w:rPr>
            </w:pPr>
            <w:r>
              <w:rPr>
                <w:rFonts w:hint="eastAsia"/>
                <w:b/>
                <w:bCs/>
                <w:color w:val="auto"/>
                <w:kern w:val="0"/>
              </w:rPr>
              <w:t>（1）固废产生源强</w:t>
            </w:r>
          </w:p>
          <w:p w14:paraId="3A8501BF">
            <w:pPr>
              <w:adjustRightInd w:val="0"/>
              <w:snapToGrid w:val="0"/>
              <w:spacing w:line="360" w:lineRule="auto"/>
              <w:ind w:firstLine="422" w:firstLineChars="200"/>
              <w:rPr>
                <w:color w:val="auto"/>
                <w:kern w:val="0"/>
              </w:rPr>
            </w:pPr>
            <w:r>
              <w:rPr>
                <w:rFonts w:hint="eastAsia"/>
                <w:b/>
                <w:bCs/>
                <w:color w:val="auto"/>
                <w:kern w:val="0"/>
              </w:rPr>
              <w:t>本项目新增的固废主要为</w:t>
            </w:r>
            <w:r>
              <w:rPr>
                <w:rFonts w:hint="eastAsia"/>
                <w:b/>
                <w:bCs/>
                <w:color w:val="auto"/>
                <w:kern w:val="0"/>
                <w:lang w:val="en-US" w:eastAsia="zh-CN"/>
              </w:rPr>
              <w:t>一般固废、</w:t>
            </w:r>
            <w:r>
              <w:rPr>
                <w:rFonts w:hint="eastAsia"/>
                <w:b/>
                <w:bCs/>
                <w:color w:val="auto"/>
                <w:kern w:val="0"/>
              </w:rPr>
              <w:t>危险废物、生活垃圾。</w:t>
            </w:r>
          </w:p>
          <w:p w14:paraId="0F08A4A5">
            <w:pPr>
              <w:adjustRightInd w:val="0"/>
              <w:snapToGrid w:val="0"/>
              <w:spacing w:line="360" w:lineRule="auto"/>
              <w:ind w:firstLine="422" w:firstLineChars="200"/>
              <w:rPr>
                <w:rFonts w:hint="eastAsia" w:eastAsia="宋体"/>
                <w:b/>
                <w:bCs/>
                <w:color w:val="auto"/>
                <w:kern w:val="0"/>
                <w:lang w:val="en-US" w:eastAsia="zh-CN"/>
              </w:rPr>
            </w:pPr>
            <w:r>
              <w:rPr>
                <w:rFonts w:hint="eastAsia"/>
                <w:b/>
                <w:bCs/>
                <w:color w:val="auto"/>
                <w:kern w:val="0"/>
                <w:lang w:val="en-US" w:eastAsia="zh-CN"/>
              </w:rPr>
              <w:t>一般固废</w:t>
            </w:r>
          </w:p>
          <w:p w14:paraId="23C92840">
            <w:pPr>
              <w:adjustRightInd w:val="0"/>
              <w:snapToGrid w:val="0"/>
              <w:spacing w:line="360" w:lineRule="auto"/>
              <w:ind w:firstLine="422" w:firstLineChars="200"/>
              <w:rPr>
                <w:rFonts w:hint="default"/>
                <w:b w:val="0"/>
                <w:bCs w:val="0"/>
                <w:color w:val="auto"/>
                <w:kern w:val="0"/>
                <w:lang w:val="en-US" w:eastAsia="zh-CN"/>
              </w:rPr>
            </w:pPr>
            <w:r>
              <w:rPr>
                <w:rFonts w:hint="eastAsia"/>
                <w:b/>
                <w:bCs/>
                <w:color w:val="auto"/>
                <w:kern w:val="0"/>
                <w:lang w:val="en-US" w:eastAsia="zh-CN"/>
              </w:rPr>
              <w:t>废金属壳：</w:t>
            </w:r>
            <w:r>
              <w:rPr>
                <w:rFonts w:hint="eastAsia"/>
                <w:b w:val="0"/>
                <w:bCs w:val="0"/>
                <w:color w:val="auto"/>
                <w:kern w:val="0"/>
                <w:lang w:val="en-US" w:eastAsia="zh-CN"/>
              </w:rPr>
              <w:t>在焚烧的过程中会产生废金属壳体，本项目危废焚烧量为80t/a，废金属壳产生量约为焚烧量的70%，</w:t>
            </w:r>
            <w:r>
              <w:rPr>
                <w:rFonts w:hint="eastAsia"/>
                <w:color w:val="auto"/>
                <w:lang w:val="en-US" w:eastAsia="zh-CN"/>
              </w:rPr>
              <w:t>则</w:t>
            </w:r>
            <w:r>
              <w:rPr>
                <w:rFonts w:hint="eastAsia"/>
                <w:b w:val="0"/>
                <w:bCs w:val="0"/>
                <w:color w:val="auto"/>
                <w:kern w:val="0"/>
                <w:lang w:val="en-US" w:eastAsia="zh-CN"/>
              </w:rPr>
              <w:t>废金属壳产生量约为56t/a。</w:t>
            </w:r>
          </w:p>
          <w:p w14:paraId="3A8501C5">
            <w:pPr>
              <w:adjustRightInd w:val="0"/>
              <w:snapToGrid w:val="0"/>
              <w:spacing w:line="360" w:lineRule="auto"/>
              <w:ind w:firstLine="422" w:firstLineChars="200"/>
              <w:rPr>
                <w:color w:val="auto"/>
                <w:kern w:val="0"/>
              </w:rPr>
            </w:pPr>
            <w:r>
              <w:rPr>
                <w:rFonts w:hint="eastAsia"/>
                <w:b/>
                <w:bCs/>
                <w:color w:val="auto"/>
                <w:kern w:val="0"/>
              </w:rPr>
              <w:t>危险废物</w:t>
            </w:r>
          </w:p>
          <w:p w14:paraId="3A8501C6">
            <w:pPr>
              <w:spacing w:line="360" w:lineRule="auto"/>
              <w:ind w:firstLine="422" w:firstLineChars="200"/>
              <w:rPr>
                <w:color w:val="auto"/>
                <w:kern w:val="0"/>
              </w:rPr>
            </w:pPr>
            <w:r>
              <w:rPr>
                <w:rFonts w:hint="eastAsia"/>
                <w:b/>
                <w:bCs/>
                <w:color w:val="auto"/>
                <w:kern w:val="0"/>
              </w:rPr>
              <w:t>①</w:t>
            </w:r>
            <w:r>
              <w:rPr>
                <w:rFonts w:hint="eastAsia"/>
                <w:b/>
                <w:bCs/>
                <w:color w:val="auto"/>
                <w:kern w:val="0"/>
                <w:lang w:val="en-US" w:eastAsia="zh-CN"/>
              </w:rPr>
              <w:t>不合格品（废气体发生器）</w:t>
            </w:r>
            <w:r>
              <w:rPr>
                <w:rFonts w:hint="eastAsia"/>
                <w:b/>
                <w:bCs/>
                <w:color w:val="auto"/>
                <w:kern w:val="0"/>
              </w:rPr>
              <w:t>：</w:t>
            </w:r>
            <w:r>
              <w:rPr>
                <w:rFonts w:hint="eastAsia"/>
                <w:color w:val="auto"/>
                <w:kern w:val="0"/>
              </w:rPr>
              <w:t>在气体发生器装配过程中会产生不合格品，</w:t>
            </w:r>
            <w:r>
              <w:rPr>
                <w:rFonts w:hint="eastAsia"/>
                <w:color w:val="auto"/>
                <w:kern w:val="0"/>
                <w:lang w:val="en-US" w:eastAsia="zh-CN"/>
              </w:rPr>
              <w:t>本项目气体发生器年产量约为3200t/a，</w:t>
            </w:r>
            <w:r>
              <w:rPr>
                <w:rFonts w:hint="eastAsia"/>
                <w:b w:val="0"/>
                <w:bCs w:val="0"/>
                <w:color w:val="auto"/>
                <w:kern w:val="0"/>
                <w:lang w:val="en-US" w:eastAsia="zh-CN"/>
              </w:rPr>
              <w:t>不合格品产生量约为年产量的2.8%，则不合格品</w:t>
            </w:r>
            <w:r>
              <w:rPr>
                <w:rFonts w:hint="eastAsia"/>
                <w:color w:val="auto"/>
                <w:kern w:val="0"/>
              </w:rPr>
              <w:t>产生量</w:t>
            </w:r>
            <w:r>
              <w:rPr>
                <w:rFonts w:hint="eastAsia"/>
                <w:color w:val="auto"/>
                <w:kern w:val="0"/>
                <w:lang w:val="en-US" w:eastAsia="zh-CN"/>
              </w:rPr>
              <w:t>约</w:t>
            </w:r>
            <w:r>
              <w:rPr>
                <w:rFonts w:hint="eastAsia"/>
                <w:color w:val="auto"/>
                <w:kern w:val="0"/>
              </w:rPr>
              <w:t>为</w:t>
            </w:r>
            <w:r>
              <w:rPr>
                <w:rFonts w:hint="eastAsia"/>
                <w:color w:val="auto"/>
                <w:kern w:val="0"/>
                <w:lang w:val="en-US" w:eastAsia="zh-CN"/>
              </w:rPr>
              <w:t>80</w:t>
            </w:r>
            <w:r>
              <w:rPr>
                <w:rFonts w:hint="eastAsia"/>
                <w:color w:val="auto"/>
                <w:kern w:val="0"/>
              </w:rPr>
              <w:t>t/a</w:t>
            </w:r>
            <w:r>
              <w:rPr>
                <w:rFonts w:hint="eastAsia"/>
                <w:color w:val="auto"/>
              </w:rPr>
              <w:t>；</w:t>
            </w:r>
            <w:r>
              <w:rPr>
                <w:color w:val="auto"/>
                <w:kern w:val="0"/>
              </w:rPr>
              <w:t>经收集后暂存于危废仓库，</w:t>
            </w:r>
            <w:r>
              <w:rPr>
                <w:rFonts w:hint="eastAsia"/>
                <w:color w:val="auto"/>
                <w:kern w:val="0"/>
                <w:lang w:val="en-US" w:eastAsia="zh-CN"/>
              </w:rPr>
              <w:t>经自建焚烧炉焚毁</w:t>
            </w:r>
            <w:r>
              <w:rPr>
                <w:color w:val="auto"/>
                <w:kern w:val="0"/>
              </w:rPr>
              <w:t>。</w:t>
            </w:r>
          </w:p>
          <w:p w14:paraId="3A8501C7">
            <w:pPr>
              <w:spacing w:line="360" w:lineRule="auto"/>
              <w:ind w:firstLine="422" w:firstLineChars="200"/>
              <w:rPr>
                <w:b w:val="0"/>
                <w:bCs w:val="0"/>
                <w:color w:val="auto"/>
                <w:kern w:val="0"/>
              </w:rPr>
            </w:pPr>
            <w:r>
              <w:rPr>
                <w:rFonts w:hint="eastAsia"/>
                <w:b/>
                <w:bCs/>
                <w:color w:val="auto"/>
                <w:kern w:val="0"/>
              </w:rPr>
              <w:t>②</w:t>
            </w:r>
            <w:r>
              <w:rPr>
                <w:rFonts w:hint="eastAsia"/>
                <w:b/>
                <w:bCs/>
                <w:color w:val="auto"/>
                <w:kern w:val="0"/>
                <w:lang w:val="en-US" w:eastAsia="zh-CN"/>
              </w:rPr>
              <w:t>灰渣</w:t>
            </w:r>
            <w:r>
              <w:rPr>
                <w:rFonts w:hint="eastAsia"/>
                <w:b/>
                <w:bCs/>
                <w:color w:val="auto"/>
                <w:kern w:val="0"/>
              </w:rPr>
              <w:t>：</w:t>
            </w:r>
            <w:r>
              <w:rPr>
                <w:rFonts w:hint="eastAsia"/>
                <w:b w:val="0"/>
                <w:bCs w:val="0"/>
                <w:color w:val="auto"/>
                <w:kern w:val="0"/>
              </w:rPr>
              <w:t>在危废焚烧的过程中产生炉渣，</w:t>
            </w:r>
            <w:r>
              <w:rPr>
                <w:rFonts w:hint="eastAsia"/>
                <w:b w:val="0"/>
                <w:bCs w:val="0"/>
                <w:color w:val="auto"/>
                <w:kern w:val="0"/>
                <w:lang w:val="en-US" w:eastAsia="zh-CN"/>
              </w:rPr>
              <w:t>本项目危废焚烧量为80t/a，</w:t>
            </w:r>
            <w:r>
              <w:rPr>
                <w:rFonts w:hint="eastAsia"/>
                <w:b w:val="0"/>
                <w:bCs w:val="0"/>
                <w:color w:val="auto"/>
                <w:kern w:val="0"/>
              </w:rPr>
              <w:t>炉渣产生量</w:t>
            </w:r>
            <w:r>
              <w:rPr>
                <w:rFonts w:hint="eastAsia"/>
                <w:b w:val="0"/>
                <w:bCs w:val="0"/>
                <w:color w:val="auto"/>
                <w:kern w:val="0"/>
                <w:lang w:val="en-US" w:eastAsia="zh-CN"/>
              </w:rPr>
              <w:t>约</w:t>
            </w:r>
            <w:r>
              <w:rPr>
                <w:rFonts w:hint="eastAsia"/>
                <w:b w:val="0"/>
                <w:bCs w:val="0"/>
                <w:color w:val="auto"/>
                <w:kern w:val="0"/>
              </w:rPr>
              <w:t>为</w:t>
            </w:r>
            <w:r>
              <w:rPr>
                <w:rFonts w:hint="eastAsia"/>
                <w:b w:val="0"/>
                <w:bCs w:val="0"/>
                <w:color w:val="auto"/>
                <w:kern w:val="0"/>
                <w:lang w:val="en-US" w:eastAsia="zh-CN"/>
              </w:rPr>
              <w:t>焚烧量的2%，则灰渣产生量约为1.6</w:t>
            </w:r>
            <w:r>
              <w:rPr>
                <w:rFonts w:hint="eastAsia"/>
                <w:b w:val="0"/>
                <w:bCs w:val="0"/>
                <w:color w:val="auto"/>
                <w:kern w:val="0"/>
              </w:rPr>
              <w:t>t/a</w:t>
            </w:r>
            <w:r>
              <w:rPr>
                <w:rFonts w:hint="eastAsia"/>
                <w:b w:val="0"/>
                <w:bCs w:val="0"/>
                <w:color w:val="auto"/>
                <w:kern w:val="0"/>
                <w:lang w:eastAsia="zh-CN"/>
              </w:rPr>
              <w:t>；</w:t>
            </w:r>
            <w:r>
              <w:rPr>
                <w:color w:val="auto"/>
                <w:kern w:val="0"/>
              </w:rPr>
              <w:t>经收集后暂存于危废仓库，定期委托有资质单位处理</w:t>
            </w:r>
            <w:r>
              <w:rPr>
                <w:rFonts w:hint="eastAsia"/>
                <w:b w:val="0"/>
                <w:bCs w:val="0"/>
                <w:color w:val="auto"/>
                <w:kern w:val="0"/>
              </w:rPr>
              <w:t>。</w:t>
            </w:r>
          </w:p>
          <w:p w14:paraId="25467C05">
            <w:pPr>
              <w:autoSpaceDE w:val="0"/>
              <w:autoSpaceDN w:val="0"/>
              <w:adjustRightInd w:val="0"/>
              <w:snapToGrid w:val="0"/>
              <w:spacing w:line="360" w:lineRule="auto"/>
              <w:ind w:firstLine="422" w:firstLineChars="200"/>
              <w:rPr>
                <w:rFonts w:hint="default" w:eastAsia="宋体"/>
                <w:b/>
                <w:bCs/>
                <w:color w:val="auto"/>
                <w:kern w:val="0"/>
                <w:lang w:val="en-US" w:eastAsia="zh-CN"/>
              </w:rPr>
            </w:pPr>
            <w:r>
              <w:rPr>
                <w:rFonts w:hint="eastAsia"/>
                <w:b/>
                <w:bCs/>
                <w:color w:val="auto"/>
                <w:kern w:val="0"/>
                <w:lang w:val="en-US" w:eastAsia="zh-CN"/>
              </w:rPr>
              <w:t>③飞灰：</w:t>
            </w:r>
            <w:r>
              <w:rPr>
                <w:rFonts w:hint="eastAsia"/>
                <w:b w:val="0"/>
                <w:bCs w:val="0"/>
                <w:color w:val="auto"/>
                <w:kern w:val="0"/>
                <w:lang w:val="en-US" w:eastAsia="zh-CN"/>
              </w:rPr>
              <w:t>在急冷除盐、干粉吸收、布袋除尘过程中会产生飞灰，</w:t>
            </w:r>
            <w:r>
              <w:rPr>
                <w:rFonts w:hint="eastAsia"/>
                <w:b w:val="0"/>
                <w:bCs w:val="0"/>
                <w:color w:val="auto"/>
                <w:kern w:val="0"/>
              </w:rPr>
              <w:t>类比企业原有项目，</w:t>
            </w:r>
            <w:r>
              <w:rPr>
                <w:rFonts w:hint="eastAsia"/>
                <w:b w:val="0"/>
                <w:bCs w:val="0"/>
                <w:color w:val="auto"/>
                <w:kern w:val="0"/>
                <w:lang w:val="en-US" w:eastAsia="zh-CN"/>
              </w:rPr>
              <w:t>产生量为1.3t/a；</w:t>
            </w:r>
            <w:r>
              <w:rPr>
                <w:color w:val="auto"/>
                <w:kern w:val="0"/>
              </w:rPr>
              <w:t>经收集后暂存于危废仓库，定期委托有资质单位处理</w:t>
            </w:r>
            <w:r>
              <w:rPr>
                <w:rFonts w:hint="eastAsia"/>
                <w:b w:val="0"/>
                <w:bCs w:val="0"/>
                <w:color w:val="auto"/>
                <w:kern w:val="0"/>
                <w:lang w:val="en-US" w:eastAsia="zh-CN"/>
              </w:rPr>
              <w:t>。</w:t>
            </w:r>
          </w:p>
          <w:p w14:paraId="03124343">
            <w:pPr>
              <w:autoSpaceDE w:val="0"/>
              <w:autoSpaceDN w:val="0"/>
              <w:adjustRightInd w:val="0"/>
              <w:snapToGrid w:val="0"/>
              <w:spacing w:line="360" w:lineRule="auto"/>
              <w:ind w:firstLine="422" w:firstLineChars="200"/>
              <w:rPr>
                <w:rFonts w:hint="default" w:eastAsia="宋体"/>
                <w:b/>
                <w:bCs/>
                <w:color w:val="auto"/>
                <w:kern w:val="0"/>
                <w:lang w:val="en-US" w:eastAsia="zh-CN"/>
              </w:rPr>
            </w:pPr>
            <w:r>
              <w:rPr>
                <w:rFonts w:hint="eastAsia"/>
                <w:b/>
                <w:bCs/>
                <w:color w:val="auto"/>
                <w:kern w:val="0"/>
                <w:lang w:val="en-US" w:eastAsia="zh-CN"/>
              </w:rPr>
              <w:t>④废布袋：</w:t>
            </w:r>
            <w:r>
              <w:rPr>
                <w:rFonts w:hint="eastAsia"/>
                <w:b w:val="0"/>
                <w:bCs w:val="0"/>
                <w:color w:val="auto"/>
                <w:kern w:val="0"/>
                <w:lang w:val="en-US" w:eastAsia="zh-CN"/>
              </w:rPr>
              <w:t>布袋除尘器内布袋需定期更换，</w:t>
            </w:r>
            <w:r>
              <w:rPr>
                <w:rFonts w:hint="eastAsia"/>
                <w:b w:val="0"/>
                <w:bCs w:val="0"/>
                <w:color w:val="auto"/>
                <w:kern w:val="0"/>
              </w:rPr>
              <w:t>类比企业原有项目，</w:t>
            </w:r>
            <w:r>
              <w:rPr>
                <w:rFonts w:hint="eastAsia"/>
                <w:b w:val="0"/>
                <w:bCs w:val="0"/>
                <w:color w:val="auto"/>
                <w:kern w:val="0"/>
                <w:lang w:val="en-US" w:eastAsia="zh-CN"/>
              </w:rPr>
              <w:t>其产生量约为0.2t/a；</w:t>
            </w:r>
            <w:r>
              <w:rPr>
                <w:color w:val="auto"/>
                <w:kern w:val="0"/>
              </w:rPr>
              <w:t>经收集后暂存于危废仓库，定期委托有资质单位处理</w:t>
            </w:r>
            <w:r>
              <w:rPr>
                <w:rFonts w:hint="eastAsia"/>
                <w:b w:val="0"/>
                <w:bCs w:val="0"/>
                <w:color w:val="auto"/>
                <w:kern w:val="0"/>
                <w:lang w:val="en-US" w:eastAsia="zh-CN"/>
              </w:rPr>
              <w:t>。</w:t>
            </w:r>
          </w:p>
          <w:p w14:paraId="3A8501CD">
            <w:pPr>
              <w:autoSpaceDE w:val="0"/>
              <w:autoSpaceDN w:val="0"/>
              <w:adjustRightInd w:val="0"/>
              <w:snapToGrid w:val="0"/>
              <w:spacing w:line="360" w:lineRule="auto"/>
              <w:ind w:firstLine="422" w:firstLineChars="200"/>
              <w:rPr>
                <w:b/>
                <w:bCs/>
                <w:color w:val="auto"/>
                <w:kern w:val="0"/>
              </w:rPr>
            </w:pPr>
            <w:r>
              <w:rPr>
                <w:rFonts w:hint="eastAsia"/>
                <w:b/>
                <w:bCs/>
                <w:color w:val="auto"/>
                <w:kern w:val="0"/>
              </w:rPr>
              <w:t>生活垃圾</w:t>
            </w:r>
          </w:p>
          <w:p w14:paraId="3A8501CE">
            <w:pPr>
              <w:pStyle w:val="23"/>
              <w:ind w:firstLine="420" w:firstLineChars="200"/>
              <w:rPr>
                <w:color w:val="auto"/>
                <w:sz w:val="21"/>
                <w:szCs w:val="21"/>
              </w:rPr>
            </w:pPr>
            <w:r>
              <w:rPr>
                <w:color w:val="auto"/>
                <w:sz w:val="21"/>
                <w:szCs w:val="21"/>
              </w:rPr>
              <w:t>来源于职工日常生活，本项目职工</w:t>
            </w:r>
            <w:r>
              <w:rPr>
                <w:rFonts w:hint="eastAsia"/>
                <w:color w:val="auto"/>
                <w:sz w:val="21"/>
                <w:szCs w:val="21"/>
                <w:lang w:val="en-US" w:eastAsia="zh-CN"/>
              </w:rPr>
              <w:t>40</w:t>
            </w:r>
            <w:r>
              <w:rPr>
                <w:color w:val="auto"/>
                <w:sz w:val="21"/>
                <w:szCs w:val="21"/>
              </w:rPr>
              <w:t>人，年工作</w:t>
            </w:r>
            <w:r>
              <w:rPr>
                <w:rFonts w:hint="eastAsia"/>
                <w:color w:val="auto"/>
                <w:sz w:val="21"/>
                <w:szCs w:val="21"/>
              </w:rPr>
              <w:t>2</w:t>
            </w:r>
            <w:r>
              <w:rPr>
                <w:rFonts w:hint="eastAsia"/>
                <w:color w:val="auto"/>
                <w:sz w:val="21"/>
                <w:szCs w:val="21"/>
                <w:lang w:val="en-US" w:eastAsia="zh-CN"/>
              </w:rPr>
              <w:t>8</w:t>
            </w:r>
            <w:r>
              <w:rPr>
                <w:rFonts w:hint="eastAsia"/>
                <w:color w:val="auto"/>
                <w:sz w:val="21"/>
                <w:szCs w:val="21"/>
              </w:rPr>
              <w:t>0</w:t>
            </w:r>
            <w:r>
              <w:rPr>
                <w:color w:val="auto"/>
                <w:sz w:val="21"/>
                <w:szCs w:val="21"/>
              </w:rPr>
              <w:t>天，生活垃圾产生量按照</w:t>
            </w:r>
            <w:r>
              <w:rPr>
                <w:rFonts w:hint="eastAsia"/>
                <w:color w:val="auto"/>
                <w:sz w:val="21"/>
                <w:szCs w:val="21"/>
              </w:rPr>
              <w:t>1</w:t>
            </w:r>
            <w:r>
              <w:rPr>
                <w:color w:val="auto"/>
                <w:sz w:val="21"/>
                <w:szCs w:val="21"/>
              </w:rPr>
              <w:t>kg/人</w:t>
            </w:r>
            <w:r>
              <w:rPr>
                <w:b/>
                <w:bCs/>
                <w:color w:val="auto"/>
                <w:sz w:val="21"/>
                <w:szCs w:val="21"/>
              </w:rPr>
              <w:t>·</w:t>
            </w:r>
            <w:r>
              <w:rPr>
                <w:color w:val="auto"/>
                <w:sz w:val="21"/>
                <w:szCs w:val="21"/>
              </w:rPr>
              <w:t>天计算，则生活垃圾产生量为</w:t>
            </w:r>
            <w:r>
              <w:rPr>
                <w:rFonts w:hint="eastAsia"/>
                <w:color w:val="auto"/>
                <w:sz w:val="21"/>
                <w:szCs w:val="21"/>
                <w:lang w:val="en-US" w:eastAsia="zh-CN"/>
              </w:rPr>
              <w:t>11.2</w:t>
            </w:r>
            <w:r>
              <w:rPr>
                <w:color w:val="auto"/>
                <w:sz w:val="21"/>
                <w:szCs w:val="21"/>
              </w:rPr>
              <w:t>t/a，统一收集后由环卫部门处理。</w:t>
            </w:r>
          </w:p>
          <w:p w14:paraId="3A8501CF">
            <w:pPr>
              <w:autoSpaceDE w:val="0"/>
              <w:autoSpaceDN w:val="0"/>
              <w:snapToGrid w:val="0"/>
              <w:spacing w:line="360" w:lineRule="auto"/>
              <w:ind w:firstLine="422" w:firstLineChars="200"/>
              <w:rPr>
                <w:b/>
                <w:bCs/>
                <w:color w:val="auto"/>
                <w:kern w:val="0"/>
              </w:rPr>
            </w:pPr>
            <w:r>
              <w:rPr>
                <w:rFonts w:hint="eastAsia"/>
                <w:b/>
                <w:bCs/>
                <w:color w:val="auto"/>
                <w:kern w:val="0"/>
              </w:rPr>
              <w:t>（2）固体废物属性判定</w:t>
            </w:r>
          </w:p>
          <w:p w14:paraId="3A8501D0">
            <w:pPr>
              <w:autoSpaceDE w:val="0"/>
              <w:autoSpaceDN w:val="0"/>
              <w:snapToGrid w:val="0"/>
              <w:spacing w:line="360" w:lineRule="auto"/>
              <w:ind w:firstLine="420" w:firstLineChars="200"/>
              <w:rPr>
                <w:color w:val="auto"/>
                <w:kern w:val="0"/>
              </w:rPr>
            </w:pPr>
            <w:r>
              <w:rPr>
                <w:color w:val="auto"/>
                <w:kern w:val="0"/>
              </w:rPr>
              <w:t>根据《固体废物鉴别标准通则》（GB34330-2017）的规定，判断其是否属于固体废物，具体判定依据及结果见下表</w:t>
            </w:r>
            <w:r>
              <w:rPr>
                <w:rFonts w:hint="eastAsia"/>
                <w:color w:val="auto"/>
                <w:kern w:val="0"/>
              </w:rPr>
              <w:t>。</w:t>
            </w:r>
          </w:p>
          <w:p w14:paraId="3A8501D1">
            <w:pPr>
              <w:jc w:val="center"/>
              <w:rPr>
                <w:b/>
                <w:color w:val="auto"/>
                <w:kern w:val="0"/>
              </w:rPr>
            </w:pPr>
            <w:r>
              <w:rPr>
                <w:b/>
                <w:color w:val="auto"/>
                <w:kern w:val="0"/>
              </w:rPr>
              <w:t>表4-</w:t>
            </w:r>
            <w:r>
              <w:rPr>
                <w:rFonts w:hint="eastAsia"/>
                <w:b/>
                <w:color w:val="auto"/>
                <w:kern w:val="0"/>
                <w:lang w:val="en-US" w:eastAsia="zh-CN"/>
              </w:rPr>
              <w:t>17</w:t>
            </w:r>
            <w:r>
              <w:rPr>
                <w:b/>
                <w:color w:val="auto"/>
                <w:kern w:val="0"/>
              </w:rPr>
              <w:t xml:space="preserve">   建设项目</w:t>
            </w:r>
            <w:r>
              <w:rPr>
                <w:rFonts w:hint="eastAsia"/>
                <w:b/>
                <w:color w:val="auto"/>
                <w:kern w:val="0"/>
              </w:rPr>
              <w:t>固体废物</w:t>
            </w:r>
            <w:r>
              <w:rPr>
                <w:b/>
                <w:color w:val="auto"/>
                <w:kern w:val="0"/>
              </w:rPr>
              <w:t>产生情况汇总表</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73"/>
              <w:gridCol w:w="779"/>
              <w:gridCol w:w="714"/>
              <w:gridCol w:w="1758"/>
              <w:gridCol w:w="1491"/>
              <w:gridCol w:w="1153"/>
              <w:gridCol w:w="990"/>
              <w:gridCol w:w="1531"/>
            </w:tblGrid>
            <w:tr w14:paraId="3A8501D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11" w:type="pct"/>
                  <w:vMerge w:val="restart"/>
                  <w:vAlign w:val="center"/>
                </w:tcPr>
                <w:p w14:paraId="3A8501D2">
                  <w:pPr>
                    <w:pStyle w:val="5"/>
                    <w:keepNext w:val="0"/>
                    <w:keepLines w:val="0"/>
                    <w:pageBreakBefore w:val="0"/>
                    <w:kinsoku/>
                    <w:wordWrap/>
                    <w:overflowPunct/>
                    <w:topLinePunct w:val="0"/>
                    <w:autoSpaceDE/>
                    <w:autoSpaceDN/>
                    <w:bidi w:val="0"/>
                    <w:adjustRightInd w:val="0"/>
                    <w:snapToGrid w:val="0"/>
                    <w:ind w:firstLine="0"/>
                    <w:jc w:val="center"/>
                    <w:rPr>
                      <w:b/>
                      <w:bCs/>
                      <w:color w:val="auto"/>
                      <w:kern w:val="0"/>
                      <w:szCs w:val="21"/>
                    </w:rPr>
                  </w:pPr>
                  <w:r>
                    <w:rPr>
                      <w:b/>
                      <w:bCs/>
                      <w:color w:val="auto"/>
                      <w:kern w:val="0"/>
                      <w:szCs w:val="21"/>
                    </w:rPr>
                    <w:t>副产物名称</w:t>
                  </w:r>
                </w:p>
              </w:tc>
              <w:tc>
                <w:tcPr>
                  <w:tcW w:w="406" w:type="pct"/>
                  <w:vMerge w:val="restart"/>
                  <w:vAlign w:val="center"/>
                </w:tcPr>
                <w:p w14:paraId="3A8501D3">
                  <w:pPr>
                    <w:pStyle w:val="5"/>
                    <w:keepNext w:val="0"/>
                    <w:keepLines w:val="0"/>
                    <w:pageBreakBefore w:val="0"/>
                    <w:kinsoku/>
                    <w:wordWrap/>
                    <w:overflowPunct/>
                    <w:topLinePunct w:val="0"/>
                    <w:autoSpaceDE/>
                    <w:autoSpaceDN/>
                    <w:bidi w:val="0"/>
                    <w:adjustRightInd w:val="0"/>
                    <w:snapToGrid w:val="0"/>
                    <w:ind w:firstLine="0"/>
                    <w:jc w:val="center"/>
                    <w:rPr>
                      <w:b/>
                      <w:bCs/>
                      <w:color w:val="auto"/>
                      <w:kern w:val="0"/>
                      <w:szCs w:val="21"/>
                    </w:rPr>
                  </w:pPr>
                  <w:r>
                    <w:rPr>
                      <w:b/>
                      <w:bCs/>
                      <w:color w:val="auto"/>
                      <w:kern w:val="0"/>
                      <w:szCs w:val="21"/>
                    </w:rPr>
                    <w:t>产生工序</w:t>
                  </w:r>
                </w:p>
              </w:tc>
              <w:tc>
                <w:tcPr>
                  <w:tcW w:w="372" w:type="pct"/>
                  <w:vMerge w:val="restart"/>
                  <w:vAlign w:val="center"/>
                </w:tcPr>
                <w:p w14:paraId="3A8501D4">
                  <w:pPr>
                    <w:pStyle w:val="5"/>
                    <w:keepNext w:val="0"/>
                    <w:keepLines w:val="0"/>
                    <w:pageBreakBefore w:val="0"/>
                    <w:kinsoku/>
                    <w:wordWrap/>
                    <w:overflowPunct/>
                    <w:topLinePunct w:val="0"/>
                    <w:autoSpaceDE/>
                    <w:autoSpaceDN/>
                    <w:bidi w:val="0"/>
                    <w:adjustRightInd w:val="0"/>
                    <w:snapToGrid w:val="0"/>
                    <w:ind w:firstLine="0"/>
                    <w:jc w:val="center"/>
                    <w:rPr>
                      <w:b/>
                      <w:bCs/>
                      <w:color w:val="auto"/>
                      <w:kern w:val="0"/>
                      <w:szCs w:val="21"/>
                    </w:rPr>
                  </w:pPr>
                  <w:r>
                    <w:rPr>
                      <w:b/>
                      <w:bCs/>
                      <w:color w:val="auto"/>
                      <w:kern w:val="0"/>
                      <w:szCs w:val="21"/>
                    </w:rPr>
                    <w:t>形态</w:t>
                  </w:r>
                </w:p>
              </w:tc>
              <w:tc>
                <w:tcPr>
                  <w:tcW w:w="916" w:type="pct"/>
                  <w:vMerge w:val="restart"/>
                  <w:vAlign w:val="center"/>
                </w:tcPr>
                <w:p w14:paraId="3A8501D5">
                  <w:pPr>
                    <w:pStyle w:val="5"/>
                    <w:keepNext w:val="0"/>
                    <w:keepLines w:val="0"/>
                    <w:pageBreakBefore w:val="0"/>
                    <w:kinsoku/>
                    <w:wordWrap/>
                    <w:overflowPunct/>
                    <w:topLinePunct w:val="0"/>
                    <w:autoSpaceDE/>
                    <w:autoSpaceDN/>
                    <w:bidi w:val="0"/>
                    <w:adjustRightInd w:val="0"/>
                    <w:snapToGrid w:val="0"/>
                    <w:ind w:firstLine="0"/>
                    <w:jc w:val="center"/>
                    <w:rPr>
                      <w:b/>
                      <w:bCs/>
                      <w:color w:val="auto"/>
                      <w:kern w:val="0"/>
                      <w:szCs w:val="21"/>
                    </w:rPr>
                  </w:pPr>
                  <w:r>
                    <w:rPr>
                      <w:b/>
                      <w:bCs/>
                      <w:color w:val="auto"/>
                      <w:kern w:val="0"/>
                      <w:szCs w:val="21"/>
                    </w:rPr>
                    <w:t>主要成分</w:t>
                  </w:r>
                </w:p>
              </w:tc>
              <w:tc>
                <w:tcPr>
                  <w:tcW w:w="777" w:type="pct"/>
                  <w:vMerge w:val="restart"/>
                  <w:vAlign w:val="center"/>
                </w:tcPr>
                <w:p w14:paraId="3A8501D6">
                  <w:pPr>
                    <w:pStyle w:val="5"/>
                    <w:keepNext w:val="0"/>
                    <w:keepLines w:val="0"/>
                    <w:pageBreakBefore w:val="0"/>
                    <w:kinsoku/>
                    <w:wordWrap/>
                    <w:overflowPunct/>
                    <w:topLinePunct w:val="0"/>
                    <w:autoSpaceDE/>
                    <w:autoSpaceDN/>
                    <w:bidi w:val="0"/>
                    <w:adjustRightInd w:val="0"/>
                    <w:snapToGrid w:val="0"/>
                    <w:ind w:firstLine="0"/>
                    <w:jc w:val="center"/>
                    <w:rPr>
                      <w:b/>
                      <w:bCs/>
                      <w:color w:val="auto"/>
                      <w:kern w:val="0"/>
                      <w:szCs w:val="21"/>
                    </w:rPr>
                  </w:pPr>
                  <w:r>
                    <w:rPr>
                      <w:b/>
                      <w:bCs/>
                      <w:color w:val="auto"/>
                      <w:kern w:val="0"/>
                      <w:szCs w:val="21"/>
                    </w:rPr>
                    <w:t>预测产生量（t/a）</w:t>
                  </w:r>
                </w:p>
              </w:tc>
              <w:tc>
                <w:tcPr>
                  <w:tcW w:w="1915" w:type="pct"/>
                  <w:gridSpan w:val="3"/>
                  <w:vAlign w:val="center"/>
                </w:tcPr>
                <w:p w14:paraId="3A8501D7">
                  <w:pPr>
                    <w:pStyle w:val="5"/>
                    <w:keepNext w:val="0"/>
                    <w:keepLines w:val="0"/>
                    <w:pageBreakBefore w:val="0"/>
                    <w:kinsoku/>
                    <w:wordWrap/>
                    <w:overflowPunct/>
                    <w:topLinePunct w:val="0"/>
                    <w:autoSpaceDE/>
                    <w:autoSpaceDN/>
                    <w:bidi w:val="0"/>
                    <w:adjustRightInd w:val="0"/>
                    <w:snapToGrid w:val="0"/>
                    <w:ind w:firstLine="0"/>
                    <w:jc w:val="center"/>
                    <w:rPr>
                      <w:b/>
                      <w:bCs/>
                      <w:color w:val="auto"/>
                      <w:kern w:val="0"/>
                      <w:szCs w:val="21"/>
                    </w:rPr>
                  </w:pPr>
                  <w:r>
                    <w:rPr>
                      <w:b/>
                      <w:bCs/>
                      <w:color w:val="auto"/>
                      <w:kern w:val="0"/>
                      <w:szCs w:val="21"/>
                    </w:rPr>
                    <w:t>种类判定</w:t>
                  </w:r>
                </w:p>
              </w:tc>
            </w:tr>
            <w:tr w14:paraId="3A8501E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11" w:type="pct"/>
                  <w:vMerge w:val="continue"/>
                  <w:vAlign w:val="center"/>
                </w:tcPr>
                <w:p w14:paraId="3A8501D9">
                  <w:pPr>
                    <w:pStyle w:val="5"/>
                    <w:keepNext w:val="0"/>
                    <w:keepLines w:val="0"/>
                    <w:pageBreakBefore w:val="0"/>
                    <w:kinsoku/>
                    <w:wordWrap/>
                    <w:overflowPunct/>
                    <w:topLinePunct w:val="0"/>
                    <w:autoSpaceDE/>
                    <w:autoSpaceDN/>
                    <w:bidi w:val="0"/>
                    <w:adjustRightInd w:val="0"/>
                    <w:snapToGrid w:val="0"/>
                    <w:ind w:firstLine="0"/>
                    <w:jc w:val="center"/>
                    <w:rPr>
                      <w:b/>
                      <w:bCs/>
                      <w:color w:val="auto"/>
                      <w:kern w:val="0"/>
                      <w:szCs w:val="21"/>
                    </w:rPr>
                  </w:pPr>
                </w:p>
              </w:tc>
              <w:tc>
                <w:tcPr>
                  <w:tcW w:w="406" w:type="pct"/>
                  <w:vMerge w:val="continue"/>
                  <w:vAlign w:val="center"/>
                </w:tcPr>
                <w:p w14:paraId="3A8501DA">
                  <w:pPr>
                    <w:pStyle w:val="5"/>
                    <w:keepNext w:val="0"/>
                    <w:keepLines w:val="0"/>
                    <w:pageBreakBefore w:val="0"/>
                    <w:kinsoku/>
                    <w:wordWrap/>
                    <w:overflowPunct/>
                    <w:topLinePunct w:val="0"/>
                    <w:autoSpaceDE/>
                    <w:autoSpaceDN/>
                    <w:bidi w:val="0"/>
                    <w:adjustRightInd w:val="0"/>
                    <w:snapToGrid w:val="0"/>
                    <w:ind w:firstLine="0"/>
                    <w:jc w:val="center"/>
                    <w:rPr>
                      <w:b/>
                      <w:bCs/>
                      <w:color w:val="auto"/>
                      <w:kern w:val="0"/>
                      <w:szCs w:val="21"/>
                    </w:rPr>
                  </w:pPr>
                </w:p>
              </w:tc>
              <w:tc>
                <w:tcPr>
                  <w:tcW w:w="372" w:type="pct"/>
                  <w:vMerge w:val="continue"/>
                  <w:vAlign w:val="center"/>
                </w:tcPr>
                <w:p w14:paraId="3A8501DB">
                  <w:pPr>
                    <w:pStyle w:val="5"/>
                    <w:keepNext w:val="0"/>
                    <w:keepLines w:val="0"/>
                    <w:pageBreakBefore w:val="0"/>
                    <w:kinsoku/>
                    <w:wordWrap/>
                    <w:overflowPunct/>
                    <w:topLinePunct w:val="0"/>
                    <w:autoSpaceDE/>
                    <w:autoSpaceDN/>
                    <w:bidi w:val="0"/>
                    <w:adjustRightInd w:val="0"/>
                    <w:snapToGrid w:val="0"/>
                    <w:ind w:firstLine="0"/>
                    <w:jc w:val="center"/>
                    <w:rPr>
                      <w:b/>
                      <w:bCs/>
                      <w:color w:val="auto"/>
                      <w:kern w:val="0"/>
                      <w:szCs w:val="21"/>
                    </w:rPr>
                  </w:pPr>
                </w:p>
              </w:tc>
              <w:tc>
                <w:tcPr>
                  <w:tcW w:w="916" w:type="pct"/>
                  <w:vMerge w:val="continue"/>
                  <w:vAlign w:val="center"/>
                </w:tcPr>
                <w:p w14:paraId="3A8501DC">
                  <w:pPr>
                    <w:pStyle w:val="5"/>
                    <w:keepNext w:val="0"/>
                    <w:keepLines w:val="0"/>
                    <w:pageBreakBefore w:val="0"/>
                    <w:kinsoku/>
                    <w:wordWrap/>
                    <w:overflowPunct/>
                    <w:topLinePunct w:val="0"/>
                    <w:autoSpaceDE/>
                    <w:autoSpaceDN/>
                    <w:bidi w:val="0"/>
                    <w:adjustRightInd w:val="0"/>
                    <w:snapToGrid w:val="0"/>
                    <w:ind w:firstLine="0"/>
                    <w:jc w:val="center"/>
                    <w:rPr>
                      <w:b/>
                      <w:bCs/>
                      <w:color w:val="auto"/>
                      <w:kern w:val="0"/>
                      <w:szCs w:val="21"/>
                    </w:rPr>
                  </w:pPr>
                </w:p>
              </w:tc>
              <w:tc>
                <w:tcPr>
                  <w:tcW w:w="777" w:type="pct"/>
                  <w:vMerge w:val="continue"/>
                  <w:vAlign w:val="center"/>
                </w:tcPr>
                <w:p w14:paraId="3A8501DD">
                  <w:pPr>
                    <w:pStyle w:val="5"/>
                    <w:keepNext w:val="0"/>
                    <w:keepLines w:val="0"/>
                    <w:pageBreakBefore w:val="0"/>
                    <w:kinsoku/>
                    <w:wordWrap/>
                    <w:overflowPunct/>
                    <w:topLinePunct w:val="0"/>
                    <w:autoSpaceDE/>
                    <w:autoSpaceDN/>
                    <w:bidi w:val="0"/>
                    <w:adjustRightInd w:val="0"/>
                    <w:snapToGrid w:val="0"/>
                    <w:ind w:firstLine="0"/>
                    <w:jc w:val="center"/>
                    <w:rPr>
                      <w:b/>
                      <w:bCs/>
                      <w:color w:val="auto"/>
                      <w:kern w:val="0"/>
                      <w:szCs w:val="21"/>
                    </w:rPr>
                  </w:pPr>
                </w:p>
              </w:tc>
              <w:tc>
                <w:tcPr>
                  <w:tcW w:w="601" w:type="pct"/>
                  <w:vAlign w:val="center"/>
                </w:tcPr>
                <w:p w14:paraId="3A8501DE">
                  <w:pPr>
                    <w:pStyle w:val="5"/>
                    <w:keepNext w:val="0"/>
                    <w:keepLines w:val="0"/>
                    <w:pageBreakBefore w:val="0"/>
                    <w:kinsoku/>
                    <w:wordWrap/>
                    <w:overflowPunct/>
                    <w:topLinePunct w:val="0"/>
                    <w:autoSpaceDE/>
                    <w:autoSpaceDN/>
                    <w:bidi w:val="0"/>
                    <w:adjustRightInd w:val="0"/>
                    <w:snapToGrid w:val="0"/>
                    <w:ind w:firstLine="0"/>
                    <w:jc w:val="center"/>
                    <w:rPr>
                      <w:b/>
                      <w:bCs/>
                      <w:color w:val="auto"/>
                      <w:kern w:val="0"/>
                      <w:szCs w:val="21"/>
                    </w:rPr>
                  </w:pPr>
                  <w:r>
                    <w:rPr>
                      <w:b/>
                      <w:bCs/>
                      <w:color w:val="auto"/>
                      <w:kern w:val="0"/>
                      <w:szCs w:val="21"/>
                    </w:rPr>
                    <w:t>固体废物</w:t>
                  </w:r>
                </w:p>
              </w:tc>
              <w:tc>
                <w:tcPr>
                  <w:tcW w:w="516" w:type="pct"/>
                  <w:vAlign w:val="center"/>
                </w:tcPr>
                <w:p w14:paraId="3A8501DF">
                  <w:pPr>
                    <w:pStyle w:val="5"/>
                    <w:keepNext w:val="0"/>
                    <w:keepLines w:val="0"/>
                    <w:pageBreakBefore w:val="0"/>
                    <w:kinsoku/>
                    <w:wordWrap/>
                    <w:overflowPunct/>
                    <w:topLinePunct w:val="0"/>
                    <w:autoSpaceDE/>
                    <w:autoSpaceDN/>
                    <w:bidi w:val="0"/>
                    <w:adjustRightInd w:val="0"/>
                    <w:snapToGrid w:val="0"/>
                    <w:ind w:firstLine="0"/>
                    <w:jc w:val="center"/>
                    <w:rPr>
                      <w:b/>
                      <w:bCs/>
                      <w:color w:val="auto"/>
                      <w:kern w:val="0"/>
                      <w:szCs w:val="21"/>
                    </w:rPr>
                  </w:pPr>
                  <w:r>
                    <w:rPr>
                      <w:b/>
                      <w:bCs/>
                      <w:color w:val="auto"/>
                      <w:kern w:val="0"/>
                      <w:szCs w:val="21"/>
                    </w:rPr>
                    <w:t>副产品</w:t>
                  </w:r>
                </w:p>
              </w:tc>
              <w:tc>
                <w:tcPr>
                  <w:tcW w:w="797" w:type="pct"/>
                  <w:vAlign w:val="center"/>
                </w:tcPr>
                <w:p w14:paraId="3A8501E0">
                  <w:pPr>
                    <w:pStyle w:val="5"/>
                    <w:keepNext w:val="0"/>
                    <w:keepLines w:val="0"/>
                    <w:pageBreakBefore w:val="0"/>
                    <w:kinsoku/>
                    <w:wordWrap/>
                    <w:overflowPunct/>
                    <w:topLinePunct w:val="0"/>
                    <w:autoSpaceDE/>
                    <w:autoSpaceDN/>
                    <w:bidi w:val="0"/>
                    <w:adjustRightInd w:val="0"/>
                    <w:snapToGrid w:val="0"/>
                    <w:ind w:firstLine="0"/>
                    <w:jc w:val="center"/>
                    <w:rPr>
                      <w:b/>
                      <w:bCs/>
                      <w:color w:val="auto"/>
                      <w:kern w:val="0"/>
                      <w:szCs w:val="21"/>
                    </w:rPr>
                  </w:pPr>
                  <w:r>
                    <w:rPr>
                      <w:b/>
                      <w:bCs/>
                      <w:color w:val="auto"/>
                      <w:kern w:val="0"/>
                      <w:szCs w:val="21"/>
                    </w:rPr>
                    <w:t>判定依据</w:t>
                  </w:r>
                </w:p>
              </w:tc>
            </w:tr>
            <w:tr w14:paraId="3A8501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11" w:type="pct"/>
                  <w:vAlign w:val="center"/>
                </w:tcPr>
                <w:p w14:paraId="3A8501EB">
                  <w:pPr>
                    <w:pStyle w:val="5"/>
                    <w:keepNext w:val="0"/>
                    <w:keepLines w:val="0"/>
                    <w:pageBreakBefore w:val="0"/>
                    <w:kinsoku/>
                    <w:wordWrap/>
                    <w:overflowPunct/>
                    <w:topLinePunct w:val="0"/>
                    <w:autoSpaceDE/>
                    <w:autoSpaceDN/>
                    <w:bidi w:val="0"/>
                    <w:adjustRightInd w:val="0"/>
                    <w:snapToGrid w:val="0"/>
                    <w:ind w:firstLine="0"/>
                    <w:jc w:val="center"/>
                    <w:rPr>
                      <w:rFonts w:hint="eastAsia" w:eastAsia="宋体"/>
                      <w:color w:val="auto"/>
                      <w:kern w:val="0"/>
                      <w:szCs w:val="21"/>
                      <w:lang w:eastAsia="zh-CN"/>
                    </w:rPr>
                  </w:pPr>
                  <w:r>
                    <w:rPr>
                      <w:rFonts w:hint="eastAsia"/>
                      <w:bCs/>
                      <w:color w:val="auto"/>
                      <w:kern w:val="0"/>
                      <w:szCs w:val="21"/>
                      <w:lang w:val="en-US" w:eastAsia="zh-CN"/>
                    </w:rPr>
                    <w:t>废金属壳</w:t>
                  </w:r>
                </w:p>
              </w:tc>
              <w:tc>
                <w:tcPr>
                  <w:tcW w:w="406" w:type="pct"/>
                  <w:vAlign w:val="center"/>
                </w:tcPr>
                <w:p w14:paraId="3A8501EC">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color w:val="auto"/>
                      <w:kern w:val="0"/>
                      <w:lang w:val="en-US" w:eastAsia="zh-CN"/>
                    </w:rPr>
                  </w:pPr>
                  <w:r>
                    <w:rPr>
                      <w:rFonts w:hint="eastAsia"/>
                      <w:color w:val="auto"/>
                      <w:kern w:val="0"/>
                      <w:lang w:val="en-US" w:eastAsia="zh-CN"/>
                    </w:rPr>
                    <w:t>焚烧</w:t>
                  </w:r>
                </w:p>
              </w:tc>
              <w:tc>
                <w:tcPr>
                  <w:tcW w:w="372" w:type="pct"/>
                  <w:vAlign w:val="center"/>
                </w:tcPr>
                <w:p w14:paraId="3A8501ED">
                  <w:pPr>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color w:val="auto"/>
                      <w:kern w:val="0"/>
                      <w:szCs w:val="21"/>
                      <w:lang w:val="en-US" w:eastAsia="zh-CN"/>
                    </w:rPr>
                    <w:t>固</w:t>
                  </w:r>
                </w:p>
              </w:tc>
              <w:tc>
                <w:tcPr>
                  <w:tcW w:w="916" w:type="pct"/>
                  <w:vAlign w:val="center"/>
                </w:tcPr>
                <w:p w14:paraId="3A8501EE">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color w:val="auto"/>
                      <w:kern w:val="0"/>
                      <w:lang w:val="en-US" w:eastAsia="zh-CN"/>
                    </w:rPr>
                  </w:pPr>
                  <w:r>
                    <w:rPr>
                      <w:rFonts w:hint="eastAsia"/>
                      <w:color w:val="auto"/>
                      <w:kern w:val="0"/>
                      <w:lang w:val="en-US" w:eastAsia="zh-CN"/>
                    </w:rPr>
                    <w:t>铁等</w:t>
                  </w:r>
                </w:p>
              </w:tc>
              <w:tc>
                <w:tcPr>
                  <w:tcW w:w="777" w:type="pct"/>
                  <w:vAlign w:val="center"/>
                </w:tcPr>
                <w:p w14:paraId="3A8501EF">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56</w:t>
                  </w:r>
                </w:p>
              </w:tc>
              <w:tc>
                <w:tcPr>
                  <w:tcW w:w="601" w:type="pct"/>
                  <w:vAlign w:val="center"/>
                </w:tcPr>
                <w:p w14:paraId="3A8501F0">
                  <w:pPr>
                    <w:pStyle w:val="5"/>
                    <w:keepNext w:val="0"/>
                    <w:keepLines w:val="0"/>
                    <w:pageBreakBefore w:val="0"/>
                    <w:kinsoku/>
                    <w:wordWrap/>
                    <w:overflowPunct/>
                    <w:topLinePunct w:val="0"/>
                    <w:autoSpaceDE/>
                    <w:autoSpaceDN/>
                    <w:bidi w:val="0"/>
                    <w:adjustRightInd w:val="0"/>
                    <w:snapToGrid w:val="0"/>
                    <w:ind w:firstLine="0"/>
                    <w:jc w:val="center"/>
                    <w:rPr>
                      <w:color w:val="auto"/>
                      <w:kern w:val="0"/>
                      <w:szCs w:val="21"/>
                    </w:rPr>
                  </w:pPr>
                  <w:r>
                    <w:rPr>
                      <w:color w:val="auto"/>
                      <w:kern w:val="0"/>
                      <w:szCs w:val="21"/>
                    </w:rPr>
                    <w:t>√</w:t>
                  </w:r>
                </w:p>
              </w:tc>
              <w:tc>
                <w:tcPr>
                  <w:tcW w:w="516" w:type="pct"/>
                  <w:vAlign w:val="center"/>
                </w:tcPr>
                <w:p w14:paraId="3A8501F1">
                  <w:pPr>
                    <w:pStyle w:val="5"/>
                    <w:keepNext w:val="0"/>
                    <w:keepLines w:val="0"/>
                    <w:pageBreakBefore w:val="0"/>
                    <w:kinsoku/>
                    <w:wordWrap/>
                    <w:overflowPunct/>
                    <w:topLinePunct w:val="0"/>
                    <w:autoSpaceDE/>
                    <w:autoSpaceDN/>
                    <w:bidi w:val="0"/>
                    <w:adjustRightInd w:val="0"/>
                    <w:snapToGrid w:val="0"/>
                    <w:ind w:firstLine="0"/>
                    <w:jc w:val="center"/>
                    <w:rPr>
                      <w:color w:val="auto"/>
                      <w:kern w:val="0"/>
                      <w:szCs w:val="21"/>
                    </w:rPr>
                  </w:pPr>
                  <w:r>
                    <w:rPr>
                      <w:color w:val="auto"/>
                      <w:kern w:val="0"/>
                      <w:szCs w:val="21"/>
                    </w:rPr>
                    <w:t>/</w:t>
                  </w:r>
                </w:p>
              </w:tc>
              <w:tc>
                <w:tcPr>
                  <w:tcW w:w="797" w:type="pct"/>
                  <w:vMerge w:val="restart"/>
                  <w:vAlign w:val="center"/>
                </w:tcPr>
                <w:p w14:paraId="3A8501F2">
                  <w:pPr>
                    <w:pStyle w:val="5"/>
                    <w:keepNext w:val="0"/>
                    <w:keepLines w:val="0"/>
                    <w:pageBreakBefore w:val="0"/>
                    <w:kinsoku/>
                    <w:wordWrap/>
                    <w:overflowPunct/>
                    <w:topLinePunct w:val="0"/>
                    <w:autoSpaceDE/>
                    <w:autoSpaceDN/>
                    <w:bidi w:val="0"/>
                    <w:adjustRightInd w:val="0"/>
                    <w:snapToGrid w:val="0"/>
                    <w:ind w:firstLine="0"/>
                    <w:jc w:val="center"/>
                    <w:rPr>
                      <w:color w:val="auto"/>
                      <w:kern w:val="0"/>
                      <w:szCs w:val="21"/>
                    </w:rPr>
                  </w:pPr>
                  <w:r>
                    <w:rPr>
                      <w:color w:val="auto"/>
                      <w:kern w:val="0"/>
                      <w:szCs w:val="21"/>
                    </w:rPr>
                    <w:t>固体废物鉴别标准通则（GB34330-2017）</w:t>
                  </w:r>
                </w:p>
              </w:tc>
            </w:tr>
            <w:tr w14:paraId="3A8501F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11" w:type="pct"/>
                  <w:vAlign w:val="center"/>
                </w:tcPr>
                <w:p w14:paraId="3A8501F4">
                  <w:pPr>
                    <w:pStyle w:val="5"/>
                    <w:keepNext w:val="0"/>
                    <w:keepLines w:val="0"/>
                    <w:pageBreakBefore w:val="0"/>
                    <w:kinsoku/>
                    <w:wordWrap/>
                    <w:overflowPunct/>
                    <w:topLinePunct w:val="0"/>
                    <w:autoSpaceDE/>
                    <w:autoSpaceDN/>
                    <w:bidi w:val="0"/>
                    <w:adjustRightInd w:val="0"/>
                    <w:snapToGrid w:val="0"/>
                    <w:ind w:firstLine="0"/>
                    <w:jc w:val="center"/>
                    <w:rPr>
                      <w:rFonts w:hint="eastAsia" w:eastAsia="宋体"/>
                      <w:bCs/>
                      <w:color w:val="auto"/>
                      <w:kern w:val="0"/>
                      <w:szCs w:val="21"/>
                      <w:lang w:eastAsia="zh-CN"/>
                    </w:rPr>
                  </w:pPr>
                  <w:r>
                    <w:rPr>
                      <w:rFonts w:hint="eastAsia"/>
                      <w:bCs/>
                      <w:color w:val="auto"/>
                      <w:kern w:val="0"/>
                      <w:szCs w:val="21"/>
                      <w:lang w:val="en-US" w:eastAsia="zh-CN"/>
                    </w:rPr>
                    <w:t>不合格品</w:t>
                  </w:r>
                </w:p>
              </w:tc>
              <w:tc>
                <w:tcPr>
                  <w:tcW w:w="406" w:type="pct"/>
                  <w:vAlign w:val="center"/>
                </w:tcPr>
                <w:p w14:paraId="3A8501F5">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color w:val="auto"/>
                      <w:kern w:val="0"/>
                      <w:lang w:val="en-US" w:eastAsia="zh-CN"/>
                    </w:rPr>
                  </w:pPr>
                  <w:r>
                    <w:rPr>
                      <w:rFonts w:hint="eastAsia"/>
                      <w:color w:val="auto"/>
                      <w:kern w:val="0"/>
                      <w:lang w:val="en-US" w:eastAsia="zh-CN"/>
                    </w:rPr>
                    <w:t>检验</w:t>
                  </w:r>
                </w:p>
              </w:tc>
              <w:tc>
                <w:tcPr>
                  <w:tcW w:w="372" w:type="pct"/>
                  <w:vAlign w:val="center"/>
                </w:tcPr>
                <w:p w14:paraId="3A8501F6">
                  <w:pPr>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color w:val="auto"/>
                      <w:kern w:val="0"/>
                      <w:szCs w:val="21"/>
                      <w:lang w:val="en-US" w:eastAsia="zh-CN"/>
                    </w:rPr>
                    <w:t>固</w:t>
                  </w:r>
                </w:p>
              </w:tc>
              <w:tc>
                <w:tcPr>
                  <w:tcW w:w="916" w:type="pct"/>
                  <w:vAlign w:val="center"/>
                </w:tcPr>
                <w:p w14:paraId="3A8501F7">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color w:val="auto"/>
                      <w:kern w:val="0"/>
                      <w:lang w:val="en-US" w:eastAsia="zh-CN" w:bidi="ar"/>
                    </w:rPr>
                  </w:pPr>
                  <w:r>
                    <w:rPr>
                      <w:rFonts w:hint="eastAsia"/>
                      <w:color w:val="auto"/>
                      <w:kern w:val="0"/>
                      <w:lang w:val="en-US" w:eastAsia="zh-CN" w:bidi="ar"/>
                    </w:rPr>
                    <w:t>硝酸盐、铜、塑料等</w:t>
                  </w:r>
                </w:p>
              </w:tc>
              <w:tc>
                <w:tcPr>
                  <w:tcW w:w="777" w:type="pct"/>
                  <w:vAlign w:val="center"/>
                </w:tcPr>
                <w:p w14:paraId="3A8501F8">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80</w:t>
                  </w:r>
                </w:p>
              </w:tc>
              <w:tc>
                <w:tcPr>
                  <w:tcW w:w="601" w:type="pct"/>
                  <w:vAlign w:val="center"/>
                </w:tcPr>
                <w:p w14:paraId="3A8501F9">
                  <w:pPr>
                    <w:pStyle w:val="5"/>
                    <w:keepNext w:val="0"/>
                    <w:keepLines w:val="0"/>
                    <w:pageBreakBefore w:val="0"/>
                    <w:kinsoku/>
                    <w:wordWrap/>
                    <w:overflowPunct/>
                    <w:topLinePunct w:val="0"/>
                    <w:autoSpaceDE/>
                    <w:autoSpaceDN/>
                    <w:bidi w:val="0"/>
                    <w:adjustRightInd w:val="0"/>
                    <w:snapToGrid w:val="0"/>
                    <w:ind w:firstLine="0"/>
                    <w:jc w:val="center"/>
                    <w:rPr>
                      <w:color w:val="auto"/>
                      <w:kern w:val="0"/>
                      <w:szCs w:val="21"/>
                    </w:rPr>
                  </w:pPr>
                  <w:r>
                    <w:rPr>
                      <w:color w:val="auto"/>
                      <w:kern w:val="0"/>
                      <w:szCs w:val="21"/>
                    </w:rPr>
                    <w:t>√</w:t>
                  </w:r>
                </w:p>
              </w:tc>
              <w:tc>
                <w:tcPr>
                  <w:tcW w:w="516" w:type="pct"/>
                  <w:vAlign w:val="center"/>
                </w:tcPr>
                <w:p w14:paraId="3A8501FA">
                  <w:pPr>
                    <w:pStyle w:val="5"/>
                    <w:keepNext w:val="0"/>
                    <w:keepLines w:val="0"/>
                    <w:pageBreakBefore w:val="0"/>
                    <w:kinsoku/>
                    <w:wordWrap/>
                    <w:overflowPunct/>
                    <w:topLinePunct w:val="0"/>
                    <w:autoSpaceDE/>
                    <w:autoSpaceDN/>
                    <w:bidi w:val="0"/>
                    <w:adjustRightInd w:val="0"/>
                    <w:snapToGrid w:val="0"/>
                    <w:ind w:firstLine="0"/>
                    <w:jc w:val="center"/>
                    <w:rPr>
                      <w:color w:val="auto"/>
                      <w:kern w:val="0"/>
                      <w:szCs w:val="21"/>
                    </w:rPr>
                  </w:pPr>
                  <w:r>
                    <w:rPr>
                      <w:color w:val="auto"/>
                      <w:kern w:val="0"/>
                      <w:szCs w:val="21"/>
                    </w:rPr>
                    <w:t>/</w:t>
                  </w:r>
                </w:p>
              </w:tc>
              <w:tc>
                <w:tcPr>
                  <w:tcW w:w="797" w:type="pct"/>
                  <w:vMerge w:val="continue"/>
                  <w:vAlign w:val="center"/>
                </w:tcPr>
                <w:p w14:paraId="3A8501FB">
                  <w:pPr>
                    <w:pStyle w:val="5"/>
                    <w:keepNext w:val="0"/>
                    <w:keepLines w:val="0"/>
                    <w:pageBreakBefore w:val="0"/>
                    <w:kinsoku/>
                    <w:wordWrap/>
                    <w:overflowPunct/>
                    <w:topLinePunct w:val="0"/>
                    <w:autoSpaceDE/>
                    <w:autoSpaceDN/>
                    <w:bidi w:val="0"/>
                    <w:adjustRightInd w:val="0"/>
                    <w:snapToGrid w:val="0"/>
                    <w:ind w:firstLine="0"/>
                    <w:jc w:val="center"/>
                    <w:rPr>
                      <w:color w:val="auto"/>
                      <w:kern w:val="0"/>
                      <w:szCs w:val="21"/>
                    </w:rPr>
                  </w:pPr>
                </w:p>
              </w:tc>
            </w:tr>
            <w:tr w14:paraId="3A85020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11" w:type="pct"/>
                  <w:vAlign w:val="center"/>
                </w:tcPr>
                <w:p w14:paraId="3A8501FD">
                  <w:pPr>
                    <w:pStyle w:val="5"/>
                    <w:keepNext w:val="0"/>
                    <w:keepLines w:val="0"/>
                    <w:pageBreakBefore w:val="0"/>
                    <w:kinsoku/>
                    <w:wordWrap/>
                    <w:overflowPunct/>
                    <w:topLinePunct w:val="0"/>
                    <w:autoSpaceDE/>
                    <w:autoSpaceDN/>
                    <w:bidi w:val="0"/>
                    <w:adjustRightInd w:val="0"/>
                    <w:snapToGrid w:val="0"/>
                    <w:ind w:firstLine="0"/>
                    <w:jc w:val="center"/>
                    <w:rPr>
                      <w:rFonts w:hint="eastAsia" w:eastAsia="宋体"/>
                      <w:bCs/>
                      <w:color w:val="auto"/>
                      <w:kern w:val="0"/>
                      <w:szCs w:val="21"/>
                      <w:lang w:eastAsia="zh-CN"/>
                    </w:rPr>
                  </w:pPr>
                  <w:r>
                    <w:rPr>
                      <w:rFonts w:hint="eastAsia"/>
                      <w:bCs/>
                      <w:color w:val="auto"/>
                      <w:kern w:val="0"/>
                      <w:szCs w:val="21"/>
                      <w:lang w:val="en-US" w:eastAsia="zh-CN"/>
                    </w:rPr>
                    <w:t>灰渣</w:t>
                  </w:r>
                </w:p>
              </w:tc>
              <w:tc>
                <w:tcPr>
                  <w:tcW w:w="406" w:type="pct"/>
                  <w:vAlign w:val="center"/>
                </w:tcPr>
                <w:p w14:paraId="3A8501FE">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color w:val="auto"/>
                      <w:kern w:val="0"/>
                      <w:lang w:val="en-US" w:eastAsia="zh-CN"/>
                    </w:rPr>
                  </w:pPr>
                  <w:r>
                    <w:rPr>
                      <w:rFonts w:hint="eastAsia"/>
                      <w:color w:val="auto"/>
                      <w:kern w:val="0"/>
                      <w:lang w:val="en-US" w:eastAsia="zh-CN"/>
                    </w:rPr>
                    <w:t>焚烧</w:t>
                  </w:r>
                </w:p>
              </w:tc>
              <w:tc>
                <w:tcPr>
                  <w:tcW w:w="372" w:type="pct"/>
                  <w:vAlign w:val="center"/>
                </w:tcPr>
                <w:p w14:paraId="3A8501FF">
                  <w:pPr>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color w:val="auto"/>
                      <w:kern w:val="0"/>
                      <w:szCs w:val="21"/>
                      <w:lang w:val="en-US" w:eastAsia="zh-CN"/>
                    </w:rPr>
                    <w:t>固</w:t>
                  </w:r>
                </w:p>
              </w:tc>
              <w:tc>
                <w:tcPr>
                  <w:tcW w:w="916" w:type="pct"/>
                  <w:vAlign w:val="center"/>
                </w:tcPr>
                <w:p w14:paraId="3A850200">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0"/>
                      <w:lang w:bidi="ar"/>
                    </w:rPr>
                  </w:pPr>
                  <w:r>
                    <w:rPr>
                      <w:rFonts w:hint="eastAsia"/>
                      <w:color w:val="auto"/>
                      <w:kern w:val="0"/>
                      <w:lang w:bidi="ar"/>
                    </w:rPr>
                    <w:t>酸性氧化物、碱性氧化物、金属氧化物、盐类</w:t>
                  </w:r>
                </w:p>
              </w:tc>
              <w:tc>
                <w:tcPr>
                  <w:tcW w:w="777" w:type="pct"/>
                  <w:vAlign w:val="center"/>
                </w:tcPr>
                <w:p w14:paraId="3A850201">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1.6</w:t>
                  </w:r>
                </w:p>
              </w:tc>
              <w:tc>
                <w:tcPr>
                  <w:tcW w:w="601" w:type="pct"/>
                  <w:shd w:val="clear" w:color="auto" w:fill="auto"/>
                  <w:vAlign w:val="center"/>
                </w:tcPr>
                <w:p w14:paraId="3A850202">
                  <w:pPr>
                    <w:pStyle w:val="5"/>
                    <w:keepNext w:val="0"/>
                    <w:keepLines w:val="0"/>
                    <w:pageBreakBefore w:val="0"/>
                    <w:kinsoku/>
                    <w:wordWrap/>
                    <w:overflowPunct/>
                    <w:topLinePunct w:val="0"/>
                    <w:autoSpaceDE/>
                    <w:autoSpaceDN/>
                    <w:bidi w:val="0"/>
                    <w:adjustRightInd w:val="0"/>
                    <w:snapToGrid w:val="0"/>
                    <w:ind w:firstLine="0"/>
                    <w:jc w:val="center"/>
                    <w:rPr>
                      <w:color w:val="auto"/>
                      <w:kern w:val="0"/>
                      <w:szCs w:val="21"/>
                    </w:rPr>
                  </w:pPr>
                  <w:r>
                    <w:rPr>
                      <w:color w:val="auto"/>
                      <w:kern w:val="0"/>
                      <w:szCs w:val="21"/>
                    </w:rPr>
                    <w:t>√</w:t>
                  </w:r>
                </w:p>
              </w:tc>
              <w:tc>
                <w:tcPr>
                  <w:tcW w:w="516" w:type="pct"/>
                  <w:shd w:val="clear" w:color="auto" w:fill="auto"/>
                  <w:vAlign w:val="center"/>
                </w:tcPr>
                <w:p w14:paraId="3A850203">
                  <w:pPr>
                    <w:pStyle w:val="5"/>
                    <w:keepNext w:val="0"/>
                    <w:keepLines w:val="0"/>
                    <w:pageBreakBefore w:val="0"/>
                    <w:kinsoku/>
                    <w:wordWrap/>
                    <w:overflowPunct/>
                    <w:topLinePunct w:val="0"/>
                    <w:autoSpaceDE/>
                    <w:autoSpaceDN/>
                    <w:bidi w:val="0"/>
                    <w:adjustRightInd w:val="0"/>
                    <w:snapToGrid w:val="0"/>
                    <w:ind w:firstLine="0"/>
                    <w:jc w:val="center"/>
                    <w:rPr>
                      <w:color w:val="auto"/>
                      <w:kern w:val="0"/>
                      <w:szCs w:val="21"/>
                    </w:rPr>
                  </w:pPr>
                  <w:r>
                    <w:rPr>
                      <w:color w:val="auto"/>
                      <w:kern w:val="0"/>
                      <w:szCs w:val="21"/>
                    </w:rPr>
                    <w:t>/</w:t>
                  </w:r>
                </w:p>
              </w:tc>
              <w:tc>
                <w:tcPr>
                  <w:tcW w:w="797" w:type="pct"/>
                  <w:vMerge w:val="continue"/>
                  <w:vAlign w:val="center"/>
                </w:tcPr>
                <w:p w14:paraId="3A850204">
                  <w:pPr>
                    <w:pStyle w:val="5"/>
                    <w:keepNext w:val="0"/>
                    <w:keepLines w:val="0"/>
                    <w:pageBreakBefore w:val="0"/>
                    <w:kinsoku/>
                    <w:wordWrap/>
                    <w:overflowPunct/>
                    <w:topLinePunct w:val="0"/>
                    <w:autoSpaceDE/>
                    <w:autoSpaceDN/>
                    <w:bidi w:val="0"/>
                    <w:adjustRightInd w:val="0"/>
                    <w:snapToGrid w:val="0"/>
                    <w:ind w:firstLine="0"/>
                    <w:jc w:val="center"/>
                    <w:rPr>
                      <w:color w:val="auto"/>
                      <w:kern w:val="0"/>
                      <w:szCs w:val="21"/>
                    </w:rPr>
                  </w:pPr>
                </w:p>
              </w:tc>
            </w:tr>
            <w:tr w14:paraId="3A85021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11" w:type="pct"/>
                  <w:vAlign w:val="center"/>
                </w:tcPr>
                <w:p w14:paraId="3A85020F">
                  <w:pPr>
                    <w:pStyle w:val="5"/>
                    <w:keepNext w:val="0"/>
                    <w:keepLines w:val="0"/>
                    <w:pageBreakBefore w:val="0"/>
                    <w:kinsoku/>
                    <w:wordWrap/>
                    <w:overflowPunct/>
                    <w:topLinePunct w:val="0"/>
                    <w:autoSpaceDE/>
                    <w:autoSpaceDN/>
                    <w:bidi w:val="0"/>
                    <w:adjustRightInd w:val="0"/>
                    <w:snapToGrid w:val="0"/>
                    <w:ind w:firstLine="0"/>
                    <w:jc w:val="center"/>
                    <w:rPr>
                      <w:rFonts w:hint="eastAsia" w:eastAsia="宋体"/>
                      <w:bCs/>
                      <w:color w:val="auto"/>
                      <w:kern w:val="0"/>
                      <w:szCs w:val="21"/>
                      <w:lang w:eastAsia="zh-CN"/>
                    </w:rPr>
                  </w:pPr>
                  <w:r>
                    <w:rPr>
                      <w:rFonts w:hint="eastAsia"/>
                      <w:bCs/>
                      <w:color w:val="auto"/>
                      <w:kern w:val="0"/>
                      <w:szCs w:val="21"/>
                      <w:lang w:val="en-US" w:eastAsia="zh-CN"/>
                    </w:rPr>
                    <w:t>飞灰</w:t>
                  </w:r>
                </w:p>
              </w:tc>
              <w:tc>
                <w:tcPr>
                  <w:tcW w:w="406" w:type="pct"/>
                  <w:vMerge w:val="restart"/>
                  <w:vAlign w:val="center"/>
                </w:tcPr>
                <w:p w14:paraId="3A850210">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color w:val="auto"/>
                      <w:kern w:val="0"/>
                      <w:lang w:val="en-US" w:eastAsia="zh-CN"/>
                    </w:rPr>
                  </w:pPr>
                  <w:r>
                    <w:rPr>
                      <w:rFonts w:hint="eastAsia"/>
                      <w:color w:val="auto"/>
                      <w:kern w:val="0"/>
                      <w:lang w:val="en-US" w:eastAsia="zh-CN"/>
                    </w:rPr>
                    <w:t>废气治理</w:t>
                  </w:r>
                </w:p>
              </w:tc>
              <w:tc>
                <w:tcPr>
                  <w:tcW w:w="372" w:type="pct"/>
                  <w:vAlign w:val="center"/>
                </w:tcPr>
                <w:p w14:paraId="3A850211">
                  <w:pPr>
                    <w:keepNext w:val="0"/>
                    <w:keepLines w:val="0"/>
                    <w:pageBreakBefore w:val="0"/>
                    <w:kinsoku/>
                    <w:wordWrap/>
                    <w:overflowPunct/>
                    <w:topLinePunct w:val="0"/>
                    <w:autoSpaceDE/>
                    <w:autoSpaceDN/>
                    <w:bidi w:val="0"/>
                    <w:adjustRightInd w:val="0"/>
                    <w:snapToGrid w:val="0"/>
                    <w:ind w:firstLine="0" w:firstLineChars="0"/>
                    <w:jc w:val="center"/>
                    <w:rPr>
                      <w:color w:val="auto"/>
                      <w:kern w:val="0"/>
                    </w:rPr>
                  </w:pPr>
                  <w:r>
                    <w:rPr>
                      <w:rFonts w:hint="eastAsia"/>
                      <w:color w:val="auto"/>
                      <w:kern w:val="0"/>
                      <w:szCs w:val="21"/>
                      <w:lang w:val="en-US" w:eastAsia="zh-CN"/>
                    </w:rPr>
                    <w:t>固</w:t>
                  </w:r>
                </w:p>
              </w:tc>
              <w:tc>
                <w:tcPr>
                  <w:tcW w:w="916" w:type="pct"/>
                  <w:vAlign w:val="center"/>
                </w:tcPr>
                <w:p w14:paraId="3A850212">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color w:val="auto"/>
                      <w:kern w:val="0"/>
                      <w:lang w:val="en-US" w:eastAsia="zh-CN" w:bidi="ar"/>
                    </w:rPr>
                  </w:pPr>
                  <w:r>
                    <w:rPr>
                      <w:rFonts w:hint="eastAsia"/>
                      <w:color w:val="auto"/>
                      <w:kern w:val="0"/>
                      <w:lang w:val="en-US" w:eastAsia="zh-CN" w:bidi="ar"/>
                    </w:rPr>
                    <w:t>盐类、消石灰等</w:t>
                  </w:r>
                </w:p>
              </w:tc>
              <w:tc>
                <w:tcPr>
                  <w:tcW w:w="777" w:type="pct"/>
                  <w:vAlign w:val="center"/>
                </w:tcPr>
                <w:p w14:paraId="3A850213">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1.3</w:t>
                  </w:r>
                </w:p>
              </w:tc>
              <w:tc>
                <w:tcPr>
                  <w:tcW w:w="601" w:type="pct"/>
                  <w:vAlign w:val="center"/>
                </w:tcPr>
                <w:p w14:paraId="3A850214">
                  <w:pPr>
                    <w:pStyle w:val="5"/>
                    <w:keepNext w:val="0"/>
                    <w:keepLines w:val="0"/>
                    <w:pageBreakBefore w:val="0"/>
                    <w:kinsoku/>
                    <w:wordWrap/>
                    <w:overflowPunct/>
                    <w:topLinePunct w:val="0"/>
                    <w:autoSpaceDE/>
                    <w:autoSpaceDN/>
                    <w:bidi w:val="0"/>
                    <w:adjustRightInd w:val="0"/>
                    <w:snapToGrid w:val="0"/>
                    <w:ind w:firstLine="0"/>
                    <w:jc w:val="center"/>
                    <w:rPr>
                      <w:color w:val="auto"/>
                      <w:kern w:val="0"/>
                      <w:szCs w:val="21"/>
                    </w:rPr>
                  </w:pPr>
                  <w:r>
                    <w:rPr>
                      <w:color w:val="auto"/>
                      <w:kern w:val="0"/>
                      <w:szCs w:val="21"/>
                    </w:rPr>
                    <w:t>√</w:t>
                  </w:r>
                </w:p>
              </w:tc>
              <w:tc>
                <w:tcPr>
                  <w:tcW w:w="516" w:type="pct"/>
                  <w:vAlign w:val="center"/>
                </w:tcPr>
                <w:p w14:paraId="3A850215">
                  <w:pPr>
                    <w:pStyle w:val="5"/>
                    <w:keepNext w:val="0"/>
                    <w:keepLines w:val="0"/>
                    <w:pageBreakBefore w:val="0"/>
                    <w:kinsoku/>
                    <w:wordWrap/>
                    <w:overflowPunct/>
                    <w:topLinePunct w:val="0"/>
                    <w:autoSpaceDE/>
                    <w:autoSpaceDN/>
                    <w:bidi w:val="0"/>
                    <w:adjustRightInd w:val="0"/>
                    <w:snapToGrid w:val="0"/>
                    <w:ind w:firstLine="0"/>
                    <w:jc w:val="center"/>
                    <w:rPr>
                      <w:color w:val="auto"/>
                      <w:kern w:val="0"/>
                      <w:szCs w:val="21"/>
                    </w:rPr>
                  </w:pPr>
                  <w:r>
                    <w:rPr>
                      <w:color w:val="auto"/>
                      <w:kern w:val="0"/>
                      <w:szCs w:val="21"/>
                    </w:rPr>
                    <w:t>/</w:t>
                  </w:r>
                </w:p>
              </w:tc>
              <w:tc>
                <w:tcPr>
                  <w:tcW w:w="797" w:type="pct"/>
                  <w:vMerge w:val="continue"/>
                  <w:vAlign w:val="center"/>
                </w:tcPr>
                <w:p w14:paraId="3A850216">
                  <w:pPr>
                    <w:pStyle w:val="5"/>
                    <w:keepNext w:val="0"/>
                    <w:keepLines w:val="0"/>
                    <w:pageBreakBefore w:val="0"/>
                    <w:kinsoku/>
                    <w:wordWrap/>
                    <w:overflowPunct/>
                    <w:topLinePunct w:val="0"/>
                    <w:autoSpaceDE/>
                    <w:autoSpaceDN/>
                    <w:bidi w:val="0"/>
                    <w:adjustRightInd w:val="0"/>
                    <w:snapToGrid w:val="0"/>
                    <w:ind w:firstLine="0"/>
                    <w:jc w:val="center"/>
                    <w:rPr>
                      <w:color w:val="auto"/>
                      <w:kern w:val="0"/>
                      <w:szCs w:val="21"/>
                    </w:rPr>
                  </w:pPr>
                </w:p>
              </w:tc>
            </w:tr>
            <w:tr w14:paraId="3A85022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11" w:type="pct"/>
                  <w:vAlign w:val="center"/>
                </w:tcPr>
                <w:p w14:paraId="3A850218">
                  <w:pPr>
                    <w:pStyle w:val="5"/>
                    <w:keepNext w:val="0"/>
                    <w:keepLines w:val="0"/>
                    <w:pageBreakBefore w:val="0"/>
                    <w:kinsoku/>
                    <w:wordWrap/>
                    <w:overflowPunct/>
                    <w:topLinePunct w:val="0"/>
                    <w:autoSpaceDE/>
                    <w:autoSpaceDN/>
                    <w:bidi w:val="0"/>
                    <w:adjustRightInd w:val="0"/>
                    <w:snapToGrid w:val="0"/>
                    <w:ind w:firstLine="0"/>
                    <w:jc w:val="center"/>
                    <w:rPr>
                      <w:rFonts w:hint="eastAsia" w:eastAsia="宋体"/>
                      <w:bCs/>
                      <w:color w:val="auto"/>
                      <w:kern w:val="0"/>
                      <w:szCs w:val="21"/>
                      <w:lang w:eastAsia="zh-CN"/>
                    </w:rPr>
                  </w:pPr>
                  <w:r>
                    <w:rPr>
                      <w:rFonts w:hint="eastAsia"/>
                      <w:bCs/>
                      <w:color w:val="auto"/>
                      <w:kern w:val="0"/>
                      <w:szCs w:val="21"/>
                    </w:rPr>
                    <w:t>废</w:t>
                  </w:r>
                  <w:r>
                    <w:rPr>
                      <w:rFonts w:hint="eastAsia"/>
                      <w:bCs/>
                      <w:color w:val="auto"/>
                      <w:kern w:val="0"/>
                      <w:szCs w:val="21"/>
                      <w:lang w:val="en-US" w:eastAsia="zh-CN"/>
                    </w:rPr>
                    <w:t>布袋</w:t>
                  </w:r>
                </w:p>
              </w:tc>
              <w:tc>
                <w:tcPr>
                  <w:tcW w:w="406" w:type="pct"/>
                  <w:vMerge w:val="continue"/>
                  <w:vAlign w:val="center"/>
                </w:tcPr>
                <w:p w14:paraId="3A850219">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0"/>
                    </w:rPr>
                  </w:pPr>
                </w:p>
              </w:tc>
              <w:tc>
                <w:tcPr>
                  <w:tcW w:w="372" w:type="pct"/>
                  <w:vAlign w:val="center"/>
                </w:tcPr>
                <w:p w14:paraId="3A85021A">
                  <w:pPr>
                    <w:keepNext w:val="0"/>
                    <w:keepLines w:val="0"/>
                    <w:pageBreakBefore w:val="0"/>
                    <w:kinsoku/>
                    <w:wordWrap/>
                    <w:overflowPunct/>
                    <w:topLinePunct w:val="0"/>
                    <w:autoSpaceDE/>
                    <w:autoSpaceDN/>
                    <w:bidi w:val="0"/>
                    <w:adjustRightInd w:val="0"/>
                    <w:snapToGrid w:val="0"/>
                    <w:ind w:firstLine="0" w:firstLineChars="0"/>
                    <w:jc w:val="center"/>
                    <w:rPr>
                      <w:color w:val="auto"/>
                      <w:kern w:val="0"/>
                    </w:rPr>
                  </w:pPr>
                  <w:r>
                    <w:rPr>
                      <w:rFonts w:hint="eastAsia"/>
                      <w:color w:val="auto"/>
                      <w:kern w:val="0"/>
                      <w:szCs w:val="21"/>
                      <w:lang w:val="en-US" w:eastAsia="zh-CN"/>
                    </w:rPr>
                    <w:t>固</w:t>
                  </w:r>
                </w:p>
              </w:tc>
              <w:tc>
                <w:tcPr>
                  <w:tcW w:w="916" w:type="pct"/>
                  <w:vAlign w:val="center"/>
                </w:tcPr>
                <w:p w14:paraId="3A85021B">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0"/>
                      <w:lang w:bidi="ar"/>
                    </w:rPr>
                  </w:pPr>
                  <w:r>
                    <w:rPr>
                      <w:rFonts w:hint="eastAsia"/>
                      <w:color w:val="auto"/>
                      <w:kern w:val="0"/>
                      <w:lang w:bidi="ar"/>
                    </w:rPr>
                    <w:t>纤维、二噁英、重金属等</w:t>
                  </w:r>
                </w:p>
              </w:tc>
              <w:tc>
                <w:tcPr>
                  <w:tcW w:w="777" w:type="pct"/>
                  <w:vAlign w:val="center"/>
                </w:tcPr>
                <w:p w14:paraId="3A85021C">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0.2</w:t>
                  </w:r>
                </w:p>
              </w:tc>
              <w:tc>
                <w:tcPr>
                  <w:tcW w:w="601" w:type="pct"/>
                  <w:shd w:val="clear" w:color="auto" w:fill="auto"/>
                  <w:vAlign w:val="center"/>
                </w:tcPr>
                <w:p w14:paraId="3A85021D">
                  <w:pPr>
                    <w:pStyle w:val="5"/>
                    <w:keepNext w:val="0"/>
                    <w:keepLines w:val="0"/>
                    <w:pageBreakBefore w:val="0"/>
                    <w:kinsoku/>
                    <w:wordWrap/>
                    <w:overflowPunct/>
                    <w:topLinePunct w:val="0"/>
                    <w:autoSpaceDE/>
                    <w:autoSpaceDN/>
                    <w:bidi w:val="0"/>
                    <w:adjustRightInd w:val="0"/>
                    <w:snapToGrid w:val="0"/>
                    <w:ind w:firstLine="0"/>
                    <w:jc w:val="center"/>
                    <w:rPr>
                      <w:color w:val="auto"/>
                      <w:kern w:val="0"/>
                      <w:szCs w:val="21"/>
                    </w:rPr>
                  </w:pPr>
                  <w:r>
                    <w:rPr>
                      <w:color w:val="auto"/>
                      <w:kern w:val="0"/>
                      <w:szCs w:val="21"/>
                    </w:rPr>
                    <w:t>√</w:t>
                  </w:r>
                </w:p>
              </w:tc>
              <w:tc>
                <w:tcPr>
                  <w:tcW w:w="516" w:type="pct"/>
                  <w:shd w:val="clear" w:color="auto" w:fill="auto"/>
                  <w:vAlign w:val="center"/>
                </w:tcPr>
                <w:p w14:paraId="3A85021E">
                  <w:pPr>
                    <w:pStyle w:val="5"/>
                    <w:keepNext w:val="0"/>
                    <w:keepLines w:val="0"/>
                    <w:pageBreakBefore w:val="0"/>
                    <w:kinsoku/>
                    <w:wordWrap/>
                    <w:overflowPunct/>
                    <w:topLinePunct w:val="0"/>
                    <w:autoSpaceDE/>
                    <w:autoSpaceDN/>
                    <w:bidi w:val="0"/>
                    <w:adjustRightInd w:val="0"/>
                    <w:snapToGrid w:val="0"/>
                    <w:ind w:firstLine="0"/>
                    <w:jc w:val="center"/>
                    <w:rPr>
                      <w:color w:val="auto"/>
                      <w:kern w:val="0"/>
                      <w:szCs w:val="21"/>
                    </w:rPr>
                  </w:pPr>
                  <w:r>
                    <w:rPr>
                      <w:color w:val="auto"/>
                      <w:kern w:val="0"/>
                      <w:szCs w:val="21"/>
                    </w:rPr>
                    <w:t>/</w:t>
                  </w:r>
                </w:p>
              </w:tc>
              <w:tc>
                <w:tcPr>
                  <w:tcW w:w="797" w:type="pct"/>
                  <w:vMerge w:val="continue"/>
                  <w:vAlign w:val="center"/>
                </w:tcPr>
                <w:p w14:paraId="3A85021F">
                  <w:pPr>
                    <w:pStyle w:val="5"/>
                    <w:keepNext w:val="0"/>
                    <w:keepLines w:val="0"/>
                    <w:pageBreakBefore w:val="0"/>
                    <w:kinsoku/>
                    <w:wordWrap/>
                    <w:overflowPunct/>
                    <w:topLinePunct w:val="0"/>
                    <w:autoSpaceDE/>
                    <w:autoSpaceDN/>
                    <w:bidi w:val="0"/>
                    <w:adjustRightInd w:val="0"/>
                    <w:snapToGrid w:val="0"/>
                    <w:ind w:firstLine="0"/>
                    <w:jc w:val="center"/>
                    <w:rPr>
                      <w:color w:val="auto"/>
                      <w:kern w:val="0"/>
                      <w:szCs w:val="21"/>
                    </w:rPr>
                  </w:pPr>
                </w:p>
              </w:tc>
            </w:tr>
            <w:tr w14:paraId="3A85023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11" w:type="pct"/>
                  <w:vAlign w:val="center"/>
                </w:tcPr>
                <w:p w14:paraId="3A85022A">
                  <w:pPr>
                    <w:pStyle w:val="5"/>
                    <w:keepNext w:val="0"/>
                    <w:keepLines w:val="0"/>
                    <w:pageBreakBefore w:val="0"/>
                    <w:kinsoku/>
                    <w:wordWrap/>
                    <w:overflowPunct/>
                    <w:topLinePunct w:val="0"/>
                    <w:autoSpaceDE/>
                    <w:autoSpaceDN/>
                    <w:bidi w:val="0"/>
                    <w:adjustRightInd w:val="0"/>
                    <w:snapToGrid w:val="0"/>
                    <w:ind w:firstLine="0"/>
                    <w:jc w:val="center"/>
                    <w:rPr>
                      <w:bCs/>
                      <w:color w:val="auto"/>
                      <w:kern w:val="0"/>
                      <w:szCs w:val="21"/>
                    </w:rPr>
                  </w:pPr>
                  <w:r>
                    <w:rPr>
                      <w:rFonts w:hint="eastAsia"/>
                      <w:bCs/>
                      <w:color w:val="auto"/>
                      <w:kern w:val="0"/>
                      <w:szCs w:val="21"/>
                    </w:rPr>
                    <w:t>生活垃圾</w:t>
                  </w:r>
                </w:p>
              </w:tc>
              <w:tc>
                <w:tcPr>
                  <w:tcW w:w="406" w:type="pct"/>
                  <w:vAlign w:val="center"/>
                </w:tcPr>
                <w:p w14:paraId="3A85022B">
                  <w:pPr>
                    <w:keepNext w:val="0"/>
                    <w:keepLines w:val="0"/>
                    <w:pageBreakBefore w:val="0"/>
                    <w:widowControl/>
                    <w:kinsoku/>
                    <w:wordWrap/>
                    <w:overflowPunct/>
                    <w:topLinePunct w:val="0"/>
                    <w:autoSpaceDE/>
                    <w:autoSpaceDN/>
                    <w:bidi w:val="0"/>
                    <w:adjustRightInd w:val="0"/>
                    <w:snapToGrid w:val="0"/>
                    <w:jc w:val="center"/>
                    <w:textAlignment w:val="center"/>
                    <w:rPr>
                      <w:color w:val="auto"/>
                      <w:kern w:val="0"/>
                    </w:rPr>
                  </w:pPr>
                  <w:r>
                    <w:rPr>
                      <w:rFonts w:hint="eastAsia"/>
                      <w:color w:val="auto"/>
                      <w:kern w:val="0"/>
                    </w:rPr>
                    <w:t>员工生活</w:t>
                  </w:r>
                </w:p>
              </w:tc>
              <w:tc>
                <w:tcPr>
                  <w:tcW w:w="372" w:type="pct"/>
                  <w:vAlign w:val="center"/>
                </w:tcPr>
                <w:p w14:paraId="3A85022C">
                  <w:pPr>
                    <w:keepNext w:val="0"/>
                    <w:keepLines w:val="0"/>
                    <w:pageBreakBefore w:val="0"/>
                    <w:kinsoku/>
                    <w:wordWrap/>
                    <w:overflowPunct/>
                    <w:topLinePunct w:val="0"/>
                    <w:autoSpaceDE/>
                    <w:autoSpaceDN/>
                    <w:bidi w:val="0"/>
                    <w:adjustRightInd w:val="0"/>
                    <w:snapToGrid w:val="0"/>
                    <w:jc w:val="center"/>
                    <w:rPr>
                      <w:color w:val="auto"/>
                      <w:kern w:val="0"/>
                    </w:rPr>
                  </w:pPr>
                  <w:r>
                    <w:rPr>
                      <w:color w:val="auto"/>
                      <w:kern w:val="0"/>
                    </w:rPr>
                    <w:t>固</w:t>
                  </w:r>
                </w:p>
              </w:tc>
              <w:tc>
                <w:tcPr>
                  <w:tcW w:w="916" w:type="pct"/>
                  <w:vAlign w:val="center"/>
                </w:tcPr>
                <w:p w14:paraId="3A85022D">
                  <w:pPr>
                    <w:keepNext w:val="0"/>
                    <w:keepLines w:val="0"/>
                    <w:pageBreakBefore w:val="0"/>
                    <w:widowControl/>
                    <w:kinsoku/>
                    <w:wordWrap/>
                    <w:overflowPunct/>
                    <w:topLinePunct w:val="0"/>
                    <w:autoSpaceDE/>
                    <w:autoSpaceDN/>
                    <w:bidi w:val="0"/>
                    <w:adjustRightInd w:val="0"/>
                    <w:snapToGrid w:val="0"/>
                    <w:jc w:val="center"/>
                    <w:textAlignment w:val="center"/>
                    <w:rPr>
                      <w:color w:val="auto"/>
                      <w:kern w:val="0"/>
                      <w:lang w:bidi="ar"/>
                    </w:rPr>
                  </w:pPr>
                  <w:r>
                    <w:rPr>
                      <w:rFonts w:hint="eastAsia"/>
                      <w:color w:val="auto"/>
                      <w:kern w:val="0"/>
                      <w:lang w:bidi="ar"/>
                    </w:rPr>
                    <w:t>纸皮、瓜果等</w:t>
                  </w:r>
                </w:p>
              </w:tc>
              <w:tc>
                <w:tcPr>
                  <w:tcW w:w="777" w:type="pct"/>
                  <w:vAlign w:val="center"/>
                </w:tcPr>
                <w:p w14:paraId="3A85022E">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11.2</w:t>
                  </w:r>
                </w:p>
              </w:tc>
              <w:tc>
                <w:tcPr>
                  <w:tcW w:w="601" w:type="pct"/>
                  <w:vAlign w:val="center"/>
                </w:tcPr>
                <w:p w14:paraId="3A85022F">
                  <w:pPr>
                    <w:pStyle w:val="5"/>
                    <w:keepNext w:val="0"/>
                    <w:keepLines w:val="0"/>
                    <w:pageBreakBefore w:val="0"/>
                    <w:kinsoku/>
                    <w:wordWrap/>
                    <w:overflowPunct/>
                    <w:topLinePunct w:val="0"/>
                    <w:autoSpaceDE/>
                    <w:autoSpaceDN/>
                    <w:bidi w:val="0"/>
                    <w:adjustRightInd w:val="0"/>
                    <w:snapToGrid w:val="0"/>
                    <w:ind w:firstLine="0"/>
                    <w:jc w:val="center"/>
                    <w:rPr>
                      <w:color w:val="auto"/>
                      <w:kern w:val="0"/>
                      <w:szCs w:val="21"/>
                    </w:rPr>
                  </w:pPr>
                  <w:r>
                    <w:rPr>
                      <w:color w:val="auto"/>
                      <w:kern w:val="0"/>
                      <w:szCs w:val="21"/>
                    </w:rPr>
                    <w:t>√</w:t>
                  </w:r>
                </w:p>
              </w:tc>
              <w:tc>
                <w:tcPr>
                  <w:tcW w:w="516" w:type="pct"/>
                  <w:vAlign w:val="center"/>
                </w:tcPr>
                <w:p w14:paraId="3A850230">
                  <w:pPr>
                    <w:pStyle w:val="5"/>
                    <w:keepNext w:val="0"/>
                    <w:keepLines w:val="0"/>
                    <w:pageBreakBefore w:val="0"/>
                    <w:kinsoku/>
                    <w:wordWrap/>
                    <w:overflowPunct/>
                    <w:topLinePunct w:val="0"/>
                    <w:autoSpaceDE/>
                    <w:autoSpaceDN/>
                    <w:bidi w:val="0"/>
                    <w:adjustRightInd w:val="0"/>
                    <w:snapToGrid w:val="0"/>
                    <w:ind w:firstLine="0"/>
                    <w:jc w:val="center"/>
                    <w:rPr>
                      <w:color w:val="auto"/>
                      <w:kern w:val="0"/>
                      <w:szCs w:val="21"/>
                    </w:rPr>
                  </w:pPr>
                  <w:r>
                    <w:rPr>
                      <w:color w:val="auto"/>
                      <w:kern w:val="0"/>
                      <w:szCs w:val="21"/>
                    </w:rPr>
                    <w:t>/</w:t>
                  </w:r>
                </w:p>
              </w:tc>
              <w:tc>
                <w:tcPr>
                  <w:tcW w:w="797" w:type="pct"/>
                  <w:vMerge w:val="continue"/>
                  <w:vAlign w:val="center"/>
                </w:tcPr>
                <w:p w14:paraId="3A850231">
                  <w:pPr>
                    <w:pStyle w:val="5"/>
                    <w:keepNext w:val="0"/>
                    <w:keepLines w:val="0"/>
                    <w:pageBreakBefore w:val="0"/>
                    <w:kinsoku/>
                    <w:wordWrap/>
                    <w:overflowPunct/>
                    <w:topLinePunct w:val="0"/>
                    <w:autoSpaceDE/>
                    <w:autoSpaceDN/>
                    <w:bidi w:val="0"/>
                    <w:adjustRightInd w:val="0"/>
                    <w:snapToGrid w:val="0"/>
                    <w:ind w:firstLine="0"/>
                    <w:jc w:val="center"/>
                    <w:rPr>
                      <w:color w:val="auto"/>
                      <w:kern w:val="0"/>
                      <w:szCs w:val="21"/>
                    </w:rPr>
                  </w:pPr>
                </w:p>
              </w:tc>
            </w:tr>
          </w:tbl>
          <w:p w14:paraId="3A850233">
            <w:pPr>
              <w:pStyle w:val="697"/>
              <w:adjustRightInd w:val="0"/>
              <w:snapToGrid w:val="0"/>
              <w:spacing w:line="360" w:lineRule="auto"/>
              <w:ind w:firstLine="420"/>
              <w:rPr>
                <w:rFonts w:eastAsia="宋体"/>
                <w:color w:val="auto"/>
                <w:kern w:val="0"/>
                <w:sz w:val="21"/>
                <w:szCs w:val="21"/>
              </w:rPr>
            </w:pPr>
            <w:r>
              <w:rPr>
                <w:rFonts w:eastAsia="宋体"/>
                <w:color w:val="auto"/>
                <w:kern w:val="0"/>
                <w:sz w:val="21"/>
                <w:szCs w:val="21"/>
              </w:rPr>
              <w:t>根据《国家危险废物名录》以及《危险废物鉴别标准》，判定建设项目的固体废物是否属于危险废物。项目固体废物产生源强汇总见</w:t>
            </w:r>
            <w:r>
              <w:rPr>
                <w:rFonts w:hint="eastAsia" w:eastAsia="宋体"/>
                <w:color w:val="auto"/>
                <w:kern w:val="0"/>
                <w:sz w:val="21"/>
                <w:szCs w:val="21"/>
              </w:rPr>
              <w:t>下表</w:t>
            </w:r>
            <w:r>
              <w:rPr>
                <w:rFonts w:eastAsia="宋体"/>
                <w:color w:val="auto"/>
                <w:kern w:val="0"/>
                <w:sz w:val="21"/>
                <w:szCs w:val="21"/>
              </w:rPr>
              <w:t>。</w:t>
            </w:r>
          </w:p>
          <w:p w14:paraId="3A850234">
            <w:pPr>
              <w:jc w:val="center"/>
              <w:rPr>
                <w:b/>
                <w:color w:val="auto"/>
                <w:kern w:val="0"/>
              </w:rPr>
            </w:pPr>
            <w:r>
              <w:rPr>
                <w:b/>
                <w:color w:val="auto"/>
                <w:kern w:val="0"/>
              </w:rPr>
              <w:t>表4-</w:t>
            </w:r>
            <w:r>
              <w:rPr>
                <w:rFonts w:hint="eastAsia"/>
                <w:b/>
                <w:color w:val="auto"/>
                <w:kern w:val="0"/>
                <w:lang w:val="en-US" w:eastAsia="zh-CN"/>
              </w:rPr>
              <w:t>18</w:t>
            </w:r>
            <w:r>
              <w:rPr>
                <w:rFonts w:hint="eastAsia"/>
                <w:b/>
                <w:color w:val="auto"/>
                <w:kern w:val="0"/>
              </w:rPr>
              <w:t xml:space="preserve"> </w:t>
            </w:r>
            <w:r>
              <w:rPr>
                <w:b/>
                <w:color w:val="auto"/>
                <w:kern w:val="0"/>
              </w:rPr>
              <w:t xml:space="preserve">  固体废物分析结果汇总表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538"/>
              <w:gridCol w:w="699"/>
              <w:gridCol w:w="814"/>
              <w:gridCol w:w="726"/>
              <w:gridCol w:w="1545"/>
              <w:gridCol w:w="944"/>
              <w:gridCol w:w="910"/>
              <w:gridCol w:w="1430"/>
              <w:gridCol w:w="983"/>
            </w:tblGrid>
            <w:tr w14:paraId="3A85023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227" w:hRule="atLeast"/>
                <w:jc w:val="center"/>
              </w:trPr>
              <w:tc>
                <w:tcPr>
                  <w:tcW w:w="802" w:type="pct"/>
                  <w:vAlign w:val="center"/>
                </w:tcPr>
                <w:p w14:paraId="3A850235">
                  <w:pPr>
                    <w:adjustRightInd w:val="0"/>
                    <w:snapToGrid w:val="0"/>
                    <w:jc w:val="center"/>
                    <w:rPr>
                      <w:b/>
                      <w:bCs/>
                      <w:color w:val="auto"/>
                      <w:kern w:val="0"/>
                    </w:rPr>
                  </w:pPr>
                  <w:r>
                    <w:rPr>
                      <w:b/>
                      <w:bCs/>
                      <w:color w:val="auto"/>
                      <w:kern w:val="0"/>
                    </w:rPr>
                    <w:t>固废名称</w:t>
                  </w:r>
                </w:p>
              </w:tc>
              <w:tc>
                <w:tcPr>
                  <w:tcW w:w="364" w:type="pct"/>
                  <w:vAlign w:val="center"/>
                </w:tcPr>
                <w:p w14:paraId="3A850236">
                  <w:pPr>
                    <w:adjustRightInd w:val="0"/>
                    <w:snapToGrid w:val="0"/>
                    <w:jc w:val="center"/>
                    <w:rPr>
                      <w:b/>
                      <w:bCs/>
                      <w:color w:val="auto"/>
                      <w:kern w:val="0"/>
                    </w:rPr>
                  </w:pPr>
                  <w:r>
                    <w:rPr>
                      <w:b/>
                      <w:bCs/>
                      <w:color w:val="auto"/>
                      <w:kern w:val="0"/>
                    </w:rPr>
                    <w:t>属性</w:t>
                  </w:r>
                </w:p>
              </w:tc>
              <w:tc>
                <w:tcPr>
                  <w:tcW w:w="424" w:type="pct"/>
                  <w:vAlign w:val="center"/>
                </w:tcPr>
                <w:p w14:paraId="3A850237">
                  <w:pPr>
                    <w:adjustRightInd w:val="0"/>
                    <w:snapToGrid w:val="0"/>
                    <w:jc w:val="center"/>
                    <w:rPr>
                      <w:b/>
                      <w:bCs/>
                      <w:color w:val="auto"/>
                      <w:kern w:val="0"/>
                    </w:rPr>
                  </w:pPr>
                  <w:r>
                    <w:rPr>
                      <w:b/>
                      <w:bCs/>
                      <w:color w:val="auto"/>
                      <w:kern w:val="0"/>
                    </w:rPr>
                    <w:t>产生工序</w:t>
                  </w:r>
                </w:p>
              </w:tc>
              <w:tc>
                <w:tcPr>
                  <w:tcW w:w="378" w:type="pct"/>
                  <w:vAlign w:val="center"/>
                </w:tcPr>
                <w:p w14:paraId="3A850238">
                  <w:pPr>
                    <w:adjustRightInd w:val="0"/>
                    <w:snapToGrid w:val="0"/>
                    <w:jc w:val="center"/>
                    <w:rPr>
                      <w:b/>
                      <w:bCs/>
                      <w:color w:val="auto"/>
                      <w:kern w:val="0"/>
                    </w:rPr>
                  </w:pPr>
                  <w:r>
                    <w:rPr>
                      <w:b/>
                      <w:bCs/>
                      <w:color w:val="auto"/>
                      <w:kern w:val="0"/>
                    </w:rPr>
                    <w:t>形态</w:t>
                  </w:r>
                </w:p>
              </w:tc>
              <w:tc>
                <w:tcPr>
                  <w:tcW w:w="805" w:type="pct"/>
                  <w:vAlign w:val="center"/>
                </w:tcPr>
                <w:p w14:paraId="3A850239">
                  <w:pPr>
                    <w:adjustRightInd w:val="0"/>
                    <w:snapToGrid w:val="0"/>
                    <w:jc w:val="center"/>
                    <w:rPr>
                      <w:b/>
                      <w:bCs/>
                      <w:color w:val="auto"/>
                      <w:kern w:val="0"/>
                    </w:rPr>
                  </w:pPr>
                  <w:r>
                    <w:rPr>
                      <w:b/>
                      <w:bCs/>
                      <w:color w:val="auto"/>
                      <w:kern w:val="0"/>
                    </w:rPr>
                    <w:t>主要成分</w:t>
                  </w:r>
                </w:p>
              </w:tc>
              <w:tc>
                <w:tcPr>
                  <w:tcW w:w="492" w:type="pct"/>
                  <w:vAlign w:val="center"/>
                </w:tcPr>
                <w:p w14:paraId="3A85023A">
                  <w:pPr>
                    <w:adjustRightInd w:val="0"/>
                    <w:snapToGrid w:val="0"/>
                    <w:jc w:val="center"/>
                    <w:rPr>
                      <w:b/>
                      <w:bCs/>
                      <w:color w:val="auto"/>
                      <w:kern w:val="0"/>
                    </w:rPr>
                  </w:pPr>
                  <w:r>
                    <w:rPr>
                      <w:b/>
                      <w:bCs/>
                      <w:color w:val="auto"/>
                      <w:kern w:val="0"/>
                    </w:rPr>
                    <w:t>危险特性</w:t>
                  </w:r>
                </w:p>
              </w:tc>
              <w:tc>
                <w:tcPr>
                  <w:tcW w:w="474" w:type="pct"/>
                  <w:vAlign w:val="center"/>
                </w:tcPr>
                <w:p w14:paraId="3A85023B">
                  <w:pPr>
                    <w:adjustRightInd w:val="0"/>
                    <w:snapToGrid w:val="0"/>
                    <w:jc w:val="center"/>
                    <w:rPr>
                      <w:b/>
                      <w:bCs/>
                      <w:color w:val="auto"/>
                      <w:kern w:val="0"/>
                    </w:rPr>
                  </w:pPr>
                  <w:r>
                    <w:rPr>
                      <w:b/>
                      <w:bCs/>
                      <w:color w:val="auto"/>
                      <w:kern w:val="0"/>
                    </w:rPr>
                    <w:t>废物类别</w:t>
                  </w:r>
                </w:p>
              </w:tc>
              <w:tc>
                <w:tcPr>
                  <w:tcW w:w="745" w:type="pct"/>
                  <w:vAlign w:val="center"/>
                </w:tcPr>
                <w:p w14:paraId="3A85023C">
                  <w:pPr>
                    <w:adjustRightInd w:val="0"/>
                    <w:snapToGrid w:val="0"/>
                    <w:jc w:val="center"/>
                    <w:rPr>
                      <w:b/>
                      <w:bCs/>
                      <w:color w:val="auto"/>
                      <w:kern w:val="0"/>
                    </w:rPr>
                  </w:pPr>
                  <w:r>
                    <w:rPr>
                      <w:b/>
                      <w:bCs/>
                      <w:color w:val="auto"/>
                      <w:kern w:val="0"/>
                    </w:rPr>
                    <w:t>废物代码</w:t>
                  </w:r>
                </w:p>
              </w:tc>
              <w:tc>
                <w:tcPr>
                  <w:tcW w:w="512" w:type="pct"/>
                  <w:vAlign w:val="center"/>
                </w:tcPr>
                <w:p w14:paraId="3A85023D">
                  <w:pPr>
                    <w:adjustRightInd w:val="0"/>
                    <w:snapToGrid w:val="0"/>
                    <w:jc w:val="center"/>
                    <w:rPr>
                      <w:b/>
                      <w:bCs/>
                      <w:color w:val="auto"/>
                      <w:kern w:val="0"/>
                    </w:rPr>
                  </w:pPr>
                  <w:r>
                    <w:rPr>
                      <w:b/>
                      <w:bCs/>
                      <w:color w:val="auto"/>
                      <w:kern w:val="0"/>
                    </w:rPr>
                    <w:t>估算产生量t/a</w:t>
                  </w:r>
                </w:p>
              </w:tc>
            </w:tr>
            <w:tr w14:paraId="3A8502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802" w:type="pct"/>
                  <w:vAlign w:val="center"/>
                </w:tcPr>
                <w:p w14:paraId="3A850249">
                  <w:pPr>
                    <w:pStyle w:val="5"/>
                    <w:adjustRightInd w:val="0"/>
                    <w:snapToGrid w:val="0"/>
                    <w:ind w:firstLine="0" w:firstLineChars="0"/>
                    <w:jc w:val="center"/>
                    <w:rPr>
                      <w:color w:val="auto"/>
                      <w:kern w:val="0"/>
                      <w:szCs w:val="21"/>
                    </w:rPr>
                  </w:pPr>
                  <w:r>
                    <w:rPr>
                      <w:rFonts w:hint="eastAsia"/>
                      <w:bCs/>
                      <w:color w:val="auto"/>
                      <w:kern w:val="0"/>
                      <w:szCs w:val="21"/>
                      <w:lang w:val="en-US" w:eastAsia="zh-CN"/>
                    </w:rPr>
                    <w:t>废金属壳</w:t>
                  </w:r>
                </w:p>
              </w:tc>
              <w:tc>
                <w:tcPr>
                  <w:tcW w:w="364" w:type="pct"/>
                  <w:vAlign w:val="center"/>
                </w:tcPr>
                <w:p w14:paraId="3A85024A">
                  <w:pPr>
                    <w:adjustRightInd w:val="0"/>
                    <w:snapToGrid w:val="0"/>
                    <w:jc w:val="center"/>
                    <w:rPr>
                      <w:color w:val="auto"/>
                      <w:kern w:val="0"/>
                    </w:rPr>
                  </w:pPr>
                  <w:r>
                    <w:rPr>
                      <w:rFonts w:hint="eastAsia"/>
                      <w:color w:val="auto"/>
                      <w:kern w:val="0"/>
                    </w:rPr>
                    <w:t>一般固废</w:t>
                  </w:r>
                </w:p>
              </w:tc>
              <w:tc>
                <w:tcPr>
                  <w:tcW w:w="424" w:type="pct"/>
                  <w:vAlign w:val="center"/>
                </w:tcPr>
                <w:p w14:paraId="3A85024B">
                  <w:pPr>
                    <w:pStyle w:val="5"/>
                    <w:adjustRightInd w:val="0"/>
                    <w:snapToGrid w:val="0"/>
                    <w:ind w:firstLine="0" w:firstLineChars="0"/>
                    <w:jc w:val="center"/>
                    <w:rPr>
                      <w:color w:val="auto"/>
                      <w:kern w:val="0"/>
                      <w:lang w:bidi="ar"/>
                    </w:rPr>
                  </w:pPr>
                  <w:r>
                    <w:rPr>
                      <w:rFonts w:hint="eastAsia"/>
                      <w:color w:val="auto"/>
                      <w:kern w:val="0"/>
                      <w:lang w:val="en-US" w:eastAsia="zh-CN"/>
                    </w:rPr>
                    <w:t>焚烧</w:t>
                  </w:r>
                </w:p>
              </w:tc>
              <w:tc>
                <w:tcPr>
                  <w:tcW w:w="378" w:type="pct"/>
                  <w:vAlign w:val="center"/>
                </w:tcPr>
                <w:p w14:paraId="3A85024C">
                  <w:pPr>
                    <w:pStyle w:val="5"/>
                    <w:adjustRightInd w:val="0"/>
                    <w:snapToGrid w:val="0"/>
                    <w:ind w:firstLine="0"/>
                    <w:jc w:val="center"/>
                    <w:rPr>
                      <w:color w:val="auto"/>
                      <w:kern w:val="0"/>
                      <w:szCs w:val="21"/>
                    </w:rPr>
                  </w:pPr>
                  <w:r>
                    <w:rPr>
                      <w:color w:val="auto"/>
                      <w:kern w:val="0"/>
                      <w:szCs w:val="21"/>
                    </w:rPr>
                    <w:t>固</w:t>
                  </w:r>
                </w:p>
              </w:tc>
              <w:tc>
                <w:tcPr>
                  <w:tcW w:w="805" w:type="pct"/>
                  <w:vAlign w:val="center"/>
                </w:tcPr>
                <w:p w14:paraId="3A85024D">
                  <w:pPr>
                    <w:pStyle w:val="5"/>
                    <w:adjustRightInd w:val="0"/>
                    <w:snapToGrid w:val="0"/>
                    <w:ind w:firstLine="0" w:firstLineChars="0"/>
                    <w:jc w:val="center"/>
                    <w:rPr>
                      <w:color w:val="auto"/>
                      <w:kern w:val="0"/>
                    </w:rPr>
                  </w:pPr>
                  <w:r>
                    <w:rPr>
                      <w:rFonts w:hint="eastAsia"/>
                      <w:color w:val="auto"/>
                      <w:kern w:val="0"/>
                      <w:lang w:val="en-US" w:eastAsia="zh-CN"/>
                    </w:rPr>
                    <w:t>铁等</w:t>
                  </w:r>
                </w:p>
              </w:tc>
              <w:tc>
                <w:tcPr>
                  <w:tcW w:w="492" w:type="pct"/>
                  <w:vAlign w:val="center"/>
                </w:tcPr>
                <w:p w14:paraId="3A85024E">
                  <w:pPr>
                    <w:jc w:val="center"/>
                    <w:rPr>
                      <w:rFonts w:hint="default" w:eastAsia="宋体"/>
                      <w:color w:val="auto"/>
                      <w:kern w:val="0"/>
                      <w:lang w:val="en-US" w:eastAsia="zh-CN"/>
                    </w:rPr>
                  </w:pPr>
                  <w:r>
                    <w:rPr>
                      <w:rFonts w:hint="eastAsia"/>
                      <w:color w:val="auto"/>
                      <w:kern w:val="0"/>
                      <w:lang w:val="en-US" w:eastAsia="zh-CN"/>
                    </w:rPr>
                    <w:t>--</w:t>
                  </w:r>
                </w:p>
              </w:tc>
              <w:tc>
                <w:tcPr>
                  <w:tcW w:w="474" w:type="pct"/>
                  <w:vAlign w:val="center"/>
                </w:tcPr>
                <w:p w14:paraId="3A85024F">
                  <w:pPr>
                    <w:jc w:val="center"/>
                    <w:rPr>
                      <w:rFonts w:hint="default" w:eastAsia="宋体"/>
                      <w:color w:val="auto"/>
                      <w:kern w:val="0"/>
                      <w:lang w:val="en-US" w:eastAsia="zh-CN"/>
                    </w:rPr>
                  </w:pPr>
                  <w:r>
                    <w:rPr>
                      <w:rFonts w:hint="eastAsia"/>
                      <w:color w:val="auto"/>
                      <w:kern w:val="0"/>
                      <w:lang w:val="en-US" w:eastAsia="zh-CN"/>
                    </w:rPr>
                    <w:t>SW59</w:t>
                  </w:r>
                </w:p>
              </w:tc>
              <w:tc>
                <w:tcPr>
                  <w:tcW w:w="745" w:type="pct"/>
                  <w:vAlign w:val="center"/>
                </w:tcPr>
                <w:p w14:paraId="3A850250">
                  <w:pPr>
                    <w:jc w:val="center"/>
                    <w:rPr>
                      <w:rFonts w:hint="default" w:eastAsia="宋体"/>
                      <w:color w:val="auto"/>
                      <w:kern w:val="0"/>
                      <w:lang w:val="en-US" w:eastAsia="zh-CN"/>
                    </w:rPr>
                  </w:pPr>
                  <w:r>
                    <w:rPr>
                      <w:rFonts w:hint="eastAsia"/>
                      <w:color w:val="auto"/>
                      <w:kern w:val="0"/>
                      <w:lang w:val="en-US" w:eastAsia="zh-CN"/>
                    </w:rPr>
                    <w:t>900-099-S59</w:t>
                  </w:r>
                </w:p>
              </w:tc>
              <w:tc>
                <w:tcPr>
                  <w:tcW w:w="908" w:type="dxa"/>
                  <w:vAlign w:val="center"/>
                </w:tcPr>
                <w:p w14:paraId="3A850251">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color w:val="auto"/>
                      <w:kern w:val="0"/>
                      <w:szCs w:val="21"/>
                      <w:lang w:val="en-US" w:eastAsia="zh-CN"/>
                    </w:rPr>
                    <w:t>56</w:t>
                  </w:r>
                </w:p>
              </w:tc>
            </w:tr>
            <w:tr w14:paraId="3A8502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802" w:type="pct"/>
                  <w:vAlign w:val="center"/>
                </w:tcPr>
                <w:p w14:paraId="3A850267">
                  <w:pPr>
                    <w:pStyle w:val="5"/>
                    <w:adjustRightInd w:val="0"/>
                    <w:snapToGrid w:val="0"/>
                    <w:ind w:firstLine="0" w:firstLineChars="0"/>
                    <w:jc w:val="center"/>
                    <w:rPr>
                      <w:color w:val="auto"/>
                      <w:kern w:val="0"/>
                      <w:szCs w:val="21"/>
                    </w:rPr>
                  </w:pPr>
                  <w:r>
                    <w:rPr>
                      <w:rFonts w:hint="eastAsia"/>
                      <w:bCs/>
                      <w:color w:val="auto"/>
                      <w:kern w:val="0"/>
                      <w:szCs w:val="21"/>
                      <w:lang w:val="en-US" w:eastAsia="zh-CN"/>
                    </w:rPr>
                    <w:t>不合格品</w:t>
                  </w:r>
                </w:p>
              </w:tc>
              <w:tc>
                <w:tcPr>
                  <w:tcW w:w="364" w:type="pct"/>
                  <w:vMerge w:val="restart"/>
                  <w:vAlign w:val="center"/>
                </w:tcPr>
                <w:p w14:paraId="3A850268">
                  <w:pPr>
                    <w:adjustRightInd w:val="0"/>
                    <w:snapToGrid w:val="0"/>
                    <w:jc w:val="center"/>
                    <w:rPr>
                      <w:color w:val="auto"/>
                      <w:kern w:val="0"/>
                    </w:rPr>
                  </w:pPr>
                  <w:r>
                    <w:rPr>
                      <w:color w:val="auto"/>
                      <w:kern w:val="0"/>
                    </w:rPr>
                    <w:t>危险废物</w:t>
                  </w:r>
                </w:p>
              </w:tc>
              <w:tc>
                <w:tcPr>
                  <w:tcW w:w="424" w:type="pct"/>
                  <w:vAlign w:val="center"/>
                </w:tcPr>
                <w:p w14:paraId="3A850269">
                  <w:pPr>
                    <w:pStyle w:val="5"/>
                    <w:adjustRightInd w:val="0"/>
                    <w:snapToGrid w:val="0"/>
                    <w:ind w:firstLine="0" w:firstLineChars="0"/>
                    <w:jc w:val="center"/>
                    <w:rPr>
                      <w:color w:val="auto"/>
                      <w:kern w:val="0"/>
                    </w:rPr>
                  </w:pPr>
                  <w:r>
                    <w:rPr>
                      <w:rFonts w:hint="eastAsia"/>
                      <w:color w:val="auto"/>
                      <w:kern w:val="0"/>
                      <w:lang w:val="en-US" w:eastAsia="zh-CN"/>
                    </w:rPr>
                    <w:t>检验</w:t>
                  </w:r>
                </w:p>
              </w:tc>
              <w:tc>
                <w:tcPr>
                  <w:tcW w:w="378" w:type="pct"/>
                  <w:vAlign w:val="center"/>
                </w:tcPr>
                <w:p w14:paraId="3A85026A">
                  <w:pPr>
                    <w:pStyle w:val="5"/>
                    <w:adjustRightInd w:val="0"/>
                    <w:snapToGrid w:val="0"/>
                    <w:ind w:firstLine="0"/>
                    <w:jc w:val="center"/>
                    <w:rPr>
                      <w:color w:val="auto"/>
                      <w:kern w:val="0"/>
                      <w:szCs w:val="21"/>
                    </w:rPr>
                  </w:pPr>
                  <w:r>
                    <w:rPr>
                      <w:rFonts w:hint="eastAsia"/>
                      <w:color w:val="auto"/>
                      <w:kern w:val="0"/>
                      <w:szCs w:val="21"/>
                    </w:rPr>
                    <w:t>固</w:t>
                  </w:r>
                </w:p>
              </w:tc>
              <w:tc>
                <w:tcPr>
                  <w:tcW w:w="805" w:type="pct"/>
                  <w:vAlign w:val="center"/>
                </w:tcPr>
                <w:p w14:paraId="3A85026B">
                  <w:pPr>
                    <w:pStyle w:val="5"/>
                    <w:adjustRightInd w:val="0"/>
                    <w:snapToGrid w:val="0"/>
                    <w:ind w:firstLine="0" w:firstLineChars="0"/>
                    <w:jc w:val="center"/>
                    <w:rPr>
                      <w:color w:val="auto"/>
                      <w:kern w:val="0"/>
                    </w:rPr>
                  </w:pPr>
                  <w:r>
                    <w:rPr>
                      <w:rFonts w:hint="eastAsia"/>
                      <w:color w:val="auto"/>
                      <w:kern w:val="0"/>
                      <w:lang w:val="en-US" w:eastAsia="zh-CN" w:bidi="ar"/>
                    </w:rPr>
                    <w:t>硝酸盐、铜、塑料等</w:t>
                  </w:r>
                </w:p>
              </w:tc>
              <w:tc>
                <w:tcPr>
                  <w:tcW w:w="492" w:type="pct"/>
                  <w:vAlign w:val="center"/>
                </w:tcPr>
                <w:p w14:paraId="3A85026C">
                  <w:pPr>
                    <w:jc w:val="center"/>
                    <w:rPr>
                      <w:rFonts w:hint="default" w:eastAsia="宋体"/>
                      <w:color w:val="auto"/>
                      <w:kern w:val="0"/>
                      <w:lang w:val="en-US" w:eastAsia="zh-CN"/>
                    </w:rPr>
                  </w:pPr>
                  <w:r>
                    <w:rPr>
                      <w:rFonts w:hint="eastAsia"/>
                      <w:color w:val="auto"/>
                      <w:kern w:val="0"/>
                      <w:lang w:val="en-US" w:eastAsia="zh-CN"/>
                    </w:rPr>
                    <w:t>T/C/I/R</w:t>
                  </w:r>
                </w:p>
              </w:tc>
              <w:tc>
                <w:tcPr>
                  <w:tcW w:w="474" w:type="pct"/>
                  <w:vAlign w:val="center"/>
                </w:tcPr>
                <w:p w14:paraId="3A85026D">
                  <w:pPr>
                    <w:jc w:val="center"/>
                    <w:rPr>
                      <w:rFonts w:hint="default" w:eastAsia="宋体"/>
                      <w:color w:val="auto"/>
                      <w:kern w:val="0"/>
                      <w:lang w:val="en-US" w:eastAsia="zh-CN"/>
                    </w:rPr>
                  </w:pPr>
                  <w:r>
                    <w:rPr>
                      <w:rFonts w:hint="eastAsia"/>
                      <w:color w:val="auto"/>
                      <w:kern w:val="0"/>
                      <w:lang w:val="en-US" w:eastAsia="zh-CN"/>
                    </w:rPr>
                    <w:t>HW49</w:t>
                  </w:r>
                </w:p>
              </w:tc>
              <w:tc>
                <w:tcPr>
                  <w:tcW w:w="745" w:type="pct"/>
                  <w:vAlign w:val="center"/>
                </w:tcPr>
                <w:p w14:paraId="3A85026E">
                  <w:pPr>
                    <w:jc w:val="center"/>
                    <w:rPr>
                      <w:rFonts w:hint="default" w:eastAsia="宋体"/>
                      <w:color w:val="auto"/>
                      <w:kern w:val="0"/>
                      <w:lang w:val="en-US" w:eastAsia="zh-CN"/>
                    </w:rPr>
                  </w:pPr>
                  <w:r>
                    <w:rPr>
                      <w:rFonts w:hint="eastAsia"/>
                      <w:color w:val="auto"/>
                      <w:kern w:val="0"/>
                      <w:lang w:val="en-US" w:eastAsia="zh-CN"/>
                    </w:rPr>
                    <w:t>900-999-49</w:t>
                  </w:r>
                </w:p>
              </w:tc>
              <w:tc>
                <w:tcPr>
                  <w:tcW w:w="908" w:type="dxa"/>
                  <w:vAlign w:val="center"/>
                </w:tcPr>
                <w:p w14:paraId="3A85026F">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color w:val="auto"/>
                      <w:kern w:val="0"/>
                      <w:szCs w:val="21"/>
                      <w:lang w:val="en-US" w:eastAsia="zh-CN"/>
                    </w:rPr>
                    <w:t>80</w:t>
                  </w:r>
                </w:p>
              </w:tc>
            </w:tr>
            <w:tr w14:paraId="3A85027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802" w:type="pct"/>
                  <w:vAlign w:val="center"/>
                </w:tcPr>
                <w:p w14:paraId="3A850271">
                  <w:pPr>
                    <w:pStyle w:val="5"/>
                    <w:adjustRightInd w:val="0"/>
                    <w:snapToGrid w:val="0"/>
                    <w:ind w:firstLine="0" w:firstLineChars="0"/>
                    <w:jc w:val="center"/>
                    <w:rPr>
                      <w:color w:val="auto"/>
                      <w:kern w:val="0"/>
                      <w:szCs w:val="21"/>
                    </w:rPr>
                  </w:pPr>
                  <w:r>
                    <w:rPr>
                      <w:rFonts w:hint="eastAsia"/>
                      <w:bCs/>
                      <w:color w:val="auto"/>
                      <w:kern w:val="0"/>
                      <w:szCs w:val="21"/>
                      <w:lang w:val="en-US" w:eastAsia="zh-CN"/>
                    </w:rPr>
                    <w:t>灰渣</w:t>
                  </w:r>
                </w:p>
              </w:tc>
              <w:tc>
                <w:tcPr>
                  <w:tcW w:w="364" w:type="pct"/>
                  <w:vMerge w:val="continue"/>
                  <w:vAlign w:val="center"/>
                </w:tcPr>
                <w:p w14:paraId="3A850272">
                  <w:pPr>
                    <w:adjustRightInd w:val="0"/>
                    <w:snapToGrid w:val="0"/>
                    <w:jc w:val="center"/>
                    <w:rPr>
                      <w:color w:val="auto"/>
                      <w:kern w:val="0"/>
                    </w:rPr>
                  </w:pPr>
                </w:p>
              </w:tc>
              <w:tc>
                <w:tcPr>
                  <w:tcW w:w="424" w:type="pct"/>
                  <w:vAlign w:val="center"/>
                </w:tcPr>
                <w:p w14:paraId="3A850273">
                  <w:pPr>
                    <w:pStyle w:val="5"/>
                    <w:adjustRightInd w:val="0"/>
                    <w:snapToGrid w:val="0"/>
                    <w:ind w:firstLine="0" w:firstLineChars="0"/>
                    <w:jc w:val="center"/>
                    <w:rPr>
                      <w:color w:val="auto"/>
                      <w:kern w:val="0"/>
                      <w:lang w:bidi="ar"/>
                    </w:rPr>
                  </w:pPr>
                  <w:r>
                    <w:rPr>
                      <w:rFonts w:hint="eastAsia"/>
                      <w:color w:val="auto"/>
                      <w:kern w:val="0"/>
                      <w:lang w:val="en-US" w:eastAsia="zh-CN"/>
                    </w:rPr>
                    <w:t>焚烧</w:t>
                  </w:r>
                </w:p>
              </w:tc>
              <w:tc>
                <w:tcPr>
                  <w:tcW w:w="378" w:type="pct"/>
                  <w:vAlign w:val="center"/>
                </w:tcPr>
                <w:p w14:paraId="3A850274">
                  <w:pPr>
                    <w:adjustRightInd w:val="0"/>
                    <w:snapToGrid w:val="0"/>
                    <w:jc w:val="center"/>
                    <w:rPr>
                      <w:color w:val="auto"/>
                      <w:kern w:val="0"/>
                    </w:rPr>
                  </w:pPr>
                  <w:r>
                    <w:rPr>
                      <w:color w:val="auto"/>
                      <w:kern w:val="0"/>
                    </w:rPr>
                    <w:t>固</w:t>
                  </w:r>
                </w:p>
              </w:tc>
              <w:tc>
                <w:tcPr>
                  <w:tcW w:w="805" w:type="pct"/>
                  <w:vAlign w:val="center"/>
                </w:tcPr>
                <w:p w14:paraId="3A850275">
                  <w:pPr>
                    <w:pStyle w:val="5"/>
                    <w:adjustRightInd w:val="0"/>
                    <w:snapToGrid w:val="0"/>
                    <w:ind w:firstLine="0" w:firstLineChars="0"/>
                    <w:jc w:val="center"/>
                    <w:rPr>
                      <w:color w:val="auto"/>
                      <w:kern w:val="0"/>
                    </w:rPr>
                  </w:pPr>
                  <w:r>
                    <w:rPr>
                      <w:rFonts w:hint="eastAsia"/>
                      <w:color w:val="auto"/>
                      <w:kern w:val="0"/>
                      <w:lang w:bidi="ar"/>
                    </w:rPr>
                    <w:t>酸性氧化物、碱性氧化物、金属氧化物、盐类</w:t>
                  </w:r>
                </w:p>
              </w:tc>
              <w:tc>
                <w:tcPr>
                  <w:tcW w:w="492" w:type="pct"/>
                  <w:shd w:val="clear" w:color="auto" w:fill="auto"/>
                  <w:vAlign w:val="center"/>
                </w:tcPr>
                <w:p w14:paraId="3A850276">
                  <w:pPr>
                    <w:jc w:val="center"/>
                    <w:rPr>
                      <w:rFonts w:ascii="Times New Roman" w:hAnsi="Times New Roman" w:eastAsia="宋体" w:cs="Times New Roman"/>
                      <w:snapToGrid w:val="0"/>
                      <w:color w:val="auto"/>
                      <w:kern w:val="2"/>
                      <w:sz w:val="21"/>
                      <w:szCs w:val="21"/>
                      <w:lang w:val="en-US" w:eastAsia="zh-CN" w:bidi="ar-SA"/>
                    </w:rPr>
                  </w:pPr>
                  <w:r>
                    <w:rPr>
                      <w:rFonts w:hint="eastAsia"/>
                      <w:color w:val="auto"/>
                      <w:lang w:val="en-US" w:eastAsia="zh-CN"/>
                    </w:rPr>
                    <w:t>T/In</w:t>
                  </w:r>
                </w:p>
              </w:tc>
              <w:tc>
                <w:tcPr>
                  <w:tcW w:w="474" w:type="pct"/>
                  <w:shd w:val="clear" w:color="auto" w:fill="auto"/>
                  <w:vAlign w:val="center"/>
                </w:tcPr>
                <w:p w14:paraId="3A850277">
                  <w:pPr>
                    <w:jc w:val="center"/>
                    <w:rPr>
                      <w:rFonts w:hint="default" w:ascii="Times New Roman" w:hAnsi="Times New Roman" w:eastAsia="宋体" w:cs="Times New Roman"/>
                      <w:snapToGrid w:val="0"/>
                      <w:color w:val="auto"/>
                      <w:kern w:val="2"/>
                      <w:sz w:val="21"/>
                      <w:szCs w:val="21"/>
                      <w:lang w:val="en-US" w:eastAsia="zh-CN" w:bidi="ar-SA"/>
                    </w:rPr>
                  </w:pPr>
                  <w:r>
                    <w:rPr>
                      <w:rFonts w:hint="eastAsia"/>
                      <w:color w:val="auto"/>
                      <w:lang w:val="en-US" w:eastAsia="zh-CN"/>
                    </w:rPr>
                    <w:t>HW18</w:t>
                  </w:r>
                </w:p>
              </w:tc>
              <w:tc>
                <w:tcPr>
                  <w:tcW w:w="745" w:type="pct"/>
                  <w:shd w:val="clear" w:color="auto" w:fill="auto"/>
                  <w:vAlign w:val="center"/>
                </w:tcPr>
                <w:p w14:paraId="3A850278">
                  <w:pPr>
                    <w:jc w:val="center"/>
                    <w:rPr>
                      <w:rFonts w:hint="default" w:ascii="Times New Roman" w:hAnsi="Times New Roman" w:eastAsia="宋体" w:cs="Times New Roman"/>
                      <w:snapToGrid w:val="0"/>
                      <w:color w:val="auto"/>
                      <w:kern w:val="2"/>
                      <w:sz w:val="21"/>
                      <w:szCs w:val="21"/>
                      <w:lang w:val="en-US" w:eastAsia="zh-CN" w:bidi="ar-SA"/>
                    </w:rPr>
                  </w:pPr>
                  <w:r>
                    <w:rPr>
                      <w:rFonts w:hint="eastAsia"/>
                      <w:color w:val="auto"/>
                      <w:lang w:val="en-US" w:eastAsia="zh-CN"/>
                    </w:rPr>
                    <w:t>772-003-18</w:t>
                  </w:r>
                </w:p>
              </w:tc>
              <w:tc>
                <w:tcPr>
                  <w:tcW w:w="908" w:type="dxa"/>
                  <w:vAlign w:val="center"/>
                </w:tcPr>
                <w:p w14:paraId="3A850279">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color w:val="auto"/>
                      <w:kern w:val="0"/>
                      <w:szCs w:val="21"/>
                      <w:lang w:val="en-US" w:eastAsia="zh-CN"/>
                    </w:rPr>
                    <w:t>1.6</w:t>
                  </w:r>
                </w:p>
              </w:tc>
            </w:tr>
            <w:tr w14:paraId="3A8502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802" w:type="pct"/>
                  <w:vAlign w:val="center"/>
                </w:tcPr>
                <w:p w14:paraId="3A850285">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飞灰</w:t>
                  </w:r>
                </w:p>
              </w:tc>
              <w:tc>
                <w:tcPr>
                  <w:tcW w:w="364" w:type="pct"/>
                  <w:vMerge w:val="continue"/>
                  <w:vAlign w:val="center"/>
                </w:tcPr>
                <w:p w14:paraId="3A850286">
                  <w:pPr>
                    <w:adjustRightInd w:val="0"/>
                    <w:snapToGrid w:val="0"/>
                    <w:jc w:val="center"/>
                    <w:rPr>
                      <w:color w:val="auto"/>
                      <w:kern w:val="0"/>
                    </w:rPr>
                  </w:pPr>
                </w:p>
              </w:tc>
              <w:tc>
                <w:tcPr>
                  <w:tcW w:w="424" w:type="pct"/>
                  <w:vMerge w:val="restart"/>
                  <w:vAlign w:val="center"/>
                </w:tcPr>
                <w:p w14:paraId="3A850287">
                  <w:pPr>
                    <w:pStyle w:val="5"/>
                    <w:adjustRightInd w:val="0"/>
                    <w:snapToGrid w:val="0"/>
                    <w:ind w:firstLine="0" w:firstLineChars="0"/>
                    <w:jc w:val="center"/>
                    <w:rPr>
                      <w:color w:val="auto"/>
                      <w:kern w:val="0"/>
                    </w:rPr>
                  </w:pPr>
                  <w:r>
                    <w:rPr>
                      <w:rFonts w:hint="eastAsia"/>
                      <w:color w:val="auto"/>
                      <w:kern w:val="0"/>
                      <w:lang w:val="en-US" w:eastAsia="zh-CN"/>
                    </w:rPr>
                    <w:t>废气治理</w:t>
                  </w:r>
                </w:p>
              </w:tc>
              <w:tc>
                <w:tcPr>
                  <w:tcW w:w="378" w:type="pct"/>
                  <w:vAlign w:val="center"/>
                </w:tcPr>
                <w:p w14:paraId="3A850288">
                  <w:pPr>
                    <w:adjustRightInd w:val="0"/>
                    <w:snapToGrid w:val="0"/>
                    <w:jc w:val="center"/>
                    <w:rPr>
                      <w:color w:val="auto"/>
                      <w:kern w:val="0"/>
                    </w:rPr>
                  </w:pPr>
                  <w:r>
                    <w:rPr>
                      <w:color w:val="auto"/>
                      <w:kern w:val="0"/>
                    </w:rPr>
                    <w:t>固</w:t>
                  </w:r>
                </w:p>
              </w:tc>
              <w:tc>
                <w:tcPr>
                  <w:tcW w:w="805" w:type="pct"/>
                  <w:vAlign w:val="center"/>
                </w:tcPr>
                <w:p w14:paraId="3A850289">
                  <w:pPr>
                    <w:pStyle w:val="5"/>
                    <w:adjustRightInd w:val="0"/>
                    <w:snapToGrid w:val="0"/>
                    <w:ind w:firstLine="0" w:firstLineChars="0"/>
                    <w:jc w:val="center"/>
                    <w:rPr>
                      <w:color w:val="auto"/>
                      <w:kern w:val="0"/>
                      <w:lang w:bidi="ar"/>
                    </w:rPr>
                  </w:pPr>
                  <w:r>
                    <w:rPr>
                      <w:rFonts w:hint="eastAsia"/>
                      <w:color w:val="auto"/>
                      <w:kern w:val="0"/>
                      <w:lang w:val="en-US" w:eastAsia="zh-CN" w:bidi="ar"/>
                    </w:rPr>
                    <w:t>盐类、消石灰等</w:t>
                  </w:r>
                </w:p>
              </w:tc>
              <w:tc>
                <w:tcPr>
                  <w:tcW w:w="492" w:type="pct"/>
                  <w:shd w:val="clear" w:color="auto" w:fill="auto"/>
                  <w:vAlign w:val="center"/>
                </w:tcPr>
                <w:p w14:paraId="3A85028A">
                  <w:pPr>
                    <w:jc w:val="center"/>
                    <w:rPr>
                      <w:color w:val="auto"/>
                    </w:rPr>
                  </w:pPr>
                  <w:r>
                    <w:rPr>
                      <w:rFonts w:hint="eastAsia"/>
                      <w:color w:val="auto"/>
                      <w:lang w:val="en-US" w:eastAsia="zh-CN"/>
                    </w:rPr>
                    <w:t>T/In</w:t>
                  </w:r>
                </w:p>
              </w:tc>
              <w:tc>
                <w:tcPr>
                  <w:tcW w:w="474" w:type="pct"/>
                  <w:shd w:val="clear" w:color="auto" w:fill="auto"/>
                  <w:vAlign w:val="center"/>
                </w:tcPr>
                <w:p w14:paraId="3A85028B">
                  <w:pPr>
                    <w:jc w:val="center"/>
                    <w:rPr>
                      <w:rFonts w:hint="default" w:eastAsia="宋体"/>
                      <w:color w:val="auto"/>
                      <w:lang w:val="en-US" w:eastAsia="zh-CN"/>
                    </w:rPr>
                  </w:pPr>
                  <w:r>
                    <w:rPr>
                      <w:rFonts w:hint="eastAsia"/>
                      <w:color w:val="auto"/>
                      <w:lang w:val="en-US" w:eastAsia="zh-CN"/>
                    </w:rPr>
                    <w:t>HW18</w:t>
                  </w:r>
                </w:p>
              </w:tc>
              <w:tc>
                <w:tcPr>
                  <w:tcW w:w="745" w:type="pct"/>
                  <w:shd w:val="clear" w:color="auto" w:fill="auto"/>
                  <w:vAlign w:val="center"/>
                </w:tcPr>
                <w:p w14:paraId="3A85028C">
                  <w:pPr>
                    <w:jc w:val="center"/>
                    <w:rPr>
                      <w:rFonts w:hint="default" w:eastAsia="宋体"/>
                      <w:color w:val="auto"/>
                      <w:lang w:val="en-US" w:eastAsia="zh-CN"/>
                    </w:rPr>
                  </w:pPr>
                  <w:r>
                    <w:rPr>
                      <w:rFonts w:hint="eastAsia"/>
                      <w:color w:val="auto"/>
                      <w:lang w:val="en-US" w:eastAsia="zh-CN"/>
                    </w:rPr>
                    <w:t>772-003-18</w:t>
                  </w:r>
                </w:p>
              </w:tc>
              <w:tc>
                <w:tcPr>
                  <w:tcW w:w="512" w:type="pct"/>
                  <w:vAlign w:val="center"/>
                </w:tcPr>
                <w:p w14:paraId="3A85028D">
                  <w:pPr>
                    <w:pStyle w:val="5"/>
                    <w:adjustRightInd w:val="0"/>
                    <w:snapToGrid w:val="0"/>
                    <w:ind w:firstLine="0" w:firstLineChars="0"/>
                    <w:jc w:val="center"/>
                    <w:rPr>
                      <w:color w:val="auto"/>
                      <w:kern w:val="0"/>
                      <w:szCs w:val="21"/>
                    </w:rPr>
                  </w:pPr>
                  <w:r>
                    <w:rPr>
                      <w:rFonts w:hint="eastAsia"/>
                      <w:color w:val="auto"/>
                      <w:kern w:val="0"/>
                      <w:szCs w:val="21"/>
                      <w:lang w:val="en-US" w:eastAsia="zh-CN"/>
                    </w:rPr>
                    <w:t>1.3</w:t>
                  </w:r>
                </w:p>
              </w:tc>
            </w:tr>
            <w:tr w14:paraId="2979849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802" w:type="pct"/>
                  <w:vAlign w:val="center"/>
                </w:tcPr>
                <w:p w14:paraId="734D758E">
                  <w:pPr>
                    <w:pStyle w:val="5"/>
                    <w:adjustRightInd w:val="0"/>
                    <w:snapToGrid w:val="0"/>
                    <w:ind w:firstLine="0" w:firstLineChars="0"/>
                    <w:jc w:val="center"/>
                    <w:rPr>
                      <w:rFonts w:hint="eastAsia"/>
                      <w:bCs/>
                      <w:color w:val="auto"/>
                      <w:kern w:val="0"/>
                      <w:szCs w:val="21"/>
                    </w:rPr>
                  </w:pPr>
                  <w:r>
                    <w:rPr>
                      <w:rFonts w:hint="eastAsia"/>
                      <w:bCs/>
                      <w:color w:val="auto"/>
                      <w:kern w:val="0"/>
                      <w:szCs w:val="21"/>
                    </w:rPr>
                    <w:t>废</w:t>
                  </w:r>
                  <w:r>
                    <w:rPr>
                      <w:rFonts w:hint="eastAsia"/>
                      <w:bCs/>
                      <w:color w:val="auto"/>
                      <w:kern w:val="0"/>
                      <w:szCs w:val="21"/>
                      <w:lang w:val="en-US" w:eastAsia="zh-CN"/>
                    </w:rPr>
                    <w:t>布袋</w:t>
                  </w:r>
                </w:p>
              </w:tc>
              <w:tc>
                <w:tcPr>
                  <w:tcW w:w="364" w:type="pct"/>
                  <w:vMerge w:val="continue"/>
                  <w:vAlign w:val="center"/>
                </w:tcPr>
                <w:p w14:paraId="06622DD8">
                  <w:pPr>
                    <w:adjustRightInd w:val="0"/>
                    <w:snapToGrid w:val="0"/>
                    <w:jc w:val="center"/>
                    <w:rPr>
                      <w:color w:val="auto"/>
                      <w:kern w:val="0"/>
                    </w:rPr>
                  </w:pPr>
                </w:p>
              </w:tc>
              <w:tc>
                <w:tcPr>
                  <w:tcW w:w="424" w:type="pct"/>
                  <w:vMerge w:val="continue"/>
                  <w:vAlign w:val="center"/>
                </w:tcPr>
                <w:p w14:paraId="1F22C7E9">
                  <w:pPr>
                    <w:widowControl/>
                    <w:adjustRightInd w:val="0"/>
                    <w:snapToGrid w:val="0"/>
                    <w:jc w:val="center"/>
                    <w:textAlignment w:val="center"/>
                    <w:rPr>
                      <w:rFonts w:hint="eastAsia"/>
                      <w:color w:val="auto"/>
                      <w:kern w:val="0"/>
                    </w:rPr>
                  </w:pPr>
                </w:p>
              </w:tc>
              <w:tc>
                <w:tcPr>
                  <w:tcW w:w="378" w:type="pct"/>
                  <w:vAlign w:val="center"/>
                </w:tcPr>
                <w:p w14:paraId="5DFEDAD7">
                  <w:pPr>
                    <w:adjustRightInd w:val="0"/>
                    <w:snapToGrid w:val="0"/>
                    <w:jc w:val="center"/>
                    <w:rPr>
                      <w:rFonts w:hint="eastAsia"/>
                      <w:color w:val="auto"/>
                      <w:kern w:val="0"/>
                    </w:rPr>
                  </w:pPr>
                  <w:r>
                    <w:rPr>
                      <w:rFonts w:hint="eastAsia"/>
                      <w:color w:val="auto"/>
                      <w:kern w:val="0"/>
                    </w:rPr>
                    <w:t>固</w:t>
                  </w:r>
                </w:p>
              </w:tc>
              <w:tc>
                <w:tcPr>
                  <w:tcW w:w="805" w:type="pct"/>
                  <w:vAlign w:val="center"/>
                </w:tcPr>
                <w:p w14:paraId="1C259C0D">
                  <w:pPr>
                    <w:pStyle w:val="5"/>
                    <w:adjustRightInd w:val="0"/>
                    <w:snapToGrid w:val="0"/>
                    <w:ind w:firstLine="0" w:firstLineChars="0"/>
                    <w:jc w:val="center"/>
                    <w:rPr>
                      <w:rFonts w:hint="eastAsia"/>
                      <w:color w:val="auto"/>
                      <w:kern w:val="0"/>
                      <w:lang w:bidi="ar"/>
                    </w:rPr>
                  </w:pPr>
                  <w:r>
                    <w:rPr>
                      <w:rFonts w:hint="eastAsia"/>
                      <w:color w:val="auto"/>
                      <w:kern w:val="0"/>
                      <w:lang w:bidi="ar"/>
                    </w:rPr>
                    <w:t>纤维、二噁英、重金属等</w:t>
                  </w:r>
                </w:p>
              </w:tc>
              <w:tc>
                <w:tcPr>
                  <w:tcW w:w="492" w:type="pct"/>
                  <w:shd w:val="clear" w:color="auto" w:fill="auto"/>
                  <w:vAlign w:val="center"/>
                </w:tcPr>
                <w:p w14:paraId="38BBF75F">
                  <w:pPr>
                    <w:jc w:val="center"/>
                    <w:rPr>
                      <w:rFonts w:hint="default" w:eastAsia="宋体"/>
                      <w:color w:val="auto"/>
                      <w:lang w:val="en-US" w:eastAsia="zh-CN"/>
                    </w:rPr>
                  </w:pPr>
                  <w:r>
                    <w:rPr>
                      <w:rFonts w:hint="eastAsia"/>
                      <w:color w:val="auto"/>
                      <w:lang w:val="en-US" w:eastAsia="zh-CN"/>
                    </w:rPr>
                    <w:t>T/In</w:t>
                  </w:r>
                </w:p>
              </w:tc>
              <w:tc>
                <w:tcPr>
                  <w:tcW w:w="474" w:type="pct"/>
                  <w:shd w:val="clear" w:color="auto" w:fill="auto"/>
                  <w:vAlign w:val="center"/>
                </w:tcPr>
                <w:p w14:paraId="08D05524">
                  <w:pPr>
                    <w:jc w:val="center"/>
                    <w:rPr>
                      <w:rFonts w:hint="default" w:eastAsia="宋体"/>
                      <w:color w:val="auto"/>
                      <w:lang w:val="en-US" w:eastAsia="zh-CN"/>
                    </w:rPr>
                  </w:pPr>
                  <w:r>
                    <w:rPr>
                      <w:rFonts w:hint="eastAsia"/>
                      <w:color w:val="auto"/>
                      <w:lang w:val="en-US" w:eastAsia="zh-CN"/>
                    </w:rPr>
                    <w:t>HW49</w:t>
                  </w:r>
                </w:p>
              </w:tc>
              <w:tc>
                <w:tcPr>
                  <w:tcW w:w="745" w:type="pct"/>
                  <w:shd w:val="clear" w:color="auto" w:fill="auto"/>
                  <w:vAlign w:val="center"/>
                </w:tcPr>
                <w:p w14:paraId="68977DD2">
                  <w:pPr>
                    <w:jc w:val="center"/>
                    <w:rPr>
                      <w:rFonts w:hint="default" w:eastAsia="宋体"/>
                      <w:color w:val="auto"/>
                      <w:lang w:val="en-US" w:eastAsia="zh-CN"/>
                    </w:rPr>
                  </w:pPr>
                  <w:r>
                    <w:rPr>
                      <w:rFonts w:hint="eastAsia"/>
                      <w:color w:val="auto"/>
                      <w:lang w:val="en-US" w:eastAsia="zh-CN"/>
                    </w:rPr>
                    <w:t>900-041-49</w:t>
                  </w:r>
                </w:p>
              </w:tc>
              <w:tc>
                <w:tcPr>
                  <w:tcW w:w="512" w:type="pct"/>
                  <w:vAlign w:val="center"/>
                </w:tcPr>
                <w:p w14:paraId="23390D50">
                  <w:pPr>
                    <w:pStyle w:val="5"/>
                    <w:adjustRightInd w:val="0"/>
                    <w:snapToGrid w:val="0"/>
                    <w:ind w:firstLine="0" w:firstLineChars="0"/>
                    <w:jc w:val="center"/>
                    <w:rPr>
                      <w:rFonts w:hint="eastAsia"/>
                      <w:color w:val="auto"/>
                      <w:kern w:val="0"/>
                      <w:szCs w:val="21"/>
                    </w:rPr>
                  </w:pPr>
                  <w:r>
                    <w:rPr>
                      <w:rFonts w:hint="eastAsia"/>
                      <w:color w:val="auto"/>
                      <w:kern w:val="0"/>
                      <w:szCs w:val="21"/>
                      <w:lang w:val="en-US" w:eastAsia="zh-CN"/>
                    </w:rPr>
                    <w:t>0.2</w:t>
                  </w:r>
                </w:p>
              </w:tc>
            </w:tr>
            <w:tr w14:paraId="3A85029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802" w:type="pct"/>
                  <w:vAlign w:val="center"/>
                </w:tcPr>
                <w:p w14:paraId="3A85028F">
                  <w:pPr>
                    <w:pStyle w:val="5"/>
                    <w:adjustRightInd w:val="0"/>
                    <w:snapToGrid w:val="0"/>
                    <w:ind w:firstLine="0" w:firstLineChars="0"/>
                    <w:jc w:val="center"/>
                    <w:rPr>
                      <w:color w:val="auto"/>
                      <w:kern w:val="0"/>
                      <w:szCs w:val="21"/>
                    </w:rPr>
                  </w:pPr>
                  <w:r>
                    <w:rPr>
                      <w:rFonts w:hint="eastAsia"/>
                      <w:bCs/>
                      <w:color w:val="auto"/>
                      <w:kern w:val="0"/>
                      <w:szCs w:val="21"/>
                    </w:rPr>
                    <w:t>生活垃圾</w:t>
                  </w:r>
                </w:p>
              </w:tc>
              <w:tc>
                <w:tcPr>
                  <w:tcW w:w="364" w:type="pct"/>
                  <w:vAlign w:val="center"/>
                </w:tcPr>
                <w:p w14:paraId="3A850290">
                  <w:pPr>
                    <w:adjustRightInd w:val="0"/>
                    <w:snapToGrid w:val="0"/>
                    <w:jc w:val="center"/>
                    <w:rPr>
                      <w:color w:val="auto"/>
                      <w:kern w:val="0"/>
                    </w:rPr>
                  </w:pPr>
                  <w:r>
                    <w:rPr>
                      <w:rFonts w:hint="eastAsia"/>
                      <w:color w:val="auto"/>
                      <w:kern w:val="0"/>
                    </w:rPr>
                    <w:t>生活垃圾</w:t>
                  </w:r>
                </w:p>
              </w:tc>
              <w:tc>
                <w:tcPr>
                  <w:tcW w:w="424" w:type="pct"/>
                  <w:vAlign w:val="center"/>
                </w:tcPr>
                <w:p w14:paraId="3A850291">
                  <w:pPr>
                    <w:widowControl/>
                    <w:adjustRightInd w:val="0"/>
                    <w:snapToGrid w:val="0"/>
                    <w:jc w:val="center"/>
                    <w:textAlignment w:val="center"/>
                    <w:rPr>
                      <w:color w:val="auto"/>
                      <w:kern w:val="0"/>
                      <w:lang w:bidi="ar"/>
                    </w:rPr>
                  </w:pPr>
                  <w:r>
                    <w:rPr>
                      <w:rFonts w:hint="eastAsia"/>
                      <w:color w:val="auto"/>
                      <w:kern w:val="0"/>
                    </w:rPr>
                    <w:t>员工生活</w:t>
                  </w:r>
                </w:p>
              </w:tc>
              <w:tc>
                <w:tcPr>
                  <w:tcW w:w="378" w:type="pct"/>
                  <w:vAlign w:val="center"/>
                </w:tcPr>
                <w:p w14:paraId="3A850292">
                  <w:pPr>
                    <w:adjustRightInd w:val="0"/>
                    <w:snapToGrid w:val="0"/>
                    <w:jc w:val="center"/>
                    <w:rPr>
                      <w:color w:val="auto"/>
                      <w:kern w:val="0"/>
                    </w:rPr>
                  </w:pPr>
                  <w:r>
                    <w:rPr>
                      <w:color w:val="auto"/>
                      <w:kern w:val="0"/>
                    </w:rPr>
                    <w:t>固</w:t>
                  </w:r>
                </w:p>
              </w:tc>
              <w:tc>
                <w:tcPr>
                  <w:tcW w:w="805" w:type="pct"/>
                  <w:vAlign w:val="center"/>
                </w:tcPr>
                <w:p w14:paraId="3A850293">
                  <w:pPr>
                    <w:widowControl/>
                    <w:adjustRightInd w:val="0"/>
                    <w:snapToGrid w:val="0"/>
                    <w:jc w:val="center"/>
                    <w:textAlignment w:val="center"/>
                    <w:rPr>
                      <w:color w:val="auto"/>
                      <w:kern w:val="0"/>
                    </w:rPr>
                  </w:pPr>
                  <w:r>
                    <w:rPr>
                      <w:rFonts w:hint="eastAsia"/>
                      <w:color w:val="auto"/>
                      <w:kern w:val="0"/>
                      <w:lang w:bidi="ar"/>
                    </w:rPr>
                    <w:t>纸皮、瓜果等</w:t>
                  </w:r>
                </w:p>
              </w:tc>
              <w:tc>
                <w:tcPr>
                  <w:tcW w:w="492" w:type="pct"/>
                  <w:vAlign w:val="center"/>
                </w:tcPr>
                <w:p w14:paraId="3A850294">
                  <w:pPr>
                    <w:adjustRightInd w:val="0"/>
                    <w:snapToGrid w:val="0"/>
                    <w:jc w:val="center"/>
                    <w:rPr>
                      <w:color w:val="auto"/>
                      <w:kern w:val="0"/>
                    </w:rPr>
                  </w:pPr>
                  <w:r>
                    <w:rPr>
                      <w:rFonts w:hint="eastAsia"/>
                      <w:color w:val="auto"/>
                      <w:kern w:val="0"/>
                    </w:rPr>
                    <w:t>--</w:t>
                  </w:r>
                </w:p>
              </w:tc>
              <w:tc>
                <w:tcPr>
                  <w:tcW w:w="474" w:type="pct"/>
                  <w:vAlign w:val="center"/>
                </w:tcPr>
                <w:p w14:paraId="3A850295">
                  <w:pPr>
                    <w:pStyle w:val="55"/>
                    <w:widowControl w:val="0"/>
                    <w:ind w:left="-30" w:right="-30"/>
                    <w:rPr>
                      <w:b w:val="0"/>
                      <w:bCs w:val="0"/>
                      <w:color w:val="auto"/>
                      <w:sz w:val="21"/>
                      <w:szCs w:val="21"/>
                    </w:rPr>
                  </w:pPr>
                  <w:r>
                    <w:rPr>
                      <w:rFonts w:hint="eastAsia"/>
                      <w:b w:val="0"/>
                      <w:bCs w:val="0"/>
                      <w:color w:val="auto"/>
                      <w:sz w:val="21"/>
                      <w:szCs w:val="21"/>
                    </w:rPr>
                    <w:t>SW64</w:t>
                  </w:r>
                </w:p>
              </w:tc>
              <w:tc>
                <w:tcPr>
                  <w:tcW w:w="745" w:type="pct"/>
                  <w:vAlign w:val="center"/>
                </w:tcPr>
                <w:p w14:paraId="3A850296">
                  <w:pPr>
                    <w:pStyle w:val="55"/>
                    <w:widowControl w:val="0"/>
                    <w:ind w:left="-30" w:right="-30"/>
                    <w:rPr>
                      <w:b w:val="0"/>
                      <w:bCs w:val="0"/>
                      <w:color w:val="auto"/>
                      <w:sz w:val="21"/>
                      <w:szCs w:val="21"/>
                    </w:rPr>
                  </w:pPr>
                  <w:r>
                    <w:rPr>
                      <w:rFonts w:hint="eastAsia"/>
                      <w:b w:val="0"/>
                      <w:bCs w:val="0"/>
                      <w:color w:val="auto"/>
                      <w:sz w:val="21"/>
                      <w:szCs w:val="21"/>
                    </w:rPr>
                    <w:t>900-099-S64</w:t>
                  </w:r>
                </w:p>
              </w:tc>
              <w:tc>
                <w:tcPr>
                  <w:tcW w:w="512" w:type="pct"/>
                  <w:vAlign w:val="center"/>
                </w:tcPr>
                <w:p w14:paraId="3A850297">
                  <w:pPr>
                    <w:pStyle w:val="5"/>
                    <w:adjustRightInd w:val="0"/>
                    <w:snapToGrid w:val="0"/>
                    <w:ind w:firstLine="0" w:firstLineChars="0"/>
                    <w:jc w:val="center"/>
                    <w:rPr>
                      <w:color w:val="auto"/>
                      <w:kern w:val="0"/>
                      <w:szCs w:val="21"/>
                    </w:rPr>
                  </w:pPr>
                  <w:r>
                    <w:rPr>
                      <w:rFonts w:hint="eastAsia"/>
                      <w:color w:val="auto"/>
                      <w:kern w:val="0"/>
                      <w:szCs w:val="21"/>
                      <w:lang w:val="en-US" w:eastAsia="zh-CN"/>
                    </w:rPr>
                    <w:t>11.2</w:t>
                  </w:r>
                </w:p>
              </w:tc>
            </w:tr>
          </w:tbl>
          <w:p w14:paraId="3A850299">
            <w:pPr>
              <w:adjustRightInd w:val="0"/>
              <w:snapToGrid w:val="0"/>
              <w:spacing w:line="360" w:lineRule="auto"/>
              <w:ind w:firstLine="422" w:firstLineChars="200"/>
              <w:rPr>
                <w:b/>
                <w:color w:val="auto"/>
                <w:kern w:val="0"/>
              </w:rPr>
            </w:pPr>
            <w:r>
              <w:rPr>
                <w:rFonts w:hint="eastAsia"/>
                <w:b/>
                <w:color w:val="auto"/>
                <w:kern w:val="0"/>
              </w:rPr>
              <w:t>（3）固体废物处置方式</w:t>
            </w:r>
          </w:p>
          <w:p w14:paraId="3A85029A">
            <w:pPr>
              <w:pStyle w:val="699"/>
              <w:spacing w:beforeLines="0" w:afterLines="0"/>
              <w:rPr>
                <w:rFonts w:eastAsia="宋体"/>
                <w:snapToGrid w:val="0"/>
                <w:color w:val="auto"/>
                <w:kern w:val="0"/>
                <w:sz w:val="21"/>
                <w:szCs w:val="21"/>
              </w:rPr>
            </w:pPr>
            <w:r>
              <w:rPr>
                <w:rFonts w:eastAsia="宋体"/>
                <w:snapToGrid w:val="0"/>
                <w:color w:val="auto"/>
                <w:kern w:val="0"/>
                <w:sz w:val="21"/>
                <w:szCs w:val="21"/>
              </w:rPr>
              <w:t>表4-</w:t>
            </w:r>
            <w:r>
              <w:rPr>
                <w:rFonts w:hint="eastAsia" w:eastAsia="宋体"/>
                <w:snapToGrid w:val="0"/>
                <w:color w:val="auto"/>
                <w:kern w:val="0"/>
                <w:sz w:val="21"/>
                <w:szCs w:val="21"/>
                <w:lang w:val="en-US" w:eastAsia="zh-CN"/>
              </w:rPr>
              <w:t>19</w:t>
            </w:r>
            <w:r>
              <w:rPr>
                <w:rFonts w:hint="eastAsia" w:eastAsia="宋体"/>
                <w:snapToGrid w:val="0"/>
                <w:color w:val="auto"/>
                <w:kern w:val="0"/>
                <w:sz w:val="21"/>
                <w:szCs w:val="21"/>
              </w:rPr>
              <w:t xml:space="preserve">  </w:t>
            </w:r>
            <w:r>
              <w:rPr>
                <w:rFonts w:eastAsia="宋体"/>
                <w:snapToGrid w:val="0"/>
                <w:color w:val="auto"/>
                <w:kern w:val="0"/>
                <w:sz w:val="21"/>
                <w:szCs w:val="21"/>
              </w:rPr>
              <w:t xml:space="preserve"> </w:t>
            </w:r>
            <w:r>
              <w:rPr>
                <w:rFonts w:hint="eastAsia" w:eastAsia="宋体"/>
                <w:snapToGrid w:val="0"/>
                <w:color w:val="auto"/>
                <w:kern w:val="0"/>
                <w:sz w:val="21"/>
                <w:szCs w:val="21"/>
              </w:rPr>
              <w:t>项目固体废物利用处置方式评价表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807"/>
              <w:gridCol w:w="1692"/>
              <w:gridCol w:w="1036"/>
              <w:gridCol w:w="1571"/>
              <w:gridCol w:w="1143"/>
              <w:gridCol w:w="1094"/>
              <w:gridCol w:w="1246"/>
            </w:tblGrid>
            <w:tr w14:paraId="3A8502A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42" w:type="pct"/>
                  <w:tcBorders>
                    <w:tl2br w:val="nil"/>
                    <w:tr2bl w:val="nil"/>
                  </w:tcBorders>
                  <w:vAlign w:val="center"/>
                </w:tcPr>
                <w:p w14:paraId="3A85029B">
                  <w:pPr>
                    <w:pStyle w:val="693"/>
                    <w:rPr>
                      <w:rFonts w:eastAsia="宋体"/>
                      <w:color w:val="auto"/>
                      <w:kern w:val="0"/>
                    </w:rPr>
                  </w:pPr>
                  <w:r>
                    <w:rPr>
                      <w:rFonts w:eastAsia="宋体"/>
                      <w:color w:val="auto"/>
                      <w:kern w:val="0"/>
                    </w:rPr>
                    <w:t>固体废物名称</w:t>
                  </w:r>
                </w:p>
              </w:tc>
              <w:tc>
                <w:tcPr>
                  <w:tcW w:w="882" w:type="pct"/>
                  <w:tcBorders>
                    <w:tl2br w:val="nil"/>
                    <w:tr2bl w:val="nil"/>
                  </w:tcBorders>
                  <w:vAlign w:val="center"/>
                </w:tcPr>
                <w:p w14:paraId="3A85029C">
                  <w:pPr>
                    <w:pStyle w:val="693"/>
                    <w:rPr>
                      <w:rFonts w:eastAsia="宋体"/>
                      <w:color w:val="auto"/>
                      <w:kern w:val="0"/>
                    </w:rPr>
                  </w:pPr>
                  <w:r>
                    <w:rPr>
                      <w:rFonts w:hint="eastAsia" w:eastAsia="宋体"/>
                      <w:color w:val="auto"/>
                      <w:kern w:val="0"/>
                    </w:rPr>
                    <w:t>产生</w:t>
                  </w:r>
                  <w:r>
                    <w:rPr>
                      <w:rFonts w:eastAsia="宋体"/>
                      <w:color w:val="auto"/>
                      <w:kern w:val="0"/>
                    </w:rPr>
                    <w:t>工序</w:t>
                  </w:r>
                </w:p>
              </w:tc>
              <w:tc>
                <w:tcPr>
                  <w:tcW w:w="540" w:type="pct"/>
                  <w:tcBorders>
                    <w:tl2br w:val="nil"/>
                    <w:tr2bl w:val="nil"/>
                  </w:tcBorders>
                  <w:vAlign w:val="center"/>
                </w:tcPr>
                <w:p w14:paraId="3A85029D">
                  <w:pPr>
                    <w:pStyle w:val="693"/>
                    <w:rPr>
                      <w:rFonts w:eastAsia="宋体"/>
                      <w:color w:val="auto"/>
                      <w:kern w:val="0"/>
                    </w:rPr>
                  </w:pPr>
                  <w:r>
                    <w:rPr>
                      <w:rFonts w:eastAsia="宋体"/>
                      <w:color w:val="auto"/>
                      <w:kern w:val="0"/>
                    </w:rPr>
                    <w:t>固废属性</w:t>
                  </w:r>
                </w:p>
              </w:tc>
              <w:tc>
                <w:tcPr>
                  <w:tcW w:w="819" w:type="pct"/>
                  <w:tcBorders>
                    <w:tl2br w:val="nil"/>
                    <w:tr2bl w:val="nil"/>
                  </w:tcBorders>
                  <w:vAlign w:val="center"/>
                </w:tcPr>
                <w:p w14:paraId="3A85029E">
                  <w:pPr>
                    <w:pStyle w:val="693"/>
                    <w:rPr>
                      <w:rFonts w:eastAsia="宋体"/>
                      <w:color w:val="auto"/>
                      <w:kern w:val="0"/>
                    </w:rPr>
                  </w:pPr>
                  <w:r>
                    <w:rPr>
                      <w:rFonts w:hint="eastAsia" w:eastAsia="宋体"/>
                      <w:color w:val="auto"/>
                      <w:kern w:val="0"/>
                    </w:rPr>
                    <w:t>废物代码</w:t>
                  </w:r>
                </w:p>
              </w:tc>
              <w:tc>
                <w:tcPr>
                  <w:tcW w:w="596" w:type="pct"/>
                  <w:tcBorders>
                    <w:tl2br w:val="nil"/>
                    <w:tr2bl w:val="nil"/>
                  </w:tcBorders>
                  <w:vAlign w:val="center"/>
                </w:tcPr>
                <w:p w14:paraId="3A85029F">
                  <w:pPr>
                    <w:pStyle w:val="693"/>
                    <w:rPr>
                      <w:rFonts w:eastAsia="宋体"/>
                      <w:color w:val="auto"/>
                      <w:kern w:val="0"/>
                    </w:rPr>
                  </w:pPr>
                  <w:r>
                    <w:rPr>
                      <w:rFonts w:hint="eastAsia" w:eastAsia="宋体"/>
                      <w:color w:val="auto"/>
                      <w:kern w:val="0"/>
                    </w:rPr>
                    <w:t>产生量（t/a）</w:t>
                  </w:r>
                </w:p>
              </w:tc>
              <w:tc>
                <w:tcPr>
                  <w:tcW w:w="570" w:type="pct"/>
                  <w:tcBorders>
                    <w:tl2br w:val="nil"/>
                    <w:tr2bl w:val="nil"/>
                  </w:tcBorders>
                  <w:vAlign w:val="center"/>
                </w:tcPr>
                <w:p w14:paraId="3A8502A0">
                  <w:pPr>
                    <w:pStyle w:val="696"/>
                    <w:rPr>
                      <w:color w:val="auto"/>
                      <w:kern w:val="0"/>
                    </w:rPr>
                  </w:pPr>
                  <w:r>
                    <w:rPr>
                      <w:b/>
                      <w:color w:val="auto"/>
                      <w:kern w:val="0"/>
                    </w:rPr>
                    <w:t>处理处置方式</w:t>
                  </w:r>
                </w:p>
              </w:tc>
              <w:tc>
                <w:tcPr>
                  <w:tcW w:w="649" w:type="pct"/>
                  <w:tcBorders>
                    <w:tl2br w:val="nil"/>
                    <w:tr2bl w:val="nil"/>
                  </w:tcBorders>
                  <w:vAlign w:val="center"/>
                </w:tcPr>
                <w:p w14:paraId="3A8502A1">
                  <w:pPr>
                    <w:pStyle w:val="696"/>
                    <w:rPr>
                      <w:color w:val="auto"/>
                      <w:kern w:val="0"/>
                    </w:rPr>
                  </w:pPr>
                  <w:r>
                    <w:rPr>
                      <w:b/>
                      <w:color w:val="auto"/>
                      <w:kern w:val="0"/>
                    </w:rPr>
                    <w:t>利用处置单位</w:t>
                  </w:r>
                </w:p>
              </w:tc>
            </w:tr>
            <w:tr w14:paraId="3A8502B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42" w:type="pct"/>
                  <w:tcBorders>
                    <w:tl2br w:val="nil"/>
                    <w:tr2bl w:val="nil"/>
                  </w:tcBorders>
                  <w:vAlign w:val="center"/>
                </w:tcPr>
                <w:p w14:paraId="3A8502AB">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废金属壳</w:t>
                  </w:r>
                </w:p>
              </w:tc>
              <w:tc>
                <w:tcPr>
                  <w:tcW w:w="882" w:type="pct"/>
                  <w:tcBorders>
                    <w:tl2br w:val="nil"/>
                    <w:tr2bl w:val="nil"/>
                  </w:tcBorders>
                  <w:vAlign w:val="center"/>
                </w:tcPr>
                <w:p w14:paraId="3A8502AC">
                  <w:pPr>
                    <w:pStyle w:val="5"/>
                    <w:adjustRightInd w:val="0"/>
                    <w:snapToGrid w:val="0"/>
                    <w:ind w:firstLine="0" w:firstLineChars="0"/>
                    <w:jc w:val="center"/>
                    <w:rPr>
                      <w:color w:val="auto"/>
                      <w:kern w:val="0"/>
                    </w:rPr>
                  </w:pPr>
                  <w:r>
                    <w:rPr>
                      <w:rFonts w:hint="eastAsia"/>
                      <w:color w:val="auto"/>
                      <w:kern w:val="0"/>
                      <w:lang w:val="en-US" w:eastAsia="zh-CN"/>
                    </w:rPr>
                    <w:t>焚烧</w:t>
                  </w:r>
                </w:p>
              </w:tc>
              <w:tc>
                <w:tcPr>
                  <w:tcW w:w="540" w:type="pct"/>
                  <w:tcBorders>
                    <w:tl2br w:val="nil"/>
                    <w:tr2bl w:val="nil"/>
                  </w:tcBorders>
                  <w:vAlign w:val="center"/>
                </w:tcPr>
                <w:p w14:paraId="3A8502AD">
                  <w:pPr>
                    <w:pStyle w:val="693"/>
                    <w:rPr>
                      <w:rFonts w:hint="eastAsia" w:eastAsia="宋体"/>
                      <w:b w:val="0"/>
                      <w:bCs/>
                      <w:color w:val="auto"/>
                      <w:kern w:val="0"/>
                      <w:lang w:val="en-US" w:eastAsia="zh-CN"/>
                    </w:rPr>
                  </w:pPr>
                  <w:r>
                    <w:rPr>
                      <w:rFonts w:hint="eastAsia" w:eastAsia="宋体"/>
                      <w:b w:val="0"/>
                      <w:bCs/>
                      <w:color w:val="auto"/>
                      <w:kern w:val="0"/>
                      <w:lang w:val="en-US" w:eastAsia="zh-CN"/>
                    </w:rPr>
                    <w:t>一般固废</w:t>
                  </w:r>
                </w:p>
              </w:tc>
              <w:tc>
                <w:tcPr>
                  <w:tcW w:w="819" w:type="pct"/>
                  <w:tcBorders>
                    <w:tl2br w:val="nil"/>
                    <w:tr2bl w:val="nil"/>
                  </w:tcBorders>
                  <w:vAlign w:val="center"/>
                </w:tcPr>
                <w:p w14:paraId="3A8502AE">
                  <w:pPr>
                    <w:jc w:val="center"/>
                    <w:rPr>
                      <w:color w:val="auto"/>
                      <w:kern w:val="0"/>
                    </w:rPr>
                  </w:pPr>
                  <w:r>
                    <w:rPr>
                      <w:rFonts w:hint="eastAsia"/>
                      <w:color w:val="auto"/>
                      <w:kern w:val="0"/>
                      <w:lang w:val="en-US" w:eastAsia="zh-CN"/>
                    </w:rPr>
                    <w:t>900-099-S59</w:t>
                  </w:r>
                </w:p>
              </w:tc>
              <w:tc>
                <w:tcPr>
                  <w:tcW w:w="1056" w:type="dxa"/>
                  <w:tcBorders>
                    <w:tl2br w:val="nil"/>
                    <w:tr2bl w:val="nil"/>
                  </w:tcBorders>
                  <w:vAlign w:val="center"/>
                </w:tcPr>
                <w:p w14:paraId="3A8502AF">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color w:val="auto"/>
                      <w:kern w:val="0"/>
                      <w:szCs w:val="21"/>
                      <w:lang w:val="en-US" w:eastAsia="zh-CN"/>
                    </w:rPr>
                    <w:t>56</w:t>
                  </w:r>
                </w:p>
              </w:tc>
              <w:tc>
                <w:tcPr>
                  <w:tcW w:w="570" w:type="pct"/>
                  <w:tcBorders>
                    <w:tl2br w:val="nil"/>
                    <w:tr2bl w:val="nil"/>
                  </w:tcBorders>
                  <w:shd w:val="clear" w:color="auto" w:fill="auto"/>
                  <w:vAlign w:val="center"/>
                </w:tcPr>
                <w:p w14:paraId="3A8502B0">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rFonts w:hint="eastAsia"/>
                      <w:color w:val="auto"/>
                      <w:kern w:val="0"/>
                    </w:rPr>
                    <w:t>外售处置</w:t>
                  </w:r>
                </w:p>
              </w:tc>
              <w:tc>
                <w:tcPr>
                  <w:tcW w:w="649" w:type="pct"/>
                  <w:tcBorders>
                    <w:tl2br w:val="nil"/>
                    <w:tr2bl w:val="nil"/>
                  </w:tcBorders>
                  <w:shd w:val="clear" w:color="auto" w:fill="auto"/>
                  <w:vAlign w:val="center"/>
                </w:tcPr>
                <w:p w14:paraId="3A8502B1">
                  <w:pPr>
                    <w:adjustRightInd w:val="0"/>
                    <w:snapToGrid w:val="0"/>
                    <w:jc w:val="center"/>
                    <w:rPr>
                      <w:rFonts w:ascii="Times New Roman" w:hAnsi="Times New Roman" w:eastAsia="宋体" w:cs="Times New Roman"/>
                      <w:bCs/>
                      <w:snapToGrid w:val="0"/>
                      <w:color w:val="auto"/>
                      <w:kern w:val="0"/>
                      <w:sz w:val="21"/>
                      <w:szCs w:val="21"/>
                      <w:lang w:val="en-US" w:eastAsia="zh-CN" w:bidi="ar-SA"/>
                    </w:rPr>
                  </w:pPr>
                  <w:r>
                    <w:rPr>
                      <w:rFonts w:hint="eastAsia"/>
                      <w:color w:val="auto"/>
                      <w:kern w:val="0"/>
                    </w:rPr>
                    <w:t>外售处置</w:t>
                  </w:r>
                </w:p>
              </w:tc>
            </w:tr>
            <w:tr w14:paraId="3A8502C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42" w:type="pct"/>
                  <w:tcBorders>
                    <w:tl2br w:val="nil"/>
                    <w:tr2bl w:val="nil"/>
                  </w:tcBorders>
                  <w:vAlign w:val="center"/>
                </w:tcPr>
                <w:p w14:paraId="3A8502C3">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不合格品</w:t>
                  </w:r>
                </w:p>
              </w:tc>
              <w:tc>
                <w:tcPr>
                  <w:tcW w:w="882" w:type="pct"/>
                  <w:tcBorders>
                    <w:tl2br w:val="nil"/>
                    <w:tr2bl w:val="nil"/>
                  </w:tcBorders>
                  <w:vAlign w:val="center"/>
                </w:tcPr>
                <w:p w14:paraId="3A8502C4">
                  <w:pPr>
                    <w:pStyle w:val="5"/>
                    <w:adjustRightInd w:val="0"/>
                    <w:snapToGrid w:val="0"/>
                    <w:ind w:firstLine="0" w:firstLineChars="0"/>
                    <w:jc w:val="center"/>
                    <w:rPr>
                      <w:color w:val="auto"/>
                      <w:kern w:val="0"/>
                    </w:rPr>
                  </w:pPr>
                  <w:r>
                    <w:rPr>
                      <w:rFonts w:hint="eastAsia"/>
                      <w:color w:val="auto"/>
                      <w:kern w:val="0"/>
                      <w:lang w:val="en-US" w:eastAsia="zh-CN"/>
                    </w:rPr>
                    <w:t>检验</w:t>
                  </w:r>
                </w:p>
              </w:tc>
              <w:tc>
                <w:tcPr>
                  <w:tcW w:w="540" w:type="pct"/>
                  <w:vMerge w:val="restart"/>
                  <w:tcBorders>
                    <w:tl2br w:val="nil"/>
                    <w:tr2bl w:val="nil"/>
                  </w:tcBorders>
                  <w:vAlign w:val="center"/>
                </w:tcPr>
                <w:p w14:paraId="3A8502C5">
                  <w:pPr>
                    <w:pStyle w:val="693"/>
                    <w:rPr>
                      <w:rFonts w:eastAsia="宋体"/>
                      <w:b w:val="0"/>
                      <w:bCs/>
                      <w:color w:val="auto"/>
                      <w:kern w:val="0"/>
                    </w:rPr>
                  </w:pPr>
                  <w:r>
                    <w:rPr>
                      <w:rFonts w:hint="eastAsia" w:eastAsia="宋体"/>
                      <w:b w:val="0"/>
                      <w:bCs/>
                      <w:color w:val="auto"/>
                      <w:kern w:val="0"/>
                    </w:rPr>
                    <w:t>危险废物</w:t>
                  </w:r>
                </w:p>
              </w:tc>
              <w:tc>
                <w:tcPr>
                  <w:tcW w:w="819" w:type="pct"/>
                  <w:tcBorders>
                    <w:tl2br w:val="nil"/>
                    <w:tr2bl w:val="nil"/>
                  </w:tcBorders>
                  <w:vAlign w:val="center"/>
                </w:tcPr>
                <w:p w14:paraId="3A8502C6">
                  <w:pPr>
                    <w:jc w:val="center"/>
                    <w:rPr>
                      <w:color w:val="auto"/>
                      <w:kern w:val="0"/>
                    </w:rPr>
                  </w:pPr>
                  <w:r>
                    <w:rPr>
                      <w:rFonts w:hint="eastAsia"/>
                      <w:color w:val="auto"/>
                      <w:kern w:val="0"/>
                      <w:lang w:val="en-US" w:eastAsia="zh-CN"/>
                    </w:rPr>
                    <w:t>900-999-49</w:t>
                  </w:r>
                </w:p>
              </w:tc>
              <w:tc>
                <w:tcPr>
                  <w:tcW w:w="1056" w:type="dxa"/>
                  <w:tcBorders>
                    <w:tl2br w:val="nil"/>
                    <w:tr2bl w:val="nil"/>
                  </w:tcBorders>
                  <w:vAlign w:val="center"/>
                </w:tcPr>
                <w:p w14:paraId="3A8502C7">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color w:val="auto"/>
                      <w:kern w:val="0"/>
                      <w:szCs w:val="21"/>
                      <w:lang w:val="en-US" w:eastAsia="zh-CN"/>
                    </w:rPr>
                    <w:t>80</w:t>
                  </w:r>
                </w:p>
              </w:tc>
              <w:tc>
                <w:tcPr>
                  <w:tcW w:w="570" w:type="pct"/>
                  <w:tcBorders>
                    <w:tl2br w:val="nil"/>
                    <w:tr2bl w:val="nil"/>
                  </w:tcBorders>
                  <w:vAlign w:val="center"/>
                </w:tcPr>
                <w:p w14:paraId="3A8502C8">
                  <w:pPr>
                    <w:adjustRightInd w:val="0"/>
                    <w:snapToGrid w:val="0"/>
                    <w:jc w:val="center"/>
                    <w:rPr>
                      <w:rFonts w:hint="eastAsia" w:eastAsia="宋体"/>
                      <w:color w:val="auto"/>
                      <w:kern w:val="0"/>
                      <w:lang w:val="en-US" w:eastAsia="zh-CN"/>
                    </w:rPr>
                  </w:pPr>
                  <w:r>
                    <w:rPr>
                      <w:rFonts w:hint="eastAsia"/>
                      <w:color w:val="auto"/>
                      <w:kern w:val="0"/>
                      <w:lang w:val="en-US" w:eastAsia="zh-CN"/>
                    </w:rPr>
                    <w:t>自建焚烧炉焚毁</w:t>
                  </w:r>
                </w:p>
              </w:tc>
              <w:tc>
                <w:tcPr>
                  <w:tcW w:w="649" w:type="pct"/>
                  <w:tcBorders>
                    <w:tl2br w:val="nil"/>
                    <w:tr2bl w:val="nil"/>
                  </w:tcBorders>
                  <w:vAlign w:val="center"/>
                </w:tcPr>
                <w:p w14:paraId="3A8502C9">
                  <w:pPr>
                    <w:adjustRightInd w:val="0"/>
                    <w:snapToGrid w:val="0"/>
                    <w:jc w:val="center"/>
                    <w:rPr>
                      <w:bCs/>
                      <w:color w:val="auto"/>
                      <w:kern w:val="0"/>
                    </w:rPr>
                  </w:pPr>
                  <w:r>
                    <w:rPr>
                      <w:rFonts w:hint="eastAsia"/>
                      <w:color w:val="auto"/>
                      <w:kern w:val="0"/>
                      <w:lang w:val="en-US" w:eastAsia="zh-CN"/>
                    </w:rPr>
                    <w:t>自建焚烧炉焚毁</w:t>
                  </w:r>
                </w:p>
              </w:tc>
            </w:tr>
            <w:tr w14:paraId="3A8502D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42" w:type="pct"/>
                  <w:tcBorders>
                    <w:tl2br w:val="nil"/>
                    <w:tr2bl w:val="nil"/>
                  </w:tcBorders>
                  <w:vAlign w:val="center"/>
                </w:tcPr>
                <w:p w14:paraId="3A8502CB">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灰渣</w:t>
                  </w:r>
                </w:p>
              </w:tc>
              <w:tc>
                <w:tcPr>
                  <w:tcW w:w="882" w:type="pct"/>
                  <w:tcBorders>
                    <w:tl2br w:val="nil"/>
                    <w:tr2bl w:val="nil"/>
                  </w:tcBorders>
                  <w:vAlign w:val="center"/>
                </w:tcPr>
                <w:p w14:paraId="3A8502CC">
                  <w:pPr>
                    <w:pStyle w:val="5"/>
                    <w:adjustRightInd w:val="0"/>
                    <w:snapToGrid w:val="0"/>
                    <w:ind w:firstLine="0" w:firstLineChars="0"/>
                    <w:jc w:val="center"/>
                    <w:rPr>
                      <w:color w:val="auto"/>
                      <w:kern w:val="0"/>
                    </w:rPr>
                  </w:pPr>
                  <w:r>
                    <w:rPr>
                      <w:rFonts w:hint="eastAsia"/>
                      <w:color w:val="auto"/>
                      <w:kern w:val="0"/>
                      <w:lang w:val="en-US" w:eastAsia="zh-CN"/>
                    </w:rPr>
                    <w:t>焚烧</w:t>
                  </w:r>
                </w:p>
              </w:tc>
              <w:tc>
                <w:tcPr>
                  <w:tcW w:w="540" w:type="pct"/>
                  <w:vMerge w:val="continue"/>
                  <w:tcBorders>
                    <w:tl2br w:val="nil"/>
                    <w:tr2bl w:val="nil"/>
                  </w:tcBorders>
                  <w:vAlign w:val="center"/>
                </w:tcPr>
                <w:p w14:paraId="3A8502CD">
                  <w:pPr>
                    <w:pStyle w:val="693"/>
                    <w:rPr>
                      <w:rFonts w:eastAsia="宋体"/>
                      <w:b w:val="0"/>
                      <w:bCs/>
                      <w:color w:val="auto"/>
                      <w:kern w:val="0"/>
                    </w:rPr>
                  </w:pPr>
                </w:p>
              </w:tc>
              <w:tc>
                <w:tcPr>
                  <w:tcW w:w="819" w:type="pct"/>
                  <w:tcBorders>
                    <w:tl2br w:val="nil"/>
                    <w:tr2bl w:val="nil"/>
                  </w:tcBorders>
                  <w:vAlign w:val="center"/>
                </w:tcPr>
                <w:p w14:paraId="3A8502CE">
                  <w:pPr>
                    <w:jc w:val="center"/>
                    <w:rPr>
                      <w:color w:val="auto"/>
                      <w:kern w:val="0"/>
                    </w:rPr>
                  </w:pPr>
                  <w:r>
                    <w:rPr>
                      <w:rFonts w:hint="eastAsia"/>
                      <w:color w:val="auto"/>
                      <w:lang w:val="en-US" w:eastAsia="zh-CN"/>
                    </w:rPr>
                    <w:t>772-003-18</w:t>
                  </w:r>
                </w:p>
              </w:tc>
              <w:tc>
                <w:tcPr>
                  <w:tcW w:w="1056" w:type="dxa"/>
                  <w:tcBorders>
                    <w:tl2br w:val="nil"/>
                    <w:tr2bl w:val="nil"/>
                  </w:tcBorders>
                  <w:vAlign w:val="center"/>
                </w:tcPr>
                <w:p w14:paraId="3A8502CF">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color w:val="auto"/>
                      <w:kern w:val="0"/>
                      <w:szCs w:val="21"/>
                      <w:lang w:val="en-US" w:eastAsia="zh-CN"/>
                    </w:rPr>
                    <w:t>1.6</w:t>
                  </w:r>
                </w:p>
              </w:tc>
              <w:tc>
                <w:tcPr>
                  <w:tcW w:w="570" w:type="pct"/>
                  <w:vMerge w:val="restart"/>
                  <w:tcBorders>
                    <w:tl2br w:val="nil"/>
                    <w:tr2bl w:val="nil"/>
                  </w:tcBorders>
                  <w:vAlign w:val="center"/>
                </w:tcPr>
                <w:p w14:paraId="3A8502D0">
                  <w:pPr>
                    <w:adjustRightInd w:val="0"/>
                    <w:snapToGrid w:val="0"/>
                    <w:jc w:val="center"/>
                    <w:rPr>
                      <w:rFonts w:hint="eastAsia" w:eastAsia="宋体"/>
                      <w:color w:val="auto"/>
                      <w:kern w:val="0"/>
                      <w:lang w:val="en-US" w:eastAsia="zh-CN"/>
                    </w:rPr>
                  </w:pPr>
                  <w:r>
                    <w:rPr>
                      <w:rFonts w:hint="eastAsia"/>
                      <w:color w:val="auto"/>
                      <w:kern w:val="0"/>
                      <w:lang w:val="en-US" w:eastAsia="zh-CN"/>
                    </w:rPr>
                    <w:t>有资质单位</w:t>
                  </w:r>
                </w:p>
              </w:tc>
              <w:tc>
                <w:tcPr>
                  <w:tcW w:w="649" w:type="pct"/>
                  <w:vMerge w:val="restart"/>
                  <w:tcBorders>
                    <w:tl2br w:val="nil"/>
                    <w:tr2bl w:val="nil"/>
                  </w:tcBorders>
                  <w:vAlign w:val="center"/>
                </w:tcPr>
                <w:p w14:paraId="3A8502D1">
                  <w:pPr>
                    <w:adjustRightInd w:val="0"/>
                    <w:snapToGrid w:val="0"/>
                    <w:jc w:val="center"/>
                    <w:rPr>
                      <w:rFonts w:hint="default" w:eastAsia="宋体"/>
                      <w:bCs/>
                      <w:color w:val="auto"/>
                      <w:kern w:val="0"/>
                      <w:lang w:val="en-US" w:eastAsia="zh-CN"/>
                    </w:rPr>
                  </w:pPr>
                  <w:r>
                    <w:rPr>
                      <w:rFonts w:hint="eastAsia"/>
                      <w:bCs/>
                      <w:color w:val="auto"/>
                      <w:kern w:val="0"/>
                      <w:lang w:val="en-US" w:eastAsia="zh-CN"/>
                    </w:rPr>
                    <w:t>有资质单位</w:t>
                  </w:r>
                </w:p>
              </w:tc>
            </w:tr>
            <w:tr w14:paraId="3A8502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942" w:type="pct"/>
                  <w:tcBorders>
                    <w:tl2br w:val="nil"/>
                    <w:tr2bl w:val="nil"/>
                  </w:tcBorders>
                  <w:vAlign w:val="center"/>
                </w:tcPr>
                <w:p w14:paraId="3A8502DB">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飞灰</w:t>
                  </w:r>
                </w:p>
              </w:tc>
              <w:tc>
                <w:tcPr>
                  <w:tcW w:w="882" w:type="pct"/>
                  <w:vMerge w:val="restart"/>
                  <w:tcBorders>
                    <w:tl2br w:val="nil"/>
                    <w:tr2bl w:val="nil"/>
                  </w:tcBorders>
                  <w:vAlign w:val="center"/>
                </w:tcPr>
                <w:p w14:paraId="3A8502DC">
                  <w:pPr>
                    <w:pStyle w:val="5"/>
                    <w:adjustRightInd w:val="0"/>
                    <w:snapToGrid w:val="0"/>
                    <w:ind w:firstLine="0" w:firstLineChars="0"/>
                    <w:jc w:val="center"/>
                    <w:rPr>
                      <w:color w:val="auto"/>
                      <w:kern w:val="0"/>
                    </w:rPr>
                  </w:pPr>
                  <w:r>
                    <w:rPr>
                      <w:rFonts w:hint="eastAsia"/>
                      <w:color w:val="auto"/>
                      <w:kern w:val="0"/>
                      <w:lang w:val="en-US" w:eastAsia="zh-CN"/>
                    </w:rPr>
                    <w:t>废气治理</w:t>
                  </w:r>
                </w:p>
              </w:tc>
              <w:tc>
                <w:tcPr>
                  <w:tcW w:w="540" w:type="pct"/>
                  <w:vMerge w:val="continue"/>
                  <w:tcBorders>
                    <w:tl2br w:val="nil"/>
                    <w:tr2bl w:val="nil"/>
                  </w:tcBorders>
                  <w:vAlign w:val="center"/>
                </w:tcPr>
                <w:p w14:paraId="3A8502DD">
                  <w:pPr>
                    <w:pStyle w:val="693"/>
                    <w:rPr>
                      <w:rFonts w:eastAsia="宋体"/>
                      <w:b w:val="0"/>
                      <w:bCs/>
                      <w:color w:val="auto"/>
                      <w:kern w:val="0"/>
                    </w:rPr>
                  </w:pPr>
                </w:p>
              </w:tc>
              <w:tc>
                <w:tcPr>
                  <w:tcW w:w="819" w:type="pct"/>
                  <w:tcBorders>
                    <w:tl2br w:val="nil"/>
                    <w:tr2bl w:val="nil"/>
                  </w:tcBorders>
                  <w:shd w:val="clear" w:color="auto" w:fill="auto"/>
                  <w:vAlign w:val="center"/>
                </w:tcPr>
                <w:p w14:paraId="3A8502DE">
                  <w:pPr>
                    <w:jc w:val="center"/>
                    <w:rPr>
                      <w:color w:val="auto"/>
                    </w:rPr>
                  </w:pPr>
                  <w:r>
                    <w:rPr>
                      <w:rFonts w:hint="eastAsia"/>
                      <w:color w:val="auto"/>
                      <w:lang w:val="en-US" w:eastAsia="zh-CN"/>
                    </w:rPr>
                    <w:t>772-003-18</w:t>
                  </w:r>
                </w:p>
              </w:tc>
              <w:tc>
                <w:tcPr>
                  <w:tcW w:w="596" w:type="pct"/>
                  <w:tcBorders>
                    <w:tl2br w:val="nil"/>
                    <w:tr2bl w:val="nil"/>
                  </w:tcBorders>
                  <w:shd w:val="clear" w:color="auto" w:fill="auto"/>
                  <w:vAlign w:val="center"/>
                </w:tcPr>
                <w:p w14:paraId="3A8502DF">
                  <w:pPr>
                    <w:pStyle w:val="5"/>
                    <w:adjustRightInd w:val="0"/>
                    <w:snapToGrid w:val="0"/>
                    <w:ind w:firstLine="0" w:firstLineChars="0"/>
                    <w:jc w:val="center"/>
                    <w:rPr>
                      <w:color w:val="auto"/>
                      <w:kern w:val="0"/>
                      <w:szCs w:val="21"/>
                    </w:rPr>
                  </w:pPr>
                  <w:r>
                    <w:rPr>
                      <w:rFonts w:hint="eastAsia"/>
                      <w:color w:val="auto"/>
                      <w:kern w:val="0"/>
                      <w:szCs w:val="21"/>
                      <w:lang w:val="en-US" w:eastAsia="zh-CN"/>
                    </w:rPr>
                    <w:t>1.3</w:t>
                  </w:r>
                </w:p>
              </w:tc>
              <w:tc>
                <w:tcPr>
                  <w:tcW w:w="570" w:type="pct"/>
                  <w:vMerge w:val="continue"/>
                  <w:tcBorders>
                    <w:tl2br w:val="nil"/>
                    <w:tr2bl w:val="nil"/>
                  </w:tcBorders>
                  <w:shd w:val="clear" w:color="auto" w:fill="auto"/>
                  <w:vAlign w:val="center"/>
                </w:tcPr>
                <w:p w14:paraId="3A8502E0">
                  <w:pPr>
                    <w:adjustRightInd w:val="0"/>
                    <w:snapToGrid w:val="0"/>
                    <w:jc w:val="center"/>
                    <w:rPr>
                      <w:color w:val="auto"/>
                      <w:kern w:val="0"/>
                    </w:rPr>
                  </w:pPr>
                </w:p>
              </w:tc>
              <w:tc>
                <w:tcPr>
                  <w:tcW w:w="649" w:type="pct"/>
                  <w:vMerge w:val="continue"/>
                  <w:tcBorders>
                    <w:tl2br w:val="nil"/>
                    <w:tr2bl w:val="nil"/>
                  </w:tcBorders>
                  <w:shd w:val="clear" w:color="auto" w:fill="auto"/>
                  <w:vAlign w:val="center"/>
                </w:tcPr>
                <w:p w14:paraId="3A8502E1">
                  <w:pPr>
                    <w:adjustRightInd w:val="0"/>
                    <w:snapToGrid w:val="0"/>
                    <w:jc w:val="center"/>
                    <w:rPr>
                      <w:bCs/>
                      <w:color w:val="auto"/>
                      <w:kern w:val="0"/>
                    </w:rPr>
                  </w:pPr>
                </w:p>
              </w:tc>
            </w:tr>
            <w:tr w14:paraId="122652A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942" w:type="pct"/>
                  <w:tcBorders>
                    <w:tl2br w:val="nil"/>
                    <w:tr2bl w:val="nil"/>
                  </w:tcBorders>
                  <w:vAlign w:val="center"/>
                </w:tcPr>
                <w:p w14:paraId="098F6239">
                  <w:pPr>
                    <w:pStyle w:val="5"/>
                    <w:adjustRightInd w:val="0"/>
                    <w:snapToGrid w:val="0"/>
                    <w:ind w:firstLine="0" w:firstLineChars="0"/>
                    <w:jc w:val="center"/>
                    <w:rPr>
                      <w:rFonts w:hint="eastAsia"/>
                      <w:bCs/>
                      <w:color w:val="auto"/>
                      <w:kern w:val="0"/>
                      <w:szCs w:val="21"/>
                    </w:rPr>
                  </w:pPr>
                  <w:r>
                    <w:rPr>
                      <w:rFonts w:hint="eastAsia"/>
                      <w:bCs/>
                      <w:color w:val="auto"/>
                      <w:kern w:val="0"/>
                      <w:szCs w:val="21"/>
                    </w:rPr>
                    <w:t>废</w:t>
                  </w:r>
                  <w:r>
                    <w:rPr>
                      <w:rFonts w:hint="eastAsia"/>
                      <w:bCs/>
                      <w:color w:val="auto"/>
                      <w:kern w:val="0"/>
                      <w:szCs w:val="21"/>
                      <w:lang w:val="en-US" w:eastAsia="zh-CN"/>
                    </w:rPr>
                    <w:t>布袋</w:t>
                  </w:r>
                </w:p>
              </w:tc>
              <w:tc>
                <w:tcPr>
                  <w:tcW w:w="882" w:type="pct"/>
                  <w:vMerge w:val="continue"/>
                  <w:tcBorders>
                    <w:tl2br w:val="nil"/>
                    <w:tr2bl w:val="nil"/>
                  </w:tcBorders>
                  <w:vAlign w:val="center"/>
                </w:tcPr>
                <w:p w14:paraId="5C1830B9">
                  <w:pPr>
                    <w:widowControl/>
                    <w:adjustRightInd w:val="0"/>
                    <w:snapToGrid w:val="0"/>
                    <w:jc w:val="center"/>
                    <w:textAlignment w:val="center"/>
                    <w:rPr>
                      <w:rFonts w:hint="eastAsia"/>
                      <w:color w:val="auto"/>
                      <w:kern w:val="0"/>
                    </w:rPr>
                  </w:pPr>
                </w:p>
              </w:tc>
              <w:tc>
                <w:tcPr>
                  <w:tcW w:w="540" w:type="pct"/>
                  <w:vMerge w:val="continue"/>
                  <w:tcBorders>
                    <w:tl2br w:val="nil"/>
                    <w:tr2bl w:val="nil"/>
                  </w:tcBorders>
                  <w:vAlign w:val="center"/>
                </w:tcPr>
                <w:p w14:paraId="7060A529">
                  <w:pPr>
                    <w:pStyle w:val="693"/>
                    <w:rPr>
                      <w:rFonts w:eastAsia="宋体"/>
                      <w:b w:val="0"/>
                      <w:bCs/>
                      <w:color w:val="auto"/>
                      <w:kern w:val="0"/>
                    </w:rPr>
                  </w:pPr>
                </w:p>
              </w:tc>
              <w:tc>
                <w:tcPr>
                  <w:tcW w:w="819" w:type="pct"/>
                  <w:tcBorders>
                    <w:tl2br w:val="nil"/>
                    <w:tr2bl w:val="nil"/>
                  </w:tcBorders>
                  <w:shd w:val="clear" w:color="auto" w:fill="auto"/>
                  <w:vAlign w:val="center"/>
                </w:tcPr>
                <w:p w14:paraId="1D300CA3">
                  <w:pPr>
                    <w:jc w:val="center"/>
                    <w:rPr>
                      <w:color w:val="auto"/>
                    </w:rPr>
                  </w:pPr>
                  <w:r>
                    <w:rPr>
                      <w:rFonts w:hint="eastAsia"/>
                      <w:color w:val="auto"/>
                      <w:lang w:val="en-US" w:eastAsia="zh-CN"/>
                    </w:rPr>
                    <w:t>900-041-49</w:t>
                  </w:r>
                </w:p>
              </w:tc>
              <w:tc>
                <w:tcPr>
                  <w:tcW w:w="596" w:type="pct"/>
                  <w:tcBorders>
                    <w:tl2br w:val="nil"/>
                    <w:tr2bl w:val="nil"/>
                  </w:tcBorders>
                  <w:shd w:val="clear" w:color="auto" w:fill="auto"/>
                  <w:vAlign w:val="center"/>
                </w:tcPr>
                <w:p w14:paraId="6117EAC4">
                  <w:pPr>
                    <w:pStyle w:val="5"/>
                    <w:adjustRightInd w:val="0"/>
                    <w:snapToGrid w:val="0"/>
                    <w:ind w:firstLine="0" w:firstLineChars="0"/>
                    <w:jc w:val="center"/>
                    <w:rPr>
                      <w:rFonts w:hint="eastAsia"/>
                      <w:color w:val="auto"/>
                      <w:kern w:val="0"/>
                      <w:szCs w:val="21"/>
                    </w:rPr>
                  </w:pPr>
                  <w:r>
                    <w:rPr>
                      <w:rFonts w:hint="eastAsia"/>
                      <w:color w:val="auto"/>
                      <w:kern w:val="0"/>
                      <w:szCs w:val="21"/>
                      <w:lang w:val="en-US" w:eastAsia="zh-CN"/>
                    </w:rPr>
                    <w:t>0.2</w:t>
                  </w:r>
                </w:p>
              </w:tc>
              <w:tc>
                <w:tcPr>
                  <w:tcW w:w="570" w:type="pct"/>
                  <w:vMerge w:val="continue"/>
                  <w:tcBorders>
                    <w:tl2br w:val="nil"/>
                    <w:tr2bl w:val="nil"/>
                  </w:tcBorders>
                  <w:shd w:val="clear" w:color="auto" w:fill="auto"/>
                  <w:vAlign w:val="center"/>
                </w:tcPr>
                <w:p w14:paraId="38DBE870">
                  <w:pPr>
                    <w:adjustRightInd w:val="0"/>
                    <w:snapToGrid w:val="0"/>
                    <w:jc w:val="center"/>
                    <w:rPr>
                      <w:color w:val="auto"/>
                      <w:kern w:val="0"/>
                    </w:rPr>
                  </w:pPr>
                </w:p>
              </w:tc>
              <w:tc>
                <w:tcPr>
                  <w:tcW w:w="649" w:type="pct"/>
                  <w:vMerge w:val="continue"/>
                  <w:tcBorders>
                    <w:tl2br w:val="nil"/>
                    <w:tr2bl w:val="nil"/>
                  </w:tcBorders>
                  <w:shd w:val="clear" w:color="auto" w:fill="auto"/>
                  <w:vAlign w:val="center"/>
                </w:tcPr>
                <w:p w14:paraId="24685A51">
                  <w:pPr>
                    <w:adjustRightInd w:val="0"/>
                    <w:snapToGrid w:val="0"/>
                    <w:jc w:val="center"/>
                    <w:rPr>
                      <w:bCs/>
                      <w:color w:val="auto"/>
                      <w:kern w:val="0"/>
                    </w:rPr>
                  </w:pPr>
                </w:p>
              </w:tc>
            </w:tr>
            <w:tr w14:paraId="3A8502E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42" w:type="pct"/>
                  <w:tcBorders>
                    <w:tl2br w:val="nil"/>
                    <w:tr2bl w:val="nil"/>
                  </w:tcBorders>
                  <w:vAlign w:val="center"/>
                </w:tcPr>
                <w:p w14:paraId="3A8502E3">
                  <w:pPr>
                    <w:pStyle w:val="5"/>
                    <w:adjustRightInd w:val="0"/>
                    <w:snapToGrid w:val="0"/>
                    <w:ind w:firstLine="0"/>
                    <w:jc w:val="center"/>
                    <w:rPr>
                      <w:bCs/>
                      <w:color w:val="auto"/>
                      <w:kern w:val="0"/>
                      <w:szCs w:val="21"/>
                    </w:rPr>
                  </w:pPr>
                  <w:r>
                    <w:rPr>
                      <w:rFonts w:hint="eastAsia"/>
                      <w:bCs/>
                      <w:color w:val="auto"/>
                      <w:kern w:val="0"/>
                      <w:szCs w:val="21"/>
                    </w:rPr>
                    <w:t>生活垃圾</w:t>
                  </w:r>
                </w:p>
              </w:tc>
              <w:tc>
                <w:tcPr>
                  <w:tcW w:w="882" w:type="pct"/>
                  <w:tcBorders>
                    <w:tl2br w:val="nil"/>
                    <w:tr2bl w:val="nil"/>
                  </w:tcBorders>
                  <w:vAlign w:val="center"/>
                </w:tcPr>
                <w:p w14:paraId="3A8502E4">
                  <w:pPr>
                    <w:widowControl/>
                    <w:adjustRightInd w:val="0"/>
                    <w:snapToGrid w:val="0"/>
                    <w:jc w:val="center"/>
                    <w:textAlignment w:val="center"/>
                    <w:rPr>
                      <w:color w:val="auto"/>
                      <w:kern w:val="0"/>
                    </w:rPr>
                  </w:pPr>
                  <w:r>
                    <w:rPr>
                      <w:rFonts w:hint="eastAsia"/>
                      <w:color w:val="auto"/>
                      <w:kern w:val="0"/>
                    </w:rPr>
                    <w:t>员工生活</w:t>
                  </w:r>
                </w:p>
              </w:tc>
              <w:tc>
                <w:tcPr>
                  <w:tcW w:w="540" w:type="pct"/>
                  <w:tcBorders>
                    <w:tl2br w:val="nil"/>
                    <w:tr2bl w:val="nil"/>
                  </w:tcBorders>
                  <w:vAlign w:val="center"/>
                </w:tcPr>
                <w:p w14:paraId="3A8502E5">
                  <w:pPr>
                    <w:pStyle w:val="693"/>
                    <w:rPr>
                      <w:rFonts w:eastAsia="宋体"/>
                      <w:b w:val="0"/>
                      <w:bCs/>
                      <w:color w:val="auto"/>
                      <w:kern w:val="0"/>
                    </w:rPr>
                  </w:pPr>
                  <w:r>
                    <w:rPr>
                      <w:rFonts w:hint="eastAsia" w:eastAsia="宋体"/>
                      <w:b w:val="0"/>
                      <w:bCs/>
                      <w:color w:val="auto"/>
                      <w:kern w:val="0"/>
                    </w:rPr>
                    <w:t>生活垃圾</w:t>
                  </w:r>
                </w:p>
              </w:tc>
              <w:tc>
                <w:tcPr>
                  <w:tcW w:w="819" w:type="pct"/>
                  <w:tcBorders>
                    <w:tl2br w:val="nil"/>
                    <w:tr2bl w:val="nil"/>
                  </w:tcBorders>
                  <w:vAlign w:val="center"/>
                </w:tcPr>
                <w:p w14:paraId="3A8502E6">
                  <w:pPr>
                    <w:pStyle w:val="55"/>
                    <w:widowControl w:val="0"/>
                    <w:ind w:left="-30" w:right="-30"/>
                    <w:rPr>
                      <w:color w:val="auto"/>
                      <w:sz w:val="21"/>
                      <w:szCs w:val="21"/>
                    </w:rPr>
                  </w:pPr>
                  <w:r>
                    <w:rPr>
                      <w:rFonts w:hint="eastAsia"/>
                      <w:b w:val="0"/>
                      <w:bCs w:val="0"/>
                      <w:color w:val="auto"/>
                      <w:sz w:val="21"/>
                      <w:szCs w:val="21"/>
                    </w:rPr>
                    <w:t>900-099-S64</w:t>
                  </w:r>
                </w:p>
              </w:tc>
              <w:tc>
                <w:tcPr>
                  <w:tcW w:w="596" w:type="pct"/>
                  <w:tcBorders>
                    <w:tl2br w:val="nil"/>
                    <w:tr2bl w:val="nil"/>
                  </w:tcBorders>
                  <w:vAlign w:val="center"/>
                </w:tcPr>
                <w:p w14:paraId="3A8502E7">
                  <w:pPr>
                    <w:pStyle w:val="5"/>
                    <w:adjustRightInd w:val="0"/>
                    <w:snapToGrid w:val="0"/>
                    <w:ind w:firstLine="0" w:firstLineChars="0"/>
                    <w:jc w:val="center"/>
                    <w:rPr>
                      <w:color w:val="auto"/>
                      <w:kern w:val="0"/>
                      <w:szCs w:val="21"/>
                    </w:rPr>
                  </w:pPr>
                  <w:r>
                    <w:rPr>
                      <w:rFonts w:hint="eastAsia"/>
                      <w:color w:val="auto"/>
                      <w:kern w:val="0"/>
                      <w:szCs w:val="21"/>
                      <w:lang w:val="en-US" w:eastAsia="zh-CN"/>
                    </w:rPr>
                    <w:t>11.2</w:t>
                  </w:r>
                </w:p>
              </w:tc>
              <w:tc>
                <w:tcPr>
                  <w:tcW w:w="570" w:type="pct"/>
                  <w:tcBorders>
                    <w:tl2br w:val="nil"/>
                    <w:tr2bl w:val="nil"/>
                  </w:tcBorders>
                  <w:vAlign w:val="center"/>
                </w:tcPr>
                <w:p w14:paraId="3A8502E8">
                  <w:pPr>
                    <w:pStyle w:val="698"/>
                    <w:rPr>
                      <w:rFonts w:eastAsia="宋体"/>
                      <w:color w:val="auto"/>
                      <w:kern w:val="0"/>
                    </w:rPr>
                  </w:pPr>
                  <w:r>
                    <w:rPr>
                      <w:rFonts w:hint="eastAsia" w:eastAsia="宋体"/>
                      <w:color w:val="auto"/>
                      <w:kern w:val="0"/>
                    </w:rPr>
                    <w:t>环卫清运</w:t>
                  </w:r>
                </w:p>
              </w:tc>
              <w:tc>
                <w:tcPr>
                  <w:tcW w:w="649" w:type="pct"/>
                  <w:tcBorders>
                    <w:tl2br w:val="nil"/>
                    <w:tr2bl w:val="nil"/>
                  </w:tcBorders>
                  <w:vAlign w:val="center"/>
                </w:tcPr>
                <w:p w14:paraId="3A8502E9">
                  <w:pPr>
                    <w:pStyle w:val="693"/>
                    <w:rPr>
                      <w:rFonts w:eastAsia="宋体"/>
                      <w:b w:val="0"/>
                      <w:bCs/>
                      <w:color w:val="auto"/>
                      <w:kern w:val="0"/>
                    </w:rPr>
                  </w:pPr>
                  <w:r>
                    <w:rPr>
                      <w:rFonts w:hint="eastAsia" w:eastAsia="宋体"/>
                      <w:b w:val="0"/>
                      <w:bCs/>
                      <w:color w:val="auto"/>
                      <w:kern w:val="0"/>
                    </w:rPr>
                    <w:t>环卫部门</w:t>
                  </w:r>
                </w:p>
              </w:tc>
            </w:tr>
          </w:tbl>
          <w:p w14:paraId="3A8502EB">
            <w:pPr>
              <w:pStyle w:val="697"/>
              <w:adjustRightInd w:val="0"/>
              <w:snapToGrid w:val="0"/>
              <w:spacing w:line="360" w:lineRule="auto"/>
              <w:ind w:firstLine="422"/>
              <w:jc w:val="both"/>
              <w:rPr>
                <w:rFonts w:eastAsia="宋体"/>
                <w:b/>
                <w:bCs/>
                <w:color w:val="auto"/>
                <w:kern w:val="0"/>
                <w:sz w:val="21"/>
                <w:szCs w:val="21"/>
              </w:rPr>
            </w:pPr>
            <w:r>
              <w:rPr>
                <w:rFonts w:eastAsia="宋体"/>
                <w:b/>
                <w:bCs/>
                <w:color w:val="auto"/>
                <w:kern w:val="0"/>
                <w:sz w:val="21"/>
                <w:szCs w:val="21"/>
              </w:rPr>
              <w:t>（</w:t>
            </w:r>
            <w:r>
              <w:rPr>
                <w:rFonts w:hint="eastAsia" w:eastAsia="宋体"/>
                <w:b/>
                <w:bCs/>
                <w:color w:val="auto"/>
                <w:kern w:val="0"/>
                <w:sz w:val="21"/>
                <w:szCs w:val="21"/>
              </w:rPr>
              <w:t>4</w:t>
            </w:r>
            <w:r>
              <w:rPr>
                <w:rFonts w:eastAsia="宋体"/>
                <w:b/>
                <w:bCs/>
                <w:color w:val="auto"/>
                <w:kern w:val="0"/>
                <w:sz w:val="21"/>
                <w:szCs w:val="21"/>
              </w:rPr>
              <w:t>）固体废物防治措施</w:t>
            </w:r>
          </w:p>
          <w:p w14:paraId="3A8502EC">
            <w:pPr>
              <w:adjustRightInd w:val="0"/>
              <w:snapToGrid w:val="0"/>
              <w:spacing w:line="360" w:lineRule="auto"/>
              <w:ind w:firstLine="420" w:firstLineChars="200"/>
              <w:rPr>
                <w:color w:val="auto"/>
                <w:kern w:val="0"/>
              </w:rPr>
            </w:pPr>
            <w:r>
              <w:rPr>
                <w:color w:val="auto"/>
                <w:kern w:val="0"/>
              </w:rPr>
              <w:t>本项目产生的</w:t>
            </w:r>
            <w:r>
              <w:rPr>
                <w:rFonts w:hint="eastAsia"/>
                <w:color w:val="auto"/>
                <w:kern w:val="0"/>
              </w:rPr>
              <w:t>一般固废为</w:t>
            </w:r>
            <w:r>
              <w:rPr>
                <w:rFonts w:hint="eastAsia"/>
                <w:color w:val="auto"/>
                <w:kern w:val="0"/>
                <w:lang w:val="en-US" w:eastAsia="zh-CN"/>
              </w:rPr>
              <w:t>废金属壳</w:t>
            </w:r>
            <w:r>
              <w:rPr>
                <w:rFonts w:hint="eastAsia"/>
                <w:color w:val="auto"/>
                <w:kern w:val="0"/>
              </w:rPr>
              <w:t>，收集后外售处置；</w:t>
            </w:r>
            <w:r>
              <w:rPr>
                <w:color w:val="auto"/>
                <w:kern w:val="0"/>
              </w:rPr>
              <w:t>危险废物</w:t>
            </w:r>
            <w:r>
              <w:rPr>
                <w:rFonts w:hint="eastAsia"/>
                <w:color w:val="auto"/>
                <w:kern w:val="0"/>
              </w:rPr>
              <w:t>为</w:t>
            </w:r>
            <w:r>
              <w:rPr>
                <w:rFonts w:hint="eastAsia"/>
                <w:color w:val="auto"/>
                <w:kern w:val="0"/>
                <w:lang w:val="en-US" w:eastAsia="zh-CN"/>
              </w:rPr>
              <w:t>不合格品（气体发生器）、灰渣、废耐火材料、飞灰、废布袋</w:t>
            </w:r>
            <w:r>
              <w:rPr>
                <w:rFonts w:hint="eastAsia"/>
                <w:color w:val="auto"/>
                <w:kern w:val="0"/>
                <w:lang w:eastAsia="zh-CN"/>
              </w:rPr>
              <w:t>。</w:t>
            </w:r>
            <w:r>
              <w:rPr>
                <w:rFonts w:hint="eastAsia"/>
                <w:color w:val="auto"/>
                <w:kern w:val="0"/>
                <w:lang w:val="en-US" w:eastAsia="zh-CN"/>
              </w:rPr>
              <w:t>不合格品（气体发生器）经自建焚烧炉焚毁，其他危险废物</w:t>
            </w:r>
            <w:r>
              <w:rPr>
                <w:color w:val="auto"/>
                <w:kern w:val="0"/>
              </w:rPr>
              <w:t>收集后委托有资质单位</w:t>
            </w:r>
            <w:r>
              <w:rPr>
                <w:rFonts w:hint="eastAsia"/>
                <w:color w:val="auto"/>
                <w:kern w:val="0"/>
              </w:rPr>
              <w:t>处置；生活垃圾委托环卫部门清运</w:t>
            </w:r>
            <w:r>
              <w:rPr>
                <w:color w:val="auto"/>
                <w:kern w:val="0"/>
              </w:rPr>
              <w:t>。</w:t>
            </w:r>
          </w:p>
          <w:p w14:paraId="3A8502ED">
            <w:pPr>
              <w:adjustRightInd w:val="0"/>
              <w:snapToGrid w:val="0"/>
              <w:spacing w:line="360" w:lineRule="auto"/>
              <w:ind w:firstLine="422" w:firstLineChars="200"/>
              <w:rPr>
                <w:b/>
                <w:bCs/>
                <w:color w:val="auto"/>
                <w:kern w:val="0"/>
              </w:rPr>
            </w:pPr>
            <w:r>
              <w:rPr>
                <w:rFonts w:hint="eastAsia" w:ascii="宋体" w:hAnsi="宋体" w:cs="宋体"/>
                <w:b/>
                <w:bCs/>
                <w:color w:val="auto"/>
                <w:kern w:val="0"/>
              </w:rPr>
              <w:t>①</w:t>
            </w:r>
            <w:r>
              <w:rPr>
                <w:b/>
                <w:bCs/>
                <w:color w:val="auto"/>
                <w:kern w:val="0"/>
              </w:rPr>
              <w:t>危险废物防治措施</w:t>
            </w:r>
          </w:p>
          <w:p w14:paraId="3A8502EE">
            <w:pPr>
              <w:adjustRightInd w:val="0"/>
              <w:snapToGrid w:val="0"/>
              <w:spacing w:line="360" w:lineRule="auto"/>
              <w:ind w:firstLine="422" w:firstLineChars="200"/>
              <w:rPr>
                <w:b/>
                <w:bCs/>
                <w:color w:val="auto"/>
                <w:kern w:val="0"/>
              </w:rPr>
            </w:pPr>
            <w:r>
              <w:rPr>
                <w:rFonts w:hint="eastAsia"/>
                <w:b/>
                <w:bCs/>
                <w:color w:val="auto"/>
                <w:kern w:val="0"/>
              </w:rPr>
              <w:t>1）</w:t>
            </w:r>
            <w:r>
              <w:rPr>
                <w:b/>
                <w:bCs/>
                <w:color w:val="auto"/>
                <w:kern w:val="0"/>
              </w:rPr>
              <w:t>危险废物贮存场所环境影响分析</w:t>
            </w:r>
          </w:p>
          <w:p w14:paraId="3A8502EF">
            <w:pPr>
              <w:autoSpaceDE w:val="0"/>
              <w:autoSpaceDN w:val="0"/>
              <w:adjustRightInd w:val="0"/>
              <w:snapToGrid w:val="0"/>
              <w:spacing w:line="360" w:lineRule="auto"/>
              <w:ind w:firstLine="420" w:firstLineChars="200"/>
              <w:rPr>
                <w:color w:val="auto"/>
                <w:kern w:val="0"/>
              </w:rPr>
            </w:pPr>
            <w:r>
              <w:rPr>
                <w:color w:val="auto"/>
                <w:kern w:val="0"/>
              </w:rPr>
              <w:t>本项目危险废物贮存场所基本情况详见</w:t>
            </w:r>
            <w:r>
              <w:rPr>
                <w:rFonts w:hint="eastAsia"/>
                <w:color w:val="auto"/>
                <w:kern w:val="0"/>
              </w:rPr>
              <w:t>下表</w:t>
            </w:r>
            <w:r>
              <w:rPr>
                <w:color w:val="auto"/>
                <w:kern w:val="0"/>
              </w:rPr>
              <w:t>。</w:t>
            </w:r>
          </w:p>
          <w:p w14:paraId="3A8502F0">
            <w:pPr>
              <w:jc w:val="center"/>
              <w:rPr>
                <w:b/>
                <w:color w:val="auto"/>
                <w:kern w:val="0"/>
              </w:rPr>
            </w:pPr>
            <w:r>
              <w:rPr>
                <w:b/>
                <w:color w:val="auto"/>
                <w:kern w:val="0"/>
              </w:rPr>
              <w:t>表4-</w:t>
            </w:r>
            <w:r>
              <w:rPr>
                <w:rFonts w:hint="eastAsia"/>
                <w:b/>
                <w:color w:val="auto"/>
                <w:kern w:val="0"/>
                <w:lang w:val="en-US" w:eastAsia="zh-CN"/>
              </w:rPr>
              <w:t>20</w:t>
            </w:r>
            <w:r>
              <w:rPr>
                <w:rFonts w:hint="eastAsia"/>
                <w:b/>
                <w:color w:val="auto"/>
                <w:kern w:val="0"/>
              </w:rPr>
              <w:t xml:space="preserve">   </w:t>
            </w:r>
            <w:r>
              <w:rPr>
                <w:b/>
                <w:color w:val="auto"/>
                <w:kern w:val="0"/>
              </w:rPr>
              <w:t>危险废物贮存场所基本情况表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28" w:type="dxa"/>
                <w:bottom w:w="0" w:type="dxa"/>
                <w:right w:w="28" w:type="dxa"/>
              </w:tblCellMar>
            </w:tblPr>
            <w:tblGrid>
              <w:gridCol w:w="1312"/>
              <w:gridCol w:w="614"/>
              <w:gridCol w:w="875"/>
              <w:gridCol w:w="1384"/>
              <w:gridCol w:w="887"/>
              <w:gridCol w:w="1010"/>
              <w:gridCol w:w="1006"/>
              <w:gridCol w:w="797"/>
              <w:gridCol w:w="852"/>
              <w:gridCol w:w="852"/>
            </w:tblGrid>
            <w:tr w14:paraId="3A8502F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tcBorders>
                    <w:tl2br w:val="nil"/>
                    <w:tr2bl w:val="nil"/>
                  </w:tcBorders>
                  <w:vAlign w:val="center"/>
                </w:tcPr>
                <w:p w14:paraId="3A8502F1">
                  <w:pPr>
                    <w:pStyle w:val="696"/>
                    <w:rPr>
                      <w:b/>
                      <w:color w:val="auto"/>
                      <w:kern w:val="0"/>
                    </w:rPr>
                  </w:pPr>
                  <w:r>
                    <w:rPr>
                      <w:b/>
                      <w:color w:val="auto"/>
                      <w:kern w:val="0"/>
                    </w:rPr>
                    <w:t>固体废物名称</w:t>
                  </w:r>
                </w:p>
              </w:tc>
              <w:tc>
                <w:tcPr>
                  <w:tcW w:w="320" w:type="pct"/>
                  <w:tcBorders>
                    <w:tl2br w:val="nil"/>
                    <w:tr2bl w:val="nil"/>
                  </w:tcBorders>
                  <w:vAlign w:val="center"/>
                </w:tcPr>
                <w:p w14:paraId="3A8502F2">
                  <w:pPr>
                    <w:pStyle w:val="696"/>
                    <w:rPr>
                      <w:b/>
                      <w:color w:val="auto"/>
                      <w:kern w:val="0"/>
                    </w:rPr>
                  </w:pPr>
                  <w:r>
                    <w:rPr>
                      <w:b/>
                      <w:color w:val="auto"/>
                      <w:kern w:val="0"/>
                    </w:rPr>
                    <w:t>贮存场所</w:t>
                  </w:r>
                </w:p>
              </w:tc>
              <w:tc>
                <w:tcPr>
                  <w:tcW w:w="456" w:type="pct"/>
                  <w:tcBorders>
                    <w:tl2br w:val="nil"/>
                    <w:tr2bl w:val="nil"/>
                  </w:tcBorders>
                  <w:vAlign w:val="center"/>
                </w:tcPr>
                <w:p w14:paraId="3A8502F3">
                  <w:pPr>
                    <w:pStyle w:val="696"/>
                    <w:rPr>
                      <w:b/>
                      <w:color w:val="auto"/>
                      <w:kern w:val="0"/>
                    </w:rPr>
                  </w:pPr>
                  <w:r>
                    <w:rPr>
                      <w:b/>
                      <w:color w:val="auto"/>
                      <w:kern w:val="0"/>
                    </w:rPr>
                    <w:t>危废类别</w:t>
                  </w:r>
                </w:p>
              </w:tc>
              <w:tc>
                <w:tcPr>
                  <w:tcW w:w="721" w:type="pct"/>
                  <w:tcBorders>
                    <w:tl2br w:val="nil"/>
                    <w:tr2bl w:val="nil"/>
                  </w:tcBorders>
                  <w:vAlign w:val="center"/>
                </w:tcPr>
                <w:p w14:paraId="3A8502F4">
                  <w:pPr>
                    <w:pStyle w:val="696"/>
                    <w:rPr>
                      <w:b/>
                      <w:color w:val="auto"/>
                      <w:kern w:val="0"/>
                    </w:rPr>
                  </w:pPr>
                  <w:r>
                    <w:rPr>
                      <w:b/>
                      <w:color w:val="auto"/>
                      <w:kern w:val="0"/>
                    </w:rPr>
                    <w:t>废物代码</w:t>
                  </w:r>
                </w:p>
              </w:tc>
              <w:tc>
                <w:tcPr>
                  <w:tcW w:w="462" w:type="pct"/>
                  <w:tcBorders>
                    <w:tl2br w:val="nil"/>
                    <w:tr2bl w:val="nil"/>
                  </w:tcBorders>
                  <w:vAlign w:val="center"/>
                </w:tcPr>
                <w:p w14:paraId="3A8502F5">
                  <w:pPr>
                    <w:pStyle w:val="696"/>
                    <w:rPr>
                      <w:b/>
                      <w:color w:val="auto"/>
                      <w:kern w:val="0"/>
                    </w:rPr>
                  </w:pPr>
                  <w:r>
                    <w:rPr>
                      <w:b/>
                      <w:color w:val="auto"/>
                      <w:kern w:val="0"/>
                    </w:rPr>
                    <w:t>产生量（t/a）</w:t>
                  </w:r>
                </w:p>
              </w:tc>
              <w:tc>
                <w:tcPr>
                  <w:tcW w:w="526" w:type="pct"/>
                  <w:tcBorders>
                    <w:tl2br w:val="nil"/>
                    <w:tr2bl w:val="nil"/>
                  </w:tcBorders>
                  <w:vAlign w:val="center"/>
                </w:tcPr>
                <w:p w14:paraId="3A8502F6">
                  <w:pPr>
                    <w:pStyle w:val="696"/>
                    <w:rPr>
                      <w:b/>
                      <w:color w:val="auto"/>
                      <w:kern w:val="0"/>
                    </w:rPr>
                  </w:pPr>
                  <w:r>
                    <w:rPr>
                      <w:rFonts w:hint="eastAsia"/>
                      <w:b/>
                      <w:color w:val="auto"/>
                      <w:kern w:val="0"/>
                    </w:rPr>
                    <w:t>暂存</w:t>
                  </w:r>
                  <w:r>
                    <w:rPr>
                      <w:b/>
                      <w:color w:val="auto"/>
                      <w:kern w:val="0"/>
                    </w:rPr>
                    <w:t>量（t/a）</w:t>
                  </w:r>
                </w:p>
              </w:tc>
              <w:tc>
                <w:tcPr>
                  <w:tcW w:w="524" w:type="pct"/>
                  <w:tcBorders>
                    <w:tl2br w:val="nil"/>
                    <w:tr2bl w:val="nil"/>
                  </w:tcBorders>
                  <w:vAlign w:val="center"/>
                </w:tcPr>
                <w:p w14:paraId="3A8502F7">
                  <w:pPr>
                    <w:pStyle w:val="696"/>
                    <w:rPr>
                      <w:b/>
                      <w:color w:val="auto"/>
                      <w:kern w:val="0"/>
                    </w:rPr>
                  </w:pPr>
                  <w:r>
                    <w:rPr>
                      <w:b/>
                      <w:color w:val="auto"/>
                      <w:kern w:val="0"/>
                    </w:rPr>
                    <w:t>占地面积（m</w:t>
                  </w:r>
                  <w:r>
                    <w:rPr>
                      <w:b/>
                      <w:color w:val="auto"/>
                      <w:kern w:val="0"/>
                      <w:vertAlign w:val="superscript"/>
                    </w:rPr>
                    <w:t>2</w:t>
                  </w:r>
                  <w:r>
                    <w:rPr>
                      <w:b/>
                      <w:color w:val="auto"/>
                      <w:kern w:val="0"/>
                    </w:rPr>
                    <w:t>）</w:t>
                  </w:r>
                </w:p>
              </w:tc>
              <w:tc>
                <w:tcPr>
                  <w:tcW w:w="415" w:type="pct"/>
                  <w:tcBorders>
                    <w:tl2br w:val="nil"/>
                    <w:tr2bl w:val="nil"/>
                  </w:tcBorders>
                  <w:vAlign w:val="center"/>
                </w:tcPr>
                <w:p w14:paraId="3A8502F8">
                  <w:pPr>
                    <w:pStyle w:val="696"/>
                    <w:rPr>
                      <w:b/>
                      <w:color w:val="auto"/>
                      <w:kern w:val="0"/>
                    </w:rPr>
                  </w:pPr>
                  <w:r>
                    <w:rPr>
                      <w:b/>
                      <w:color w:val="auto"/>
                      <w:kern w:val="0"/>
                    </w:rPr>
                    <w:t>贮存方式</w:t>
                  </w:r>
                </w:p>
              </w:tc>
              <w:tc>
                <w:tcPr>
                  <w:tcW w:w="444" w:type="pct"/>
                  <w:tcBorders>
                    <w:tl2br w:val="nil"/>
                    <w:tr2bl w:val="nil"/>
                  </w:tcBorders>
                  <w:vAlign w:val="center"/>
                </w:tcPr>
                <w:p w14:paraId="3A8502F9">
                  <w:pPr>
                    <w:pStyle w:val="696"/>
                    <w:rPr>
                      <w:b/>
                      <w:color w:val="auto"/>
                      <w:kern w:val="0"/>
                    </w:rPr>
                  </w:pPr>
                  <w:r>
                    <w:rPr>
                      <w:b/>
                      <w:color w:val="auto"/>
                      <w:kern w:val="0"/>
                    </w:rPr>
                    <w:t>贮存能力（t）</w:t>
                  </w:r>
                </w:p>
              </w:tc>
              <w:tc>
                <w:tcPr>
                  <w:tcW w:w="444" w:type="pct"/>
                  <w:tcBorders>
                    <w:tl2br w:val="nil"/>
                    <w:tr2bl w:val="nil"/>
                  </w:tcBorders>
                  <w:vAlign w:val="center"/>
                </w:tcPr>
                <w:p w14:paraId="3A8502FA">
                  <w:pPr>
                    <w:pStyle w:val="696"/>
                    <w:rPr>
                      <w:b/>
                      <w:color w:val="auto"/>
                      <w:kern w:val="0"/>
                    </w:rPr>
                  </w:pPr>
                  <w:r>
                    <w:rPr>
                      <w:b/>
                      <w:color w:val="auto"/>
                      <w:kern w:val="0"/>
                    </w:rPr>
                    <w:t>贮存周期</w:t>
                  </w:r>
                </w:p>
              </w:tc>
            </w:tr>
            <w:tr w14:paraId="3A85030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tcBorders>
                    <w:tl2br w:val="nil"/>
                    <w:tr2bl w:val="nil"/>
                  </w:tcBorders>
                  <w:vAlign w:val="center"/>
                </w:tcPr>
                <w:p w14:paraId="3A8502FC">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不合格品</w:t>
                  </w:r>
                </w:p>
              </w:tc>
              <w:tc>
                <w:tcPr>
                  <w:tcW w:w="320" w:type="pct"/>
                  <w:vMerge w:val="restart"/>
                  <w:tcBorders>
                    <w:tl2br w:val="nil"/>
                    <w:tr2bl w:val="nil"/>
                  </w:tcBorders>
                  <w:vAlign w:val="center"/>
                </w:tcPr>
                <w:p w14:paraId="3A8502FD">
                  <w:pPr>
                    <w:pStyle w:val="696"/>
                    <w:rPr>
                      <w:color w:val="auto"/>
                      <w:kern w:val="0"/>
                    </w:rPr>
                  </w:pPr>
                  <w:r>
                    <w:rPr>
                      <w:color w:val="auto"/>
                      <w:kern w:val="0"/>
                    </w:rPr>
                    <w:t>危废</w:t>
                  </w:r>
                  <w:r>
                    <w:rPr>
                      <w:rFonts w:hint="eastAsia"/>
                      <w:color w:val="auto"/>
                      <w:kern w:val="0"/>
                    </w:rPr>
                    <w:t>仓库</w:t>
                  </w:r>
                </w:p>
              </w:tc>
              <w:tc>
                <w:tcPr>
                  <w:tcW w:w="456" w:type="pct"/>
                  <w:tcBorders>
                    <w:tl2br w:val="nil"/>
                    <w:tr2bl w:val="nil"/>
                  </w:tcBorders>
                  <w:vAlign w:val="center"/>
                </w:tcPr>
                <w:p w14:paraId="3A8502FE">
                  <w:pPr>
                    <w:jc w:val="center"/>
                    <w:rPr>
                      <w:color w:val="auto"/>
                      <w:kern w:val="0"/>
                    </w:rPr>
                  </w:pPr>
                  <w:r>
                    <w:rPr>
                      <w:rFonts w:hint="eastAsia"/>
                      <w:color w:val="auto"/>
                      <w:kern w:val="0"/>
                      <w:lang w:val="en-US" w:eastAsia="zh-CN"/>
                    </w:rPr>
                    <w:t>HW49</w:t>
                  </w:r>
                </w:p>
              </w:tc>
              <w:tc>
                <w:tcPr>
                  <w:tcW w:w="721" w:type="pct"/>
                  <w:tcBorders>
                    <w:tl2br w:val="nil"/>
                    <w:tr2bl w:val="nil"/>
                  </w:tcBorders>
                  <w:vAlign w:val="center"/>
                </w:tcPr>
                <w:p w14:paraId="3A8502FF">
                  <w:pPr>
                    <w:jc w:val="center"/>
                    <w:rPr>
                      <w:color w:val="auto"/>
                      <w:kern w:val="0"/>
                    </w:rPr>
                  </w:pPr>
                  <w:r>
                    <w:rPr>
                      <w:rFonts w:hint="eastAsia"/>
                      <w:color w:val="auto"/>
                      <w:kern w:val="0"/>
                      <w:lang w:val="en-US" w:eastAsia="zh-CN"/>
                    </w:rPr>
                    <w:t>900-999-49</w:t>
                  </w:r>
                </w:p>
              </w:tc>
              <w:tc>
                <w:tcPr>
                  <w:tcW w:w="462" w:type="pct"/>
                  <w:tcBorders>
                    <w:tl2br w:val="nil"/>
                    <w:tr2bl w:val="nil"/>
                  </w:tcBorders>
                  <w:vAlign w:val="center"/>
                </w:tcPr>
                <w:p w14:paraId="3A850300">
                  <w:pPr>
                    <w:pStyle w:val="5"/>
                    <w:adjustRightInd w:val="0"/>
                    <w:snapToGrid w:val="0"/>
                    <w:ind w:firstLine="0" w:firstLineChars="0"/>
                    <w:jc w:val="center"/>
                    <w:rPr>
                      <w:rFonts w:hint="default"/>
                      <w:color w:val="auto"/>
                      <w:kern w:val="0"/>
                      <w:szCs w:val="21"/>
                      <w:lang w:val="en-US"/>
                    </w:rPr>
                  </w:pPr>
                  <w:r>
                    <w:rPr>
                      <w:rFonts w:hint="eastAsia"/>
                      <w:color w:val="auto"/>
                      <w:kern w:val="0"/>
                      <w:szCs w:val="21"/>
                      <w:lang w:val="en-US" w:eastAsia="zh-CN"/>
                    </w:rPr>
                    <w:t>80</w:t>
                  </w:r>
                </w:p>
              </w:tc>
              <w:tc>
                <w:tcPr>
                  <w:tcW w:w="526" w:type="pct"/>
                  <w:tcBorders>
                    <w:tl2br w:val="nil"/>
                    <w:tr2bl w:val="nil"/>
                  </w:tcBorders>
                  <w:vAlign w:val="center"/>
                </w:tcPr>
                <w:p w14:paraId="3A850301">
                  <w:pPr>
                    <w:pStyle w:val="5"/>
                    <w:adjustRightInd w:val="0"/>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20</w:t>
                  </w:r>
                </w:p>
              </w:tc>
              <w:tc>
                <w:tcPr>
                  <w:tcW w:w="524" w:type="pct"/>
                  <w:tcBorders>
                    <w:tl2br w:val="nil"/>
                    <w:tr2bl w:val="nil"/>
                  </w:tcBorders>
                  <w:vAlign w:val="center"/>
                </w:tcPr>
                <w:p w14:paraId="3A850302">
                  <w:pPr>
                    <w:pStyle w:val="698"/>
                    <w:adjustRightInd w:val="0"/>
                    <w:snapToGrid w:val="0"/>
                    <w:rPr>
                      <w:rFonts w:hint="default" w:eastAsia="宋体"/>
                      <w:color w:val="auto"/>
                      <w:kern w:val="0"/>
                      <w:lang w:val="en-US" w:eastAsia="zh-CN"/>
                    </w:rPr>
                  </w:pPr>
                  <w:r>
                    <w:rPr>
                      <w:rFonts w:hint="eastAsia" w:eastAsia="宋体"/>
                      <w:color w:val="auto"/>
                      <w:kern w:val="0"/>
                      <w:lang w:val="en-US" w:eastAsia="zh-CN"/>
                    </w:rPr>
                    <w:t>20</w:t>
                  </w:r>
                </w:p>
              </w:tc>
              <w:tc>
                <w:tcPr>
                  <w:tcW w:w="415" w:type="pct"/>
                  <w:tcBorders>
                    <w:tl2br w:val="nil"/>
                    <w:tr2bl w:val="nil"/>
                  </w:tcBorders>
                  <w:vAlign w:val="center"/>
                </w:tcPr>
                <w:p w14:paraId="3A850304">
                  <w:pPr>
                    <w:pStyle w:val="696"/>
                    <w:rPr>
                      <w:color w:val="auto"/>
                    </w:rPr>
                  </w:pPr>
                  <w:r>
                    <w:rPr>
                      <w:rFonts w:hint="eastAsia"/>
                      <w:color w:val="auto"/>
                      <w:kern w:val="0"/>
                    </w:rPr>
                    <w:t>堆放</w:t>
                  </w:r>
                </w:p>
              </w:tc>
              <w:tc>
                <w:tcPr>
                  <w:tcW w:w="444" w:type="pct"/>
                  <w:tcBorders>
                    <w:tl2br w:val="nil"/>
                    <w:tr2bl w:val="nil"/>
                  </w:tcBorders>
                  <w:vAlign w:val="center"/>
                </w:tcPr>
                <w:p w14:paraId="3A850305">
                  <w:pPr>
                    <w:pStyle w:val="698"/>
                    <w:adjustRightInd w:val="0"/>
                    <w:snapToGrid w:val="0"/>
                    <w:rPr>
                      <w:rFonts w:hint="default"/>
                      <w:color w:val="auto"/>
                      <w:kern w:val="0"/>
                      <w:lang w:val="en-US"/>
                    </w:rPr>
                  </w:pPr>
                  <w:r>
                    <w:rPr>
                      <w:rFonts w:hint="eastAsia" w:eastAsia="宋体"/>
                      <w:color w:val="auto"/>
                      <w:kern w:val="0"/>
                      <w:lang w:val="en-US" w:eastAsia="zh-CN"/>
                    </w:rPr>
                    <w:t>20</w:t>
                  </w:r>
                </w:p>
              </w:tc>
              <w:tc>
                <w:tcPr>
                  <w:tcW w:w="444" w:type="pct"/>
                  <w:tcBorders>
                    <w:tl2br w:val="nil"/>
                    <w:tr2bl w:val="nil"/>
                  </w:tcBorders>
                  <w:vAlign w:val="center"/>
                </w:tcPr>
                <w:p w14:paraId="3A850306">
                  <w:pPr>
                    <w:adjustRightInd w:val="0"/>
                    <w:snapToGrid w:val="0"/>
                    <w:jc w:val="center"/>
                    <w:rPr>
                      <w:color w:val="auto"/>
                      <w:kern w:val="0"/>
                    </w:rPr>
                  </w:pPr>
                  <w:r>
                    <w:rPr>
                      <w:rFonts w:hint="eastAsia"/>
                      <w:color w:val="auto"/>
                      <w:kern w:val="0"/>
                    </w:rPr>
                    <w:t>3个月</w:t>
                  </w:r>
                </w:p>
              </w:tc>
            </w:tr>
            <w:tr w14:paraId="3A85031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tcBorders>
                    <w:tl2br w:val="nil"/>
                    <w:tr2bl w:val="nil"/>
                  </w:tcBorders>
                  <w:vAlign w:val="center"/>
                </w:tcPr>
                <w:p w14:paraId="3A850308">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灰渣</w:t>
                  </w:r>
                </w:p>
              </w:tc>
              <w:tc>
                <w:tcPr>
                  <w:tcW w:w="320" w:type="pct"/>
                  <w:vMerge w:val="continue"/>
                  <w:tcBorders>
                    <w:tl2br w:val="nil"/>
                    <w:tr2bl w:val="nil"/>
                  </w:tcBorders>
                  <w:vAlign w:val="center"/>
                </w:tcPr>
                <w:p w14:paraId="3A850309">
                  <w:pPr>
                    <w:pStyle w:val="696"/>
                    <w:rPr>
                      <w:color w:val="auto"/>
                      <w:kern w:val="0"/>
                    </w:rPr>
                  </w:pPr>
                </w:p>
              </w:tc>
              <w:tc>
                <w:tcPr>
                  <w:tcW w:w="456" w:type="pct"/>
                  <w:tcBorders>
                    <w:tl2br w:val="nil"/>
                    <w:tr2bl w:val="nil"/>
                  </w:tcBorders>
                  <w:vAlign w:val="center"/>
                </w:tcPr>
                <w:p w14:paraId="3A85030A">
                  <w:pPr>
                    <w:jc w:val="center"/>
                    <w:rPr>
                      <w:bCs/>
                      <w:color w:val="auto"/>
                      <w:kern w:val="0"/>
                    </w:rPr>
                  </w:pPr>
                  <w:r>
                    <w:rPr>
                      <w:rFonts w:hint="eastAsia"/>
                      <w:color w:val="auto"/>
                      <w:lang w:val="en-US" w:eastAsia="zh-CN"/>
                    </w:rPr>
                    <w:t>HW18</w:t>
                  </w:r>
                </w:p>
              </w:tc>
              <w:tc>
                <w:tcPr>
                  <w:tcW w:w="721" w:type="pct"/>
                  <w:tcBorders>
                    <w:tl2br w:val="nil"/>
                    <w:tr2bl w:val="nil"/>
                  </w:tcBorders>
                  <w:vAlign w:val="center"/>
                </w:tcPr>
                <w:p w14:paraId="3A85030B">
                  <w:pPr>
                    <w:jc w:val="center"/>
                    <w:rPr>
                      <w:bCs/>
                      <w:color w:val="auto"/>
                      <w:kern w:val="0"/>
                    </w:rPr>
                  </w:pPr>
                  <w:r>
                    <w:rPr>
                      <w:rFonts w:hint="eastAsia"/>
                      <w:color w:val="auto"/>
                      <w:lang w:val="en-US" w:eastAsia="zh-CN"/>
                    </w:rPr>
                    <w:t>772-003-18</w:t>
                  </w:r>
                </w:p>
              </w:tc>
              <w:tc>
                <w:tcPr>
                  <w:tcW w:w="462" w:type="pct"/>
                  <w:tcBorders>
                    <w:tl2br w:val="nil"/>
                    <w:tr2bl w:val="nil"/>
                  </w:tcBorders>
                  <w:vAlign w:val="center"/>
                </w:tcPr>
                <w:p w14:paraId="3A85030C">
                  <w:pPr>
                    <w:pStyle w:val="5"/>
                    <w:adjustRightInd w:val="0"/>
                    <w:snapToGrid w:val="0"/>
                    <w:ind w:firstLine="0" w:firstLineChars="0"/>
                    <w:jc w:val="center"/>
                    <w:rPr>
                      <w:rFonts w:hint="default"/>
                      <w:color w:val="auto"/>
                      <w:kern w:val="0"/>
                      <w:szCs w:val="21"/>
                      <w:lang w:val="en-US"/>
                    </w:rPr>
                  </w:pPr>
                  <w:r>
                    <w:rPr>
                      <w:rFonts w:hint="eastAsia"/>
                      <w:color w:val="auto"/>
                      <w:kern w:val="0"/>
                      <w:szCs w:val="21"/>
                      <w:lang w:val="en-US" w:eastAsia="zh-CN"/>
                    </w:rPr>
                    <w:t>1.6</w:t>
                  </w:r>
                </w:p>
              </w:tc>
              <w:tc>
                <w:tcPr>
                  <w:tcW w:w="526" w:type="pct"/>
                  <w:tcBorders>
                    <w:tl2br w:val="nil"/>
                    <w:tr2bl w:val="nil"/>
                  </w:tcBorders>
                  <w:vAlign w:val="center"/>
                </w:tcPr>
                <w:p w14:paraId="3A85030D">
                  <w:pPr>
                    <w:pStyle w:val="5"/>
                    <w:adjustRightInd w:val="0"/>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0.4</w:t>
                  </w:r>
                </w:p>
              </w:tc>
              <w:tc>
                <w:tcPr>
                  <w:tcW w:w="524" w:type="pct"/>
                  <w:tcBorders>
                    <w:tl2br w:val="nil"/>
                    <w:tr2bl w:val="nil"/>
                  </w:tcBorders>
                  <w:vAlign w:val="center"/>
                </w:tcPr>
                <w:p w14:paraId="3A85030E">
                  <w:pPr>
                    <w:pStyle w:val="698"/>
                    <w:adjustRightInd w:val="0"/>
                    <w:snapToGrid w:val="0"/>
                    <w:rPr>
                      <w:rFonts w:hint="eastAsia" w:eastAsia="宋体"/>
                      <w:color w:val="auto"/>
                      <w:kern w:val="0"/>
                      <w:lang w:val="en-US" w:eastAsia="zh-CN"/>
                    </w:rPr>
                  </w:pPr>
                  <w:r>
                    <w:rPr>
                      <w:rFonts w:hint="eastAsia" w:eastAsia="宋体"/>
                      <w:color w:val="auto"/>
                      <w:kern w:val="0"/>
                      <w:lang w:val="en-US" w:eastAsia="zh-CN"/>
                    </w:rPr>
                    <w:t>1</w:t>
                  </w:r>
                </w:p>
              </w:tc>
              <w:tc>
                <w:tcPr>
                  <w:tcW w:w="415" w:type="pct"/>
                  <w:tcBorders>
                    <w:tl2br w:val="nil"/>
                    <w:tr2bl w:val="nil"/>
                  </w:tcBorders>
                  <w:vAlign w:val="center"/>
                </w:tcPr>
                <w:p w14:paraId="3A85030F">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rPr>
                    <w:t>堆放</w:t>
                  </w:r>
                </w:p>
              </w:tc>
              <w:tc>
                <w:tcPr>
                  <w:tcW w:w="444" w:type="pct"/>
                  <w:tcBorders>
                    <w:tl2br w:val="nil"/>
                    <w:tr2bl w:val="nil"/>
                  </w:tcBorders>
                  <w:vAlign w:val="center"/>
                </w:tcPr>
                <w:p w14:paraId="3A850310">
                  <w:pPr>
                    <w:pStyle w:val="698"/>
                    <w:adjustRightInd w:val="0"/>
                    <w:snapToGrid w:val="0"/>
                    <w:rPr>
                      <w:color w:val="auto"/>
                      <w:kern w:val="0"/>
                    </w:rPr>
                  </w:pPr>
                  <w:r>
                    <w:rPr>
                      <w:rFonts w:hint="eastAsia" w:eastAsia="宋体"/>
                      <w:color w:val="auto"/>
                      <w:kern w:val="0"/>
                      <w:lang w:val="en-US" w:eastAsia="zh-CN"/>
                    </w:rPr>
                    <w:t>1</w:t>
                  </w:r>
                </w:p>
              </w:tc>
              <w:tc>
                <w:tcPr>
                  <w:tcW w:w="444" w:type="pct"/>
                  <w:tcBorders>
                    <w:tl2br w:val="nil"/>
                    <w:tr2bl w:val="nil"/>
                  </w:tcBorders>
                  <w:vAlign w:val="center"/>
                </w:tcPr>
                <w:p w14:paraId="3A850311">
                  <w:pPr>
                    <w:adjustRightInd w:val="0"/>
                    <w:snapToGrid w:val="0"/>
                    <w:jc w:val="center"/>
                    <w:rPr>
                      <w:color w:val="auto"/>
                      <w:kern w:val="0"/>
                    </w:rPr>
                  </w:pPr>
                  <w:r>
                    <w:rPr>
                      <w:rFonts w:hint="eastAsia"/>
                      <w:color w:val="auto"/>
                      <w:kern w:val="0"/>
                    </w:rPr>
                    <w:t>3个月</w:t>
                  </w:r>
                </w:p>
              </w:tc>
            </w:tr>
            <w:tr w14:paraId="3A8503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tcBorders>
                    <w:tl2br w:val="nil"/>
                    <w:tr2bl w:val="nil"/>
                  </w:tcBorders>
                  <w:vAlign w:val="center"/>
                </w:tcPr>
                <w:p w14:paraId="3A85031E">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飞灰</w:t>
                  </w:r>
                </w:p>
              </w:tc>
              <w:tc>
                <w:tcPr>
                  <w:tcW w:w="320" w:type="pct"/>
                  <w:vMerge w:val="continue"/>
                  <w:tcBorders>
                    <w:tl2br w:val="nil"/>
                    <w:tr2bl w:val="nil"/>
                  </w:tcBorders>
                  <w:vAlign w:val="center"/>
                </w:tcPr>
                <w:p w14:paraId="3A85031F">
                  <w:pPr>
                    <w:pStyle w:val="696"/>
                    <w:rPr>
                      <w:color w:val="auto"/>
                      <w:kern w:val="0"/>
                    </w:rPr>
                  </w:pPr>
                </w:p>
              </w:tc>
              <w:tc>
                <w:tcPr>
                  <w:tcW w:w="456" w:type="pct"/>
                  <w:tcBorders>
                    <w:tl2br w:val="nil"/>
                    <w:tr2bl w:val="nil"/>
                  </w:tcBorders>
                  <w:shd w:val="clear" w:color="auto" w:fill="auto"/>
                  <w:vAlign w:val="center"/>
                </w:tcPr>
                <w:p w14:paraId="3A850320">
                  <w:pPr>
                    <w:jc w:val="center"/>
                    <w:rPr>
                      <w:color w:val="auto"/>
                    </w:rPr>
                  </w:pPr>
                  <w:r>
                    <w:rPr>
                      <w:rFonts w:hint="eastAsia"/>
                      <w:color w:val="auto"/>
                      <w:lang w:val="en-US" w:eastAsia="zh-CN"/>
                    </w:rPr>
                    <w:t>HW18</w:t>
                  </w:r>
                </w:p>
              </w:tc>
              <w:tc>
                <w:tcPr>
                  <w:tcW w:w="721" w:type="pct"/>
                  <w:tcBorders>
                    <w:tl2br w:val="nil"/>
                    <w:tr2bl w:val="nil"/>
                  </w:tcBorders>
                  <w:shd w:val="clear" w:color="auto" w:fill="auto"/>
                  <w:vAlign w:val="center"/>
                </w:tcPr>
                <w:p w14:paraId="3A850321">
                  <w:pPr>
                    <w:jc w:val="center"/>
                    <w:rPr>
                      <w:color w:val="auto"/>
                    </w:rPr>
                  </w:pPr>
                  <w:r>
                    <w:rPr>
                      <w:rFonts w:hint="eastAsia"/>
                      <w:color w:val="auto"/>
                      <w:lang w:val="en-US" w:eastAsia="zh-CN"/>
                    </w:rPr>
                    <w:t>772-003-18</w:t>
                  </w:r>
                </w:p>
              </w:tc>
              <w:tc>
                <w:tcPr>
                  <w:tcW w:w="462" w:type="pct"/>
                  <w:tcBorders>
                    <w:tl2br w:val="nil"/>
                    <w:tr2bl w:val="nil"/>
                  </w:tcBorders>
                  <w:shd w:val="clear" w:color="auto" w:fill="auto"/>
                  <w:vAlign w:val="center"/>
                </w:tcPr>
                <w:p w14:paraId="3A850322">
                  <w:pPr>
                    <w:pStyle w:val="5"/>
                    <w:adjustRightInd w:val="0"/>
                    <w:snapToGrid w:val="0"/>
                    <w:ind w:firstLine="0" w:firstLineChars="0"/>
                    <w:jc w:val="center"/>
                    <w:rPr>
                      <w:color w:val="auto"/>
                      <w:kern w:val="0"/>
                      <w:szCs w:val="21"/>
                    </w:rPr>
                  </w:pPr>
                  <w:r>
                    <w:rPr>
                      <w:rFonts w:hint="eastAsia"/>
                      <w:color w:val="auto"/>
                      <w:kern w:val="0"/>
                      <w:szCs w:val="21"/>
                      <w:lang w:val="en-US" w:eastAsia="zh-CN"/>
                    </w:rPr>
                    <w:t>1.3</w:t>
                  </w:r>
                </w:p>
              </w:tc>
              <w:tc>
                <w:tcPr>
                  <w:tcW w:w="526" w:type="pct"/>
                  <w:tcBorders>
                    <w:tl2br w:val="nil"/>
                    <w:tr2bl w:val="nil"/>
                  </w:tcBorders>
                  <w:vAlign w:val="center"/>
                </w:tcPr>
                <w:p w14:paraId="3A850323">
                  <w:pPr>
                    <w:pStyle w:val="5"/>
                    <w:adjustRightInd w:val="0"/>
                    <w:snapToGrid w:val="0"/>
                    <w:ind w:firstLine="0" w:firstLineChars="0"/>
                    <w:jc w:val="center"/>
                    <w:rPr>
                      <w:rFonts w:hint="eastAsia" w:eastAsia="宋体"/>
                      <w:color w:val="auto"/>
                      <w:kern w:val="0"/>
                      <w:szCs w:val="21"/>
                      <w:lang w:val="en-US" w:eastAsia="zh-CN"/>
                    </w:rPr>
                  </w:pPr>
                  <w:r>
                    <w:rPr>
                      <w:rFonts w:hint="eastAsia" w:eastAsia="宋体"/>
                      <w:color w:val="auto"/>
                      <w:kern w:val="0"/>
                      <w:szCs w:val="21"/>
                      <w:lang w:val="en-US" w:eastAsia="zh-CN"/>
                    </w:rPr>
                    <w:t>0.325</w:t>
                  </w:r>
                </w:p>
              </w:tc>
              <w:tc>
                <w:tcPr>
                  <w:tcW w:w="524" w:type="pct"/>
                  <w:tcBorders>
                    <w:tl2br w:val="nil"/>
                    <w:tr2bl w:val="nil"/>
                  </w:tcBorders>
                  <w:vAlign w:val="center"/>
                </w:tcPr>
                <w:p w14:paraId="3A850324">
                  <w:pPr>
                    <w:pStyle w:val="698"/>
                    <w:adjustRightInd w:val="0"/>
                    <w:snapToGrid w:val="0"/>
                    <w:rPr>
                      <w:rFonts w:hint="default" w:eastAsia="宋体"/>
                      <w:color w:val="auto"/>
                      <w:kern w:val="0"/>
                      <w:lang w:val="en-US" w:eastAsia="zh-CN"/>
                    </w:rPr>
                  </w:pPr>
                  <w:r>
                    <w:rPr>
                      <w:rFonts w:hint="eastAsia" w:eastAsia="宋体"/>
                      <w:color w:val="auto"/>
                      <w:kern w:val="0"/>
                      <w:lang w:val="en-US" w:eastAsia="zh-CN"/>
                    </w:rPr>
                    <w:t>0.5</w:t>
                  </w:r>
                </w:p>
              </w:tc>
              <w:tc>
                <w:tcPr>
                  <w:tcW w:w="415" w:type="pct"/>
                  <w:tcBorders>
                    <w:tl2br w:val="nil"/>
                    <w:tr2bl w:val="nil"/>
                  </w:tcBorders>
                  <w:vAlign w:val="center"/>
                </w:tcPr>
                <w:p w14:paraId="3A850325">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rPr>
                    <w:t>堆放</w:t>
                  </w:r>
                </w:p>
              </w:tc>
              <w:tc>
                <w:tcPr>
                  <w:tcW w:w="444" w:type="pct"/>
                  <w:tcBorders>
                    <w:tl2br w:val="nil"/>
                    <w:tr2bl w:val="nil"/>
                  </w:tcBorders>
                  <w:vAlign w:val="center"/>
                </w:tcPr>
                <w:p w14:paraId="3A850326">
                  <w:pPr>
                    <w:pStyle w:val="698"/>
                    <w:adjustRightInd w:val="0"/>
                    <w:snapToGrid w:val="0"/>
                    <w:rPr>
                      <w:color w:val="auto"/>
                      <w:kern w:val="0"/>
                    </w:rPr>
                  </w:pPr>
                  <w:r>
                    <w:rPr>
                      <w:rFonts w:hint="eastAsia" w:eastAsia="宋体"/>
                      <w:color w:val="auto"/>
                      <w:kern w:val="0"/>
                      <w:lang w:val="en-US" w:eastAsia="zh-CN"/>
                    </w:rPr>
                    <w:t>0.5</w:t>
                  </w:r>
                </w:p>
              </w:tc>
              <w:tc>
                <w:tcPr>
                  <w:tcW w:w="444" w:type="pct"/>
                  <w:tcBorders>
                    <w:tl2br w:val="nil"/>
                    <w:tr2bl w:val="nil"/>
                  </w:tcBorders>
                  <w:vAlign w:val="center"/>
                </w:tcPr>
                <w:p w14:paraId="3A850327">
                  <w:pPr>
                    <w:adjustRightInd w:val="0"/>
                    <w:snapToGrid w:val="0"/>
                    <w:jc w:val="center"/>
                    <w:rPr>
                      <w:color w:val="auto"/>
                      <w:kern w:val="0"/>
                    </w:rPr>
                  </w:pPr>
                  <w:r>
                    <w:rPr>
                      <w:rFonts w:hint="eastAsia"/>
                      <w:color w:val="auto"/>
                      <w:kern w:val="0"/>
                    </w:rPr>
                    <w:t>3个月</w:t>
                  </w:r>
                </w:p>
              </w:tc>
            </w:tr>
            <w:tr w14:paraId="1256327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tcBorders>
                    <w:tl2br w:val="nil"/>
                    <w:tr2bl w:val="nil"/>
                  </w:tcBorders>
                  <w:vAlign w:val="center"/>
                </w:tcPr>
                <w:p w14:paraId="7D607AE9">
                  <w:pPr>
                    <w:pStyle w:val="5"/>
                    <w:adjustRightInd w:val="0"/>
                    <w:snapToGrid w:val="0"/>
                    <w:ind w:firstLine="0" w:firstLineChars="0"/>
                    <w:jc w:val="center"/>
                    <w:rPr>
                      <w:rFonts w:hint="eastAsia"/>
                      <w:bCs/>
                      <w:color w:val="auto"/>
                      <w:kern w:val="0"/>
                      <w:szCs w:val="21"/>
                    </w:rPr>
                  </w:pPr>
                  <w:r>
                    <w:rPr>
                      <w:rFonts w:hint="eastAsia"/>
                      <w:bCs/>
                      <w:color w:val="auto"/>
                      <w:kern w:val="0"/>
                      <w:szCs w:val="21"/>
                    </w:rPr>
                    <w:t>废</w:t>
                  </w:r>
                  <w:r>
                    <w:rPr>
                      <w:rFonts w:hint="eastAsia"/>
                      <w:bCs/>
                      <w:color w:val="auto"/>
                      <w:kern w:val="0"/>
                      <w:szCs w:val="21"/>
                      <w:lang w:val="en-US" w:eastAsia="zh-CN"/>
                    </w:rPr>
                    <w:t>布袋</w:t>
                  </w:r>
                </w:p>
              </w:tc>
              <w:tc>
                <w:tcPr>
                  <w:tcW w:w="320" w:type="pct"/>
                  <w:vMerge w:val="continue"/>
                  <w:tcBorders>
                    <w:tl2br w:val="nil"/>
                    <w:tr2bl w:val="nil"/>
                  </w:tcBorders>
                  <w:vAlign w:val="center"/>
                </w:tcPr>
                <w:p w14:paraId="4EF96AE7">
                  <w:pPr>
                    <w:pStyle w:val="696"/>
                    <w:rPr>
                      <w:color w:val="auto"/>
                      <w:kern w:val="0"/>
                    </w:rPr>
                  </w:pPr>
                </w:p>
              </w:tc>
              <w:tc>
                <w:tcPr>
                  <w:tcW w:w="456" w:type="pct"/>
                  <w:tcBorders>
                    <w:tl2br w:val="nil"/>
                    <w:tr2bl w:val="nil"/>
                  </w:tcBorders>
                  <w:shd w:val="clear" w:color="auto" w:fill="auto"/>
                  <w:vAlign w:val="center"/>
                </w:tcPr>
                <w:p w14:paraId="42D634E5">
                  <w:pPr>
                    <w:jc w:val="center"/>
                    <w:rPr>
                      <w:rFonts w:hint="eastAsia"/>
                      <w:color w:val="auto"/>
                    </w:rPr>
                  </w:pPr>
                  <w:r>
                    <w:rPr>
                      <w:rFonts w:hint="eastAsia"/>
                      <w:color w:val="auto"/>
                      <w:lang w:val="en-US" w:eastAsia="zh-CN"/>
                    </w:rPr>
                    <w:t>HW49</w:t>
                  </w:r>
                </w:p>
              </w:tc>
              <w:tc>
                <w:tcPr>
                  <w:tcW w:w="721" w:type="pct"/>
                  <w:tcBorders>
                    <w:tl2br w:val="nil"/>
                    <w:tr2bl w:val="nil"/>
                  </w:tcBorders>
                  <w:shd w:val="clear" w:color="auto" w:fill="auto"/>
                  <w:vAlign w:val="center"/>
                </w:tcPr>
                <w:p w14:paraId="61D32C90">
                  <w:pPr>
                    <w:jc w:val="center"/>
                    <w:rPr>
                      <w:color w:val="auto"/>
                    </w:rPr>
                  </w:pPr>
                  <w:r>
                    <w:rPr>
                      <w:rFonts w:hint="eastAsia"/>
                      <w:color w:val="auto"/>
                      <w:lang w:val="en-US" w:eastAsia="zh-CN"/>
                    </w:rPr>
                    <w:t>900-041-49</w:t>
                  </w:r>
                </w:p>
              </w:tc>
              <w:tc>
                <w:tcPr>
                  <w:tcW w:w="462" w:type="pct"/>
                  <w:tcBorders>
                    <w:tl2br w:val="nil"/>
                    <w:tr2bl w:val="nil"/>
                  </w:tcBorders>
                  <w:shd w:val="clear" w:color="auto" w:fill="auto"/>
                  <w:vAlign w:val="center"/>
                </w:tcPr>
                <w:p w14:paraId="255EF055">
                  <w:pPr>
                    <w:pStyle w:val="5"/>
                    <w:adjustRightInd w:val="0"/>
                    <w:snapToGrid w:val="0"/>
                    <w:ind w:firstLine="0" w:firstLineChars="0"/>
                    <w:jc w:val="center"/>
                    <w:rPr>
                      <w:rFonts w:hint="eastAsia"/>
                      <w:color w:val="auto"/>
                      <w:kern w:val="0"/>
                      <w:szCs w:val="21"/>
                    </w:rPr>
                  </w:pPr>
                  <w:r>
                    <w:rPr>
                      <w:rFonts w:hint="eastAsia"/>
                      <w:color w:val="auto"/>
                      <w:kern w:val="0"/>
                      <w:szCs w:val="21"/>
                      <w:lang w:val="en-US" w:eastAsia="zh-CN"/>
                    </w:rPr>
                    <w:t>0.2</w:t>
                  </w:r>
                </w:p>
              </w:tc>
              <w:tc>
                <w:tcPr>
                  <w:tcW w:w="526" w:type="pct"/>
                  <w:tcBorders>
                    <w:tl2br w:val="nil"/>
                    <w:tr2bl w:val="nil"/>
                  </w:tcBorders>
                  <w:vAlign w:val="center"/>
                </w:tcPr>
                <w:p w14:paraId="36D23637">
                  <w:pPr>
                    <w:pStyle w:val="5"/>
                    <w:adjustRightInd w:val="0"/>
                    <w:snapToGrid w:val="0"/>
                    <w:ind w:firstLine="0" w:firstLineChars="0"/>
                    <w:jc w:val="center"/>
                    <w:rPr>
                      <w:rFonts w:hint="eastAsia" w:eastAsia="宋体"/>
                      <w:color w:val="auto"/>
                      <w:kern w:val="0"/>
                      <w:szCs w:val="21"/>
                      <w:lang w:val="en-US" w:eastAsia="zh-CN"/>
                    </w:rPr>
                  </w:pPr>
                  <w:r>
                    <w:rPr>
                      <w:rFonts w:hint="eastAsia" w:eastAsia="宋体"/>
                      <w:color w:val="auto"/>
                      <w:kern w:val="0"/>
                      <w:szCs w:val="21"/>
                      <w:lang w:val="en-US" w:eastAsia="zh-CN"/>
                    </w:rPr>
                    <w:t>0.05</w:t>
                  </w:r>
                </w:p>
              </w:tc>
              <w:tc>
                <w:tcPr>
                  <w:tcW w:w="524" w:type="pct"/>
                  <w:tcBorders>
                    <w:tl2br w:val="nil"/>
                    <w:tr2bl w:val="nil"/>
                  </w:tcBorders>
                  <w:vAlign w:val="center"/>
                </w:tcPr>
                <w:p w14:paraId="3D8CEF98">
                  <w:pPr>
                    <w:pStyle w:val="698"/>
                    <w:adjustRightInd w:val="0"/>
                    <w:snapToGrid w:val="0"/>
                    <w:rPr>
                      <w:rFonts w:hint="default" w:eastAsia="宋体"/>
                      <w:color w:val="auto"/>
                      <w:kern w:val="0"/>
                      <w:lang w:val="en-US" w:eastAsia="zh-CN"/>
                    </w:rPr>
                  </w:pPr>
                  <w:r>
                    <w:rPr>
                      <w:rFonts w:hint="eastAsia" w:eastAsia="宋体"/>
                      <w:color w:val="auto"/>
                      <w:kern w:val="0"/>
                      <w:lang w:val="en-US" w:eastAsia="zh-CN"/>
                    </w:rPr>
                    <w:t>0.1</w:t>
                  </w:r>
                </w:p>
              </w:tc>
              <w:tc>
                <w:tcPr>
                  <w:tcW w:w="415" w:type="pct"/>
                  <w:tcBorders>
                    <w:tl2br w:val="nil"/>
                    <w:tr2bl w:val="nil"/>
                  </w:tcBorders>
                  <w:vAlign w:val="center"/>
                </w:tcPr>
                <w:p w14:paraId="3568650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rPr>
                    <w:t>堆放</w:t>
                  </w:r>
                </w:p>
              </w:tc>
              <w:tc>
                <w:tcPr>
                  <w:tcW w:w="444" w:type="pct"/>
                  <w:tcBorders>
                    <w:tl2br w:val="nil"/>
                    <w:tr2bl w:val="nil"/>
                  </w:tcBorders>
                  <w:vAlign w:val="center"/>
                </w:tcPr>
                <w:p w14:paraId="584EB001">
                  <w:pPr>
                    <w:pStyle w:val="698"/>
                    <w:adjustRightInd w:val="0"/>
                    <w:snapToGrid w:val="0"/>
                    <w:rPr>
                      <w:rFonts w:hint="eastAsia"/>
                      <w:color w:val="auto"/>
                      <w:kern w:val="0"/>
                    </w:rPr>
                  </w:pPr>
                  <w:r>
                    <w:rPr>
                      <w:rFonts w:hint="eastAsia" w:eastAsia="宋体"/>
                      <w:color w:val="auto"/>
                      <w:kern w:val="0"/>
                      <w:lang w:val="en-US" w:eastAsia="zh-CN"/>
                    </w:rPr>
                    <w:t>0.1</w:t>
                  </w:r>
                </w:p>
              </w:tc>
              <w:tc>
                <w:tcPr>
                  <w:tcW w:w="444" w:type="pct"/>
                  <w:tcBorders>
                    <w:tl2br w:val="nil"/>
                    <w:tr2bl w:val="nil"/>
                  </w:tcBorders>
                  <w:vAlign w:val="center"/>
                </w:tcPr>
                <w:p w14:paraId="386B46C9">
                  <w:pPr>
                    <w:adjustRightInd w:val="0"/>
                    <w:snapToGrid w:val="0"/>
                    <w:jc w:val="center"/>
                    <w:rPr>
                      <w:rFonts w:hint="eastAsia"/>
                      <w:color w:val="auto"/>
                      <w:kern w:val="0"/>
                    </w:rPr>
                  </w:pPr>
                  <w:r>
                    <w:rPr>
                      <w:rFonts w:hint="eastAsia"/>
                      <w:color w:val="auto"/>
                      <w:kern w:val="0"/>
                    </w:rPr>
                    <w:t>3个月</w:t>
                  </w:r>
                </w:p>
              </w:tc>
            </w:tr>
          </w:tbl>
          <w:p w14:paraId="3A850329">
            <w:pPr>
              <w:adjustRightInd w:val="0"/>
              <w:snapToGrid w:val="0"/>
              <w:spacing w:line="360" w:lineRule="auto"/>
              <w:ind w:firstLine="420" w:firstLineChars="200"/>
              <w:rPr>
                <w:color w:val="auto"/>
                <w:kern w:val="0"/>
              </w:rPr>
            </w:pPr>
            <w:r>
              <w:rPr>
                <w:color w:val="auto"/>
                <w:kern w:val="0"/>
              </w:rPr>
              <w:t>本项目危险废物委托处理前，贮存于</w:t>
            </w:r>
            <w:r>
              <w:rPr>
                <w:rFonts w:hint="eastAsia"/>
                <w:color w:val="auto"/>
                <w:kern w:val="0"/>
              </w:rPr>
              <w:t>危废仓库</w:t>
            </w:r>
            <w:r>
              <w:rPr>
                <w:color w:val="auto"/>
                <w:kern w:val="0"/>
              </w:rPr>
              <w:t>，</w:t>
            </w:r>
            <w:r>
              <w:rPr>
                <w:rFonts w:hint="eastAsia" w:ascii="Times New Roman" w:hAnsi="Times New Roman" w:cs="Times New Roman"/>
                <w:color w:val="auto"/>
                <w:spacing w:val="0"/>
                <w:kern w:val="0"/>
                <w:position w:val="0"/>
                <w:sz w:val="21"/>
                <w:szCs w:val="21"/>
                <w:highlight w:val="none"/>
                <w:shd w:val="clear" w:color="auto" w:fill="auto"/>
                <w:lang w:val="en-US" w:eastAsia="zh-CN"/>
              </w:rPr>
              <w:t>本项目危废</w:t>
            </w:r>
            <w:r>
              <w:rPr>
                <w:rFonts w:hint="eastAsia" w:cs="Times New Roman"/>
                <w:color w:val="auto"/>
                <w:spacing w:val="0"/>
                <w:kern w:val="0"/>
                <w:position w:val="0"/>
                <w:sz w:val="21"/>
                <w:szCs w:val="21"/>
                <w:highlight w:val="none"/>
                <w:shd w:val="clear" w:color="auto" w:fill="auto"/>
                <w:lang w:val="en-US" w:eastAsia="zh-CN"/>
              </w:rPr>
              <w:t>储存</w:t>
            </w:r>
            <w:r>
              <w:rPr>
                <w:rFonts w:hint="eastAsia" w:ascii="Times New Roman" w:hAnsi="Times New Roman" w:cs="Times New Roman"/>
                <w:color w:val="auto"/>
                <w:spacing w:val="0"/>
                <w:kern w:val="0"/>
                <w:position w:val="0"/>
                <w:sz w:val="21"/>
                <w:szCs w:val="21"/>
                <w:highlight w:val="none"/>
                <w:shd w:val="clear" w:color="auto" w:fill="auto"/>
                <w:lang w:val="en-US" w:eastAsia="zh-CN"/>
              </w:rPr>
              <w:t>依托现有项目危废仓库</w:t>
            </w:r>
            <w:r>
              <w:rPr>
                <w:rFonts w:hint="eastAsia"/>
                <w:color w:val="auto"/>
                <w:kern w:val="0"/>
              </w:rPr>
              <w:t>。本项目危废贮存合计共需暂存面积约为</w:t>
            </w:r>
            <w:r>
              <w:rPr>
                <w:rFonts w:hint="eastAsia"/>
                <w:color w:val="auto"/>
                <w:kern w:val="0"/>
                <w:lang w:val="en-US" w:eastAsia="zh-CN"/>
              </w:rPr>
              <w:t>21.6</w:t>
            </w:r>
            <w:r>
              <w:rPr>
                <w:color w:val="auto"/>
                <w:kern w:val="0"/>
              </w:rPr>
              <w:t>m</w:t>
            </w:r>
            <w:r>
              <w:rPr>
                <w:color w:val="auto"/>
                <w:kern w:val="0"/>
                <w:vertAlign w:val="superscript"/>
              </w:rPr>
              <w:t>2</w:t>
            </w:r>
            <w:r>
              <w:rPr>
                <w:rFonts w:hint="eastAsia"/>
                <w:color w:val="auto"/>
                <w:kern w:val="0"/>
              </w:rPr>
              <w:t>，因此</w:t>
            </w:r>
            <w:r>
              <w:rPr>
                <w:rFonts w:hint="eastAsia"/>
                <w:color w:val="auto"/>
                <w:kern w:val="0"/>
                <w:lang w:val="en-US" w:eastAsia="zh-CN"/>
              </w:rPr>
              <w:t>现有</w:t>
            </w:r>
            <w:r>
              <w:rPr>
                <w:rFonts w:hint="eastAsia"/>
                <w:color w:val="auto"/>
                <w:kern w:val="0"/>
              </w:rPr>
              <w:t>危废仓库可以满足本项目危险废物贮存的要求。</w:t>
            </w:r>
            <w:r>
              <w:rPr>
                <w:color w:val="auto"/>
                <w:kern w:val="0"/>
              </w:rPr>
              <w:t>危废仓库已按《危险废物贮存污染控制标准》（GB18597-2023）</w:t>
            </w:r>
            <w:r>
              <w:rPr>
                <w:rFonts w:hint="eastAsia"/>
                <w:color w:val="auto"/>
                <w:kern w:val="0"/>
              </w:rPr>
              <w:t>、</w:t>
            </w:r>
            <w:r>
              <w:rPr>
                <w:rFonts w:hint="eastAsia"/>
                <w:color w:val="auto"/>
              </w:rPr>
              <w:t>省生态环境厅关于印发《江苏省固体废物全过程环境监管工作意见》的通知（苏环办[2024]16号）</w:t>
            </w:r>
            <w:r>
              <w:rPr>
                <w:color w:val="auto"/>
                <w:kern w:val="0"/>
              </w:rPr>
              <w:t>的要求进行设置</w:t>
            </w:r>
            <w:r>
              <w:rPr>
                <w:rFonts w:hint="eastAsia"/>
                <w:color w:val="auto"/>
                <w:kern w:val="0"/>
              </w:rPr>
              <w:t>。</w:t>
            </w:r>
          </w:p>
          <w:p w14:paraId="3A85032A">
            <w:pPr>
              <w:adjustRightInd w:val="0"/>
              <w:snapToGrid w:val="0"/>
              <w:spacing w:line="360" w:lineRule="auto"/>
              <w:ind w:firstLine="420" w:firstLineChars="200"/>
              <w:rPr>
                <w:color w:val="auto"/>
                <w:kern w:val="0"/>
              </w:rPr>
            </w:pPr>
            <w:r>
              <w:rPr>
                <w:rFonts w:hint="eastAsia"/>
                <w:color w:val="auto"/>
                <w:kern w:val="0"/>
              </w:rPr>
              <w:t>危废仓库</w:t>
            </w:r>
            <w:r>
              <w:rPr>
                <w:color w:val="auto"/>
                <w:kern w:val="0"/>
              </w:rPr>
              <w:t>设置相关危险废物识别的标志，建立危废管理档案、台账，合法、安全、规范处置危废。因此本项目所有固体废物均可实现收集贮存，对环境的影响具有可控性。</w:t>
            </w:r>
          </w:p>
          <w:p w14:paraId="3A85032B">
            <w:pPr>
              <w:adjustRightInd w:val="0"/>
              <w:snapToGrid w:val="0"/>
              <w:spacing w:line="360" w:lineRule="auto"/>
              <w:ind w:firstLine="422" w:firstLineChars="200"/>
              <w:rPr>
                <w:b/>
                <w:bCs/>
                <w:color w:val="auto"/>
                <w:kern w:val="0"/>
              </w:rPr>
            </w:pPr>
            <w:r>
              <w:rPr>
                <w:rFonts w:hint="eastAsia"/>
                <w:b/>
                <w:bCs/>
                <w:color w:val="auto"/>
                <w:kern w:val="0"/>
              </w:rPr>
              <w:t>2）</w:t>
            </w:r>
            <w:r>
              <w:rPr>
                <w:b/>
                <w:bCs/>
                <w:color w:val="auto"/>
                <w:kern w:val="0"/>
              </w:rPr>
              <w:t>危险废物贮存场所设计要求</w:t>
            </w:r>
          </w:p>
          <w:p w14:paraId="3A85032C">
            <w:pPr>
              <w:adjustRightInd w:val="0"/>
              <w:snapToGrid w:val="0"/>
              <w:spacing w:line="360" w:lineRule="auto"/>
              <w:ind w:firstLine="420" w:firstLineChars="200"/>
              <w:rPr>
                <w:color w:val="auto"/>
                <w:kern w:val="0"/>
              </w:rPr>
            </w:pPr>
            <w:r>
              <w:rPr>
                <w:color w:val="auto"/>
                <w:kern w:val="0"/>
              </w:rPr>
              <w:t>根据《</w:t>
            </w:r>
            <w:r>
              <w:rPr>
                <w:rFonts w:hint="eastAsia"/>
                <w:color w:val="auto"/>
                <w:kern w:val="0"/>
              </w:rPr>
              <w:t>危险废物贮存污染控制标准</w:t>
            </w:r>
            <w:r>
              <w:rPr>
                <w:color w:val="auto"/>
                <w:kern w:val="0"/>
              </w:rPr>
              <w:t>》（</w:t>
            </w:r>
            <w:r>
              <w:rPr>
                <w:rFonts w:hint="eastAsia"/>
                <w:color w:val="auto"/>
                <w:kern w:val="0"/>
              </w:rPr>
              <w:t>GB18597-2023</w:t>
            </w:r>
            <w:r>
              <w:rPr>
                <w:color w:val="auto"/>
                <w:kern w:val="0"/>
              </w:rPr>
              <w:t>）</w:t>
            </w:r>
            <w:r>
              <w:rPr>
                <w:rFonts w:hint="eastAsia"/>
                <w:color w:val="auto"/>
                <w:kern w:val="0"/>
                <w:lang w:eastAsia="zh-CN"/>
              </w:rPr>
              <w:t>、</w:t>
            </w:r>
            <w:r>
              <w:rPr>
                <w:rFonts w:hint="eastAsia"/>
                <w:color w:val="FF0000"/>
                <w:sz w:val="21"/>
                <w:szCs w:val="21"/>
                <w:lang w:eastAsia="zh-CN"/>
              </w:rPr>
              <w:t>省生态环境厅关于印发《江苏省固体废物全过程环境监管工作意见》的通知（苏环办[2024]16号）</w:t>
            </w:r>
            <w:r>
              <w:rPr>
                <w:color w:val="auto"/>
                <w:kern w:val="0"/>
              </w:rPr>
              <w:t>，本项目</w:t>
            </w:r>
            <w:r>
              <w:rPr>
                <w:rFonts w:hint="eastAsia"/>
                <w:color w:val="auto"/>
                <w:kern w:val="0"/>
              </w:rPr>
              <w:t>危废仓库已</w:t>
            </w:r>
            <w:r>
              <w:rPr>
                <w:color w:val="auto"/>
                <w:kern w:val="0"/>
              </w:rPr>
              <w:t>做到以下要求：</w:t>
            </w:r>
          </w:p>
          <w:p w14:paraId="3A85032D">
            <w:pPr>
              <w:adjustRightInd w:val="0"/>
              <w:snapToGrid w:val="0"/>
              <w:spacing w:line="360" w:lineRule="auto"/>
              <w:ind w:firstLine="420" w:firstLineChars="200"/>
              <w:rPr>
                <w:color w:val="auto"/>
                <w:kern w:val="0"/>
              </w:rPr>
            </w:pPr>
            <w:r>
              <w:rPr>
                <w:rFonts w:hint="eastAsia"/>
                <w:color w:val="auto"/>
                <w:kern w:val="0"/>
              </w:rPr>
              <w:t>A、</w:t>
            </w:r>
            <w:r>
              <w:rPr>
                <w:color w:val="auto"/>
                <w:kern w:val="0"/>
              </w:rPr>
              <w:t>贮存设施</w:t>
            </w:r>
            <w:r>
              <w:rPr>
                <w:rFonts w:hint="eastAsia"/>
                <w:color w:val="auto"/>
                <w:kern w:val="0"/>
              </w:rPr>
              <w:t>已</w:t>
            </w:r>
            <w:r>
              <w:rPr>
                <w:color w:val="auto"/>
                <w:kern w:val="0"/>
              </w:rPr>
              <w:t>根据危险废物的形态、物理化学性质、包装形式和污染物迁移途径，采取必要的防风、防晒、防雨、防漏、防渗、防腐以及其他环境污染防治措施，不露天堆放危险废物。</w:t>
            </w:r>
          </w:p>
          <w:p w14:paraId="3A85032E">
            <w:pPr>
              <w:adjustRightInd w:val="0"/>
              <w:snapToGrid w:val="0"/>
              <w:spacing w:line="360" w:lineRule="auto"/>
              <w:ind w:firstLine="420" w:firstLineChars="200"/>
              <w:rPr>
                <w:color w:val="auto"/>
                <w:kern w:val="0"/>
              </w:rPr>
            </w:pPr>
            <w:r>
              <w:rPr>
                <w:rFonts w:hint="eastAsia"/>
                <w:color w:val="auto"/>
                <w:kern w:val="0"/>
              </w:rPr>
              <w:t>B、</w:t>
            </w:r>
            <w:r>
              <w:rPr>
                <w:color w:val="auto"/>
                <w:kern w:val="0"/>
              </w:rPr>
              <w:t>贮存设施</w:t>
            </w:r>
            <w:r>
              <w:rPr>
                <w:rFonts w:hint="eastAsia"/>
                <w:color w:val="auto"/>
                <w:kern w:val="0"/>
              </w:rPr>
              <w:t>已</w:t>
            </w:r>
            <w:r>
              <w:rPr>
                <w:color w:val="auto"/>
                <w:kern w:val="0"/>
              </w:rPr>
              <w:t>根据危险废物的类别、数量、形态、物理化学性质和污染防治等要求设置必要的贮存分区，避免不相容的危险废物接触、混合。</w:t>
            </w:r>
          </w:p>
          <w:p w14:paraId="3A85032F">
            <w:pPr>
              <w:adjustRightInd w:val="0"/>
              <w:snapToGrid w:val="0"/>
              <w:spacing w:line="360" w:lineRule="auto"/>
              <w:ind w:firstLine="420" w:firstLineChars="200"/>
              <w:rPr>
                <w:color w:val="auto"/>
                <w:kern w:val="0"/>
              </w:rPr>
            </w:pPr>
            <w:r>
              <w:rPr>
                <w:rFonts w:hint="eastAsia"/>
                <w:color w:val="auto"/>
                <w:kern w:val="0"/>
              </w:rPr>
              <w:t>C、</w:t>
            </w:r>
            <w:r>
              <w:rPr>
                <w:color w:val="auto"/>
                <w:kern w:val="0"/>
              </w:rPr>
              <w:t>贮存设施或贮存分区内地面、墙面裙脚、堵截泄漏的围堰、接触危险废物的隔板和墙体等</w:t>
            </w:r>
            <w:r>
              <w:rPr>
                <w:rFonts w:hint="eastAsia"/>
                <w:color w:val="auto"/>
                <w:kern w:val="0"/>
              </w:rPr>
              <w:t>已</w:t>
            </w:r>
            <w:r>
              <w:rPr>
                <w:color w:val="auto"/>
                <w:kern w:val="0"/>
              </w:rPr>
              <w:t>采用坚固的材料建造，表面无裂缝。</w:t>
            </w:r>
          </w:p>
          <w:p w14:paraId="3A850330">
            <w:pPr>
              <w:adjustRightInd w:val="0"/>
              <w:snapToGrid w:val="0"/>
              <w:spacing w:line="360" w:lineRule="auto"/>
              <w:ind w:firstLine="420" w:firstLineChars="200"/>
              <w:rPr>
                <w:color w:val="auto"/>
                <w:kern w:val="0"/>
              </w:rPr>
            </w:pPr>
            <w:r>
              <w:rPr>
                <w:rFonts w:hint="eastAsia"/>
                <w:color w:val="auto"/>
                <w:kern w:val="0"/>
              </w:rPr>
              <w:t>D、</w:t>
            </w:r>
            <w:r>
              <w:rPr>
                <w:color w:val="auto"/>
                <w:kern w:val="0"/>
              </w:rPr>
              <w:t>贮存设施地面与裙脚</w:t>
            </w:r>
            <w:r>
              <w:rPr>
                <w:rFonts w:hint="eastAsia"/>
                <w:color w:val="auto"/>
                <w:kern w:val="0"/>
              </w:rPr>
              <w:t>已</w:t>
            </w:r>
            <w:r>
              <w:rPr>
                <w:color w:val="auto"/>
                <w:kern w:val="0"/>
              </w:rPr>
              <w:t>采取表面防渗措施；表面防渗材料与所接触的物料或污染物相容，可采用抗渗混凝土、高密度聚乙烯膜、钠基膨润土防水毯或其他防渗性能等效的材料。贮存的危险废物直接接触地面的，</w:t>
            </w:r>
            <w:r>
              <w:rPr>
                <w:rFonts w:hint="eastAsia"/>
                <w:color w:val="auto"/>
                <w:kern w:val="0"/>
              </w:rPr>
              <w:t>已</w:t>
            </w:r>
            <w:r>
              <w:rPr>
                <w:color w:val="auto"/>
                <w:kern w:val="0"/>
              </w:rPr>
              <w:t>进行基础防渗，防渗层为至少1m厚黏土层（渗透系数不大于10</w:t>
            </w:r>
            <w:r>
              <w:rPr>
                <w:color w:val="auto"/>
                <w:kern w:val="0"/>
                <w:vertAlign w:val="superscript"/>
              </w:rPr>
              <w:t>-7</w:t>
            </w:r>
            <w:r>
              <w:rPr>
                <w:color w:val="auto"/>
                <w:kern w:val="0"/>
              </w:rPr>
              <w:t>cm/s），或至少2mm厚高密度聚乙烯膜等人工防渗材料（渗透系数不大于10</w:t>
            </w:r>
            <w:r>
              <w:rPr>
                <w:color w:val="auto"/>
                <w:kern w:val="0"/>
                <w:vertAlign w:val="superscript"/>
              </w:rPr>
              <w:t>-10</w:t>
            </w:r>
            <w:r>
              <w:rPr>
                <w:color w:val="auto"/>
                <w:kern w:val="0"/>
              </w:rPr>
              <w:t>cm/s），或其他防渗性能等效的材料。</w:t>
            </w:r>
          </w:p>
          <w:p w14:paraId="3A850331">
            <w:pPr>
              <w:adjustRightInd w:val="0"/>
              <w:snapToGrid w:val="0"/>
              <w:spacing w:line="360" w:lineRule="auto"/>
              <w:ind w:firstLine="420" w:firstLineChars="200"/>
              <w:rPr>
                <w:color w:val="auto"/>
                <w:kern w:val="0"/>
              </w:rPr>
            </w:pPr>
            <w:r>
              <w:rPr>
                <w:rFonts w:hint="eastAsia"/>
                <w:color w:val="auto"/>
                <w:kern w:val="0"/>
              </w:rPr>
              <w:t>E、</w:t>
            </w:r>
            <w:r>
              <w:rPr>
                <w:color w:val="auto"/>
                <w:kern w:val="0"/>
              </w:rPr>
              <w:t>同一贮存设施宜采用相同的防渗、防腐工艺（包括防渗、防腐结构或材料），防渗、防腐材料</w:t>
            </w:r>
            <w:r>
              <w:rPr>
                <w:rFonts w:hint="eastAsia"/>
                <w:color w:val="auto"/>
                <w:kern w:val="0"/>
              </w:rPr>
              <w:t>已</w:t>
            </w:r>
            <w:r>
              <w:rPr>
                <w:color w:val="auto"/>
                <w:kern w:val="0"/>
              </w:rPr>
              <w:t>覆盖所有可能与废物及其渗滤液、渗漏液等接触的构筑物表面；采用不同防渗、防腐工艺</w:t>
            </w:r>
            <w:r>
              <w:rPr>
                <w:rFonts w:hint="eastAsia"/>
                <w:color w:val="auto"/>
                <w:kern w:val="0"/>
              </w:rPr>
              <w:t>已</w:t>
            </w:r>
            <w:r>
              <w:rPr>
                <w:color w:val="auto"/>
                <w:kern w:val="0"/>
              </w:rPr>
              <w:t>分别建设贮存分区。</w:t>
            </w:r>
          </w:p>
          <w:p w14:paraId="3A850332">
            <w:pPr>
              <w:adjustRightInd w:val="0"/>
              <w:snapToGrid w:val="0"/>
              <w:spacing w:line="360" w:lineRule="auto"/>
              <w:ind w:firstLine="420" w:firstLineChars="200"/>
              <w:rPr>
                <w:color w:val="auto"/>
                <w:kern w:val="0"/>
              </w:rPr>
            </w:pPr>
            <w:r>
              <w:rPr>
                <w:rFonts w:hint="eastAsia"/>
                <w:color w:val="auto"/>
                <w:kern w:val="0"/>
              </w:rPr>
              <w:t>F、</w:t>
            </w:r>
            <w:r>
              <w:rPr>
                <w:color w:val="auto"/>
                <w:kern w:val="0"/>
              </w:rPr>
              <w:t>贮存设施</w:t>
            </w:r>
            <w:r>
              <w:rPr>
                <w:rFonts w:hint="eastAsia"/>
                <w:color w:val="auto"/>
                <w:kern w:val="0"/>
              </w:rPr>
              <w:t>已</w:t>
            </w:r>
            <w:r>
              <w:rPr>
                <w:color w:val="auto"/>
                <w:kern w:val="0"/>
              </w:rPr>
              <w:t>采取技术和管理措施防止无关人员进入。</w:t>
            </w:r>
          </w:p>
          <w:p w14:paraId="3A850333">
            <w:pPr>
              <w:adjustRightInd w:val="0"/>
              <w:snapToGrid w:val="0"/>
              <w:spacing w:line="360" w:lineRule="auto"/>
              <w:ind w:firstLine="420" w:firstLineChars="200"/>
              <w:rPr>
                <w:color w:val="auto"/>
                <w:kern w:val="0"/>
              </w:rPr>
            </w:pPr>
            <w:r>
              <w:rPr>
                <w:rFonts w:hint="eastAsia"/>
                <w:color w:val="auto"/>
                <w:kern w:val="0"/>
              </w:rPr>
              <w:t>G、</w:t>
            </w:r>
            <w:r>
              <w:rPr>
                <w:color w:val="auto"/>
                <w:kern w:val="0"/>
              </w:rPr>
              <w:t>贮存设施或场所、容器和包装物</w:t>
            </w:r>
            <w:r>
              <w:rPr>
                <w:rFonts w:hint="eastAsia"/>
                <w:color w:val="auto"/>
                <w:kern w:val="0"/>
              </w:rPr>
              <w:t>已</w:t>
            </w:r>
            <w:r>
              <w:rPr>
                <w:color w:val="auto"/>
                <w:kern w:val="0"/>
              </w:rPr>
              <w:t>按HJ1276要求设置危险废物贮存设施或场所标志、危险废物贮存分区标志和危险废物标签等危险废物识别标志。</w:t>
            </w:r>
          </w:p>
          <w:p w14:paraId="3A850334">
            <w:pPr>
              <w:adjustRightInd w:val="0"/>
              <w:snapToGrid w:val="0"/>
              <w:spacing w:line="360" w:lineRule="auto"/>
              <w:ind w:firstLine="422" w:firstLineChars="200"/>
              <w:rPr>
                <w:b/>
                <w:bCs/>
                <w:color w:val="auto"/>
                <w:kern w:val="0"/>
              </w:rPr>
            </w:pPr>
            <w:r>
              <w:rPr>
                <w:rFonts w:hint="eastAsia"/>
                <w:b/>
                <w:bCs/>
                <w:color w:val="auto"/>
                <w:kern w:val="0"/>
              </w:rPr>
              <w:t>3）</w:t>
            </w:r>
            <w:r>
              <w:rPr>
                <w:b/>
                <w:bCs/>
                <w:color w:val="auto"/>
                <w:kern w:val="0"/>
              </w:rPr>
              <w:t>危险废物运输过程污染防治措施</w:t>
            </w:r>
          </w:p>
          <w:p w14:paraId="3A850335">
            <w:pPr>
              <w:pStyle w:val="226"/>
              <w:snapToGrid w:val="0"/>
              <w:spacing w:before="0" w:beforeLines="0"/>
              <w:ind w:firstLine="480"/>
              <w:rPr>
                <w:color w:val="auto"/>
                <w:kern w:val="0"/>
                <w:sz w:val="21"/>
              </w:rPr>
            </w:pPr>
            <w:r>
              <w:rPr>
                <w:color w:val="auto"/>
                <w:kern w:val="0"/>
                <w:sz w:val="21"/>
              </w:rPr>
              <w:t>危险废物运输过程中如果发生散落、泄漏，容易腐化设备、产生恶臭，污染运输沿途环境，若下渗或泄漏进入土壤或地下水，将会造成局部土壤和地下水的污染，因此在运输过程中应按照相关规范加强管理。项目需按照</w:t>
            </w:r>
            <w:r>
              <w:rPr>
                <w:rFonts w:hint="eastAsia"/>
                <w:color w:val="auto"/>
                <w:kern w:val="0"/>
                <w:sz w:val="21"/>
              </w:rPr>
              <w:t>省生态环境厅关于印发《江苏省固体废物全过程环境监管工作意见》的通知（苏环办[2024]16号）及《危险废物识别标志设置技术规范》（HJ1276-2022）中</w:t>
            </w:r>
            <w:r>
              <w:rPr>
                <w:color w:val="auto"/>
                <w:kern w:val="0"/>
                <w:sz w:val="21"/>
              </w:rPr>
              <w:t>要求规范设置标志，配备通讯设备、照明设施和消防设施；在出入口、设施内部、危险废物运输车辆通道等关键位置按照危险废物贮存设施视频监控布设要求设置视频监控，并与中控室联网。</w:t>
            </w:r>
          </w:p>
          <w:p w14:paraId="3A850336">
            <w:pPr>
              <w:autoSpaceDE w:val="0"/>
              <w:autoSpaceDN w:val="0"/>
              <w:adjustRightInd w:val="0"/>
              <w:snapToGrid w:val="0"/>
              <w:spacing w:line="360" w:lineRule="auto"/>
              <w:ind w:firstLine="420" w:firstLineChars="200"/>
              <w:rPr>
                <w:color w:val="auto"/>
                <w:kern w:val="0"/>
              </w:rPr>
            </w:pPr>
            <w:r>
              <w:rPr>
                <w:color w:val="auto"/>
                <w:kern w:val="0"/>
              </w:rPr>
              <w:t>危险废物运输必须按照《危险废物收集 贮存 运输技术规范》（HJ2025-2012）的要求并做到以下几点：</w:t>
            </w:r>
          </w:p>
          <w:p w14:paraId="3A850337">
            <w:pPr>
              <w:autoSpaceDE w:val="0"/>
              <w:autoSpaceDN w:val="0"/>
              <w:adjustRightInd w:val="0"/>
              <w:snapToGrid w:val="0"/>
              <w:spacing w:line="360" w:lineRule="auto"/>
              <w:ind w:firstLine="420" w:firstLineChars="200"/>
              <w:rPr>
                <w:color w:val="auto"/>
                <w:kern w:val="0"/>
              </w:rPr>
            </w:pPr>
            <w:r>
              <w:rPr>
                <w:rFonts w:hint="eastAsia"/>
                <w:color w:val="auto"/>
                <w:kern w:val="0"/>
              </w:rPr>
              <w:t>A、</w:t>
            </w:r>
            <w:r>
              <w:rPr>
                <w:color w:val="auto"/>
                <w:kern w:val="0"/>
              </w:rPr>
              <w:t>危险废物运输应由持有危险废物经营许可证的单位按照其许可证的经营范围组织实施，承担危险废物运输的单位应获得交通运输部门颁发的危险货物运输资质。</w:t>
            </w:r>
          </w:p>
          <w:p w14:paraId="3A850338">
            <w:pPr>
              <w:autoSpaceDE w:val="0"/>
              <w:autoSpaceDN w:val="0"/>
              <w:adjustRightInd w:val="0"/>
              <w:snapToGrid w:val="0"/>
              <w:spacing w:line="360" w:lineRule="auto"/>
              <w:ind w:firstLine="420" w:firstLineChars="200"/>
              <w:rPr>
                <w:color w:val="auto"/>
                <w:kern w:val="0"/>
              </w:rPr>
            </w:pPr>
            <w:r>
              <w:rPr>
                <w:rFonts w:hint="eastAsia"/>
                <w:color w:val="auto"/>
                <w:kern w:val="0"/>
              </w:rPr>
              <w:t>B、</w:t>
            </w:r>
            <w:r>
              <w:rPr>
                <w:color w:val="auto"/>
                <w:kern w:val="0"/>
              </w:rPr>
              <w:t>危险废物公路运输应按照《道路危险货物运输管理规定》（交通部令[2015年]第9号）、JT617以及JT618执行。</w:t>
            </w:r>
          </w:p>
          <w:p w14:paraId="3A850339">
            <w:pPr>
              <w:autoSpaceDE w:val="0"/>
              <w:autoSpaceDN w:val="0"/>
              <w:adjustRightInd w:val="0"/>
              <w:snapToGrid w:val="0"/>
              <w:spacing w:line="360" w:lineRule="auto"/>
              <w:ind w:firstLine="420" w:firstLineChars="200"/>
              <w:rPr>
                <w:color w:val="auto"/>
                <w:kern w:val="0"/>
              </w:rPr>
            </w:pPr>
            <w:r>
              <w:rPr>
                <w:rFonts w:hint="eastAsia"/>
                <w:color w:val="auto"/>
                <w:kern w:val="0"/>
              </w:rPr>
              <w:t>C、</w:t>
            </w:r>
            <w:r>
              <w:rPr>
                <w:color w:val="auto"/>
                <w:kern w:val="0"/>
              </w:rPr>
              <w:t>运输单位在承运危险废物时，应在危险废物包装上按照GB18597附录A设置标志。</w:t>
            </w:r>
          </w:p>
          <w:p w14:paraId="3A85033A">
            <w:pPr>
              <w:autoSpaceDE w:val="0"/>
              <w:autoSpaceDN w:val="0"/>
              <w:adjustRightInd w:val="0"/>
              <w:snapToGrid w:val="0"/>
              <w:spacing w:line="360" w:lineRule="auto"/>
              <w:ind w:firstLine="420" w:firstLineChars="200"/>
              <w:rPr>
                <w:color w:val="auto"/>
                <w:kern w:val="0"/>
              </w:rPr>
            </w:pPr>
            <w:r>
              <w:rPr>
                <w:rFonts w:hint="eastAsia"/>
                <w:color w:val="auto"/>
                <w:kern w:val="0"/>
              </w:rPr>
              <w:t>D、</w:t>
            </w:r>
            <w:r>
              <w:rPr>
                <w:color w:val="auto"/>
                <w:kern w:val="0"/>
              </w:rPr>
              <w:t>危险废物公路运输时，运输车辆按GB13392设置车辆标志。铁路运输和水路运输危险废物时应在集装箱外按GB190规定悬挂标志。</w:t>
            </w:r>
          </w:p>
          <w:p w14:paraId="3A85033B">
            <w:pPr>
              <w:autoSpaceDE w:val="0"/>
              <w:autoSpaceDN w:val="0"/>
              <w:adjustRightInd w:val="0"/>
              <w:snapToGrid w:val="0"/>
              <w:spacing w:line="360" w:lineRule="auto"/>
              <w:ind w:firstLine="420" w:firstLineChars="200"/>
              <w:rPr>
                <w:color w:val="auto"/>
                <w:kern w:val="0"/>
              </w:rPr>
            </w:pPr>
            <w:r>
              <w:rPr>
                <w:rFonts w:hint="eastAsia"/>
                <w:color w:val="auto"/>
                <w:kern w:val="0"/>
              </w:rPr>
              <w:t>E、</w:t>
            </w:r>
            <w:r>
              <w:rPr>
                <w:color w:val="auto"/>
                <w:kern w:val="0"/>
              </w:rPr>
              <w:t>危险废物运输时的中转、装卸过程应遵守如下技术要求：装卸区的工作人员应熟悉废物的危险特性，并配备适当的个人防护装备，装卸剧毒废物应配备特殊的防护装备；装卸区应配备必要的消防设备和设施，并设置明显的指示标志；危险废物装卸区应设置隔离设施，液态废物装卸区应设置收集槽和缓冲罐。</w:t>
            </w:r>
          </w:p>
          <w:p w14:paraId="3A85033C">
            <w:pPr>
              <w:adjustRightInd w:val="0"/>
              <w:snapToGrid w:val="0"/>
              <w:spacing w:line="360" w:lineRule="auto"/>
              <w:ind w:firstLine="422" w:firstLineChars="200"/>
              <w:rPr>
                <w:b/>
                <w:bCs/>
                <w:color w:val="auto"/>
                <w:kern w:val="0"/>
              </w:rPr>
            </w:pPr>
            <w:r>
              <w:rPr>
                <w:rFonts w:hint="eastAsia"/>
                <w:b/>
                <w:bCs/>
                <w:color w:val="auto"/>
                <w:kern w:val="0"/>
              </w:rPr>
              <w:t>4）</w:t>
            </w:r>
            <w:r>
              <w:rPr>
                <w:b/>
                <w:bCs/>
                <w:color w:val="auto"/>
                <w:kern w:val="0"/>
              </w:rPr>
              <w:t>危险废物管理要求</w:t>
            </w:r>
          </w:p>
          <w:p w14:paraId="3A85033D">
            <w:pPr>
              <w:adjustRightInd w:val="0"/>
              <w:snapToGrid w:val="0"/>
              <w:spacing w:line="360" w:lineRule="auto"/>
              <w:ind w:firstLine="420" w:firstLineChars="200"/>
              <w:rPr>
                <w:color w:val="auto"/>
                <w:kern w:val="0"/>
              </w:rPr>
            </w:pPr>
            <w:r>
              <w:rPr>
                <w:rFonts w:hint="eastAsia"/>
                <w:color w:val="auto"/>
                <w:kern w:val="0"/>
              </w:rPr>
              <w:t>A、</w:t>
            </w:r>
            <w:r>
              <w:rPr>
                <w:color w:val="auto"/>
                <w:kern w:val="0"/>
              </w:rPr>
              <w:t>危险废物的管理执行《危险废物贮存污染控制标准》（GB18597-</w:t>
            </w:r>
            <w:r>
              <w:rPr>
                <w:rFonts w:hint="eastAsia"/>
                <w:color w:val="auto"/>
                <w:kern w:val="0"/>
              </w:rPr>
              <w:t>2023</w:t>
            </w:r>
            <w:r>
              <w:rPr>
                <w:color w:val="auto"/>
                <w:kern w:val="0"/>
              </w:rPr>
              <w:t>）</w:t>
            </w:r>
            <w:r>
              <w:rPr>
                <w:rFonts w:hint="eastAsia"/>
                <w:color w:val="auto"/>
                <w:kern w:val="0"/>
              </w:rPr>
              <w:t>、省生态环境厅关于印发《江苏省固体废物全过程环境监管工作意见》的通知（苏环办[2024]16号）</w:t>
            </w:r>
            <w:r>
              <w:rPr>
                <w:color w:val="auto"/>
                <w:kern w:val="0"/>
              </w:rPr>
              <w:t>及《省生态环境厅关于印发江苏省危险废物贮存规范化管理专项整治行动方案的通知》（苏环办[2019]149号）中相关规定</w:t>
            </w:r>
            <w:r>
              <w:rPr>
                <w:rFonts w:hint="eastAsia"/>
                <w:color w:val="auto"/>
                <w:kern w:val="0"/>
              </w:rPr>
              <w:t>。</w:t>
            </w:r>
          </w:p>
          <w:p w14:paraId="3A85033E">
            <w:pPr>
              <w:adjustRightInd w:val="0"/>
              <w:snapToGrid w:val="0"/>
              <w:spacing w:line="360" w:lineRule="auto"/>
              <w:ind w:firstLine="420" w:firstLineChars="200"/>
              <w:rPr>
                <w:color w:val="auto"/>
                <w:kern w:val="0"/>
              </w:rPr>
            </w:pPr>
            <w:r>
              <w:rPr>
                <w:rFonts w:hint="eastAsia"/>
                <w:color w:val="auto"/>
                <w:kern w:val="0"/>
              </w:rPr>
              <w:t>B、</w:t>
            </w:r>
            <w:r>
              <w:rPr>
                <w:color w:val="auto"/>
                <w:kern w:val="0"/>
              </w:rPr>
              <w:t>危废的暂存防范措施</w:t>
            </w:r>
            <w:r>
              <w:rPr>
                <w:rFonts w:hint="eastAsia"/>
                <w:color w:val="auto"/>
                <w:kern w:val="0"/>
              </w:rPr>
              <w:t>：</w:t>
            </w:r>
          </w:p>
          <w:p w14:paraId="3A85033F">
            <w:pPr>
              <w:adjustRightInd w:val="0"/>
              <w:snapToGrid w:val="0"/>
              <w:spacing w:line="360" w:lineRule="auto"/>
              <w:ind w:firstLine="420" w:firstLineChars="200"/>
              <w:rPr>
                <w:color w:val="auto"/>
                <w:kern w:val="0"/>
              </w:rPr>
            </w:pPr>
            <w:r>
              <w:rPr>
                <w:color w:val="auto"/>
                <w:kern w:val="0"/>
              </w:rPr>
              <w:t>a、采取室内贮存方式，设置环境保护图形标志和警示标志；</w:t>
            </w:r>
          </w:p>
          <w:p w14:paraId="3A850340">
            <w:pPr>
              <w:adjustRightInd w:val="0"/>
              <w:snapToGrid w:val="0"/>
              <w:spacing w:line="360" w:lineRule="auto"/>
              <w:ind w:firstLine="420" w:firstLineChars="200"/>
              <w:rPr>
                <w:color w:val="auto"/>
                <w:kern w:val="0"/>
              </w:rPr>
            </w:pPr>
            <w:r>
              <w:rPr>
                <w:color w:val="auto"/>
                <w:kern w:val="0"/>
              </w:rPr>
              <w:t>b、按类别放入相应的容器内，不同的危险废物分开存放并设有隔离间隔断；</w:t>
            </w:r>
          </w:p>
          <w:p w14:paraId="3A850341">
            <w:pPr>
              <w:adjustRightInd w:val="0"/>
              <w:snapToGrid w:val="0"/>
              <w:spacing w:line="360" w:lineRule="auto"/>
              <w:ind w:firstLine="420" w:firstLineChars="200"/>
              <w:rPr>
                <w:color w:val="auto"/>
                <w:kern w:val="0"/>
              </w:rPr>
            </w:pPr>
            <w:r>
              <w:rPr>
                <w:color w:val="auto"/>
                <w:kern w:val="0"/>
              </w:rPr>
              <w:t>c、危险废物暂存设施为封闭砖混构筑物，室内四周设置围堰、导流沟，具有防雨、防风、防晒、防渗漏、防腐蚀、防盗措施等。室内地面为水泥地，具有耐腐蚀性，基础设置至少1m厚粘土层（渗透系数≤10</w:t>
            </w:r>
            <w:r>
              <w:rPr>
                <w:color w:val="auto"/>
                <w:kern w:val="0"/>
                <w:vertAlign w:val="superscript"/>
              </w:rPr>
              <w:t>-7</w:t>
            </w:r>
            <w:r>
              <w:rPr>
                <w:color w:val="auto"/>
                <w:kern w:val="0"/>
              </w:rPr>
              <w:t>cm/s），或2mm厚高密度聚乙烯，或至少2mm厚的其他人工材料，渗透系数≤10</w:t>
            </w:r>
            <w:r>
              <w:rPr>
                <w:color w:val="auto"/>
                <w:kern w:val="0"/>
                <w:vertAlign w:val="superscript"/>
              </w:rPr>
              <w:t>-10</w:t>
            </w:r>
            <w:r>
              <w:rPr>
                <w:color w:val="auto"/>
                <w:kern w:val="0"/>
              </w:rPr>
              <w:t>cm/s；</w:t>
            </w:r>
          </w:p>
          <w:p w14:paraId="3A850342">
            <w:pPr>
              <w:adjustRightInd w:val="0"/>
              <w:snapToGrid w:val="0"/>
              <w:spacing w:line="360" w:lineRule="auto"/>
              <w:ind w:firstLine="420" w:firstLineChars="200"/>
              <w:rPr>
                <w:color w:val="auto"/>
                <w:kern w:val="0"/>
              </w:rPr>
            </w:pPr>
            <w:r>
              <w:rPr>
                <w:color w:val="auto"/>
                <w:kern w:val="0"/>
              </w:rPr>
              <w:t>d、建立档案制度，对暂存的废物种类、数量、特性、包装容器类别、存放库位、存入日期、运出日期等详细记录在案并长期保存；</w:t>
            </w:r>
          </w:p>
          <w:p w14:paraId="3A850343">
            <w:pPr>
              <w:adjustRightInd w:val="0"/>
              <w:snapToGrid w:val="0"/>
              <w:spacing w:line="360" w:lineRule="auto"/>
              <w:ind w:firstLine="420" w:firstLineChars="200"/>
              <w:rPr>
                <w:color w:val="auto"/>
                <w:kern w:val="0"/>
              </w:rPr>
            </w:pPr>
            <w:r>
              <w:rPr>
                <w:color w:val="auto"/>
                <w:kern w:val="0"/>
              </w:rPr>
              <w:t>e、建设单位危废进行暂存的时间不得超过一年；</w:t>
            </w:r>
          </w:p>
          <w:p w14:paraId="3A850344">
            <w:pPr>
              <w:adjustRightInd w:val="0"/>
              <w:snapToGrid w:val="0"/>
              <w:spacing w:line="360" w:lineRule="auto"/>
              <w:ind w:firstLine="420" w:firstLineChars="200"/>
              <w:rPr>
                <w:color w:val="auto"/>
                <w:kern w:val="0"/>
              </w:rPr>
            </w:pPr>
            <w:r>
              <w:rPr>
                <w:color w:val="auto"/>
                <w:kern w:val="0"/>
              </w:rPr>
              <w:t>f、建立定期巡查、维护制度。</w:t>
            </w:r>
          </w:p>
          <w:p w14:paraId="3A850345">
            <w:pPr>
              <w:adjustRightInd w:val="0"/>
              <w:snapToGrid w:val="0"/>
              <w:spacing w:line="360" w:lineRule="auto"/>
              <w:ind w:firstLine="422" w:firstLineChars="200"/>
              <w:rPr>
                <w:b/>
                <w:bCs/>
                <w:color w:val="auto"/>
                <w:kern w:val="0"/>
              </w:rPr>
            </w:pPr>
            <w:r>
              <w:rPr>
                <w:rFonts w:hint="eastAsia" w:ascii="宋体" w:hAnsi="宋体" w:cs="宋体"/>
                <w:b/>
                <w:bCs/>
                <w:color w:val="auto"/>
                <w:kern w:val="0"/>
              </w:rPr>
              <w:t>②</w:t>
            </w:r>
            <w:r>
              <w:rPr>
                <w:b/>
                <w:bCs/>
                <w:color w:val="auto"/>
                <w:kern w:val="0"/>
              </w:rPr>
              <w:t>一般固体废物污染防治措施</w:t>
            </w:r>
          </w:p>
          <w:p w14:paraId="3A850346">
            <w:pPr>
              <w:adjustRightInd w:val="0"/>
              <w:snapToGrid w:val="0"/>
              <w:spacing w:line="360" w:lineRule="auto"/>
              <w:ind w:firstLine="420" w:firstLineChars="200"/>
              <w:rPr>
                <w:color w:val="auto"/>
                <w:kern w:val="0"/>
              </w:rPr>
            </w:pPr>
            <w:r>
              <w:rPr>
                <w:rFonts w:hint="eastAsia"/>
                <w:color w:val="auto"/>
                <w:kern w:val="0"/>
              </w:rPr>
              <w:t>1）</w:t>
            </w:r>
            <w:r>
              <w:rPr>
                <w:color w:val="auto"/>
                <w:kern w:val="0"/>
              </w:rPr>
              <w:t>严格执行《一般工业固体废物贮存和填埋污染控制标准》（GB18599-2020）、《环境保护图形标志—固体废物贮存（处置场）》（GB15562.2-1995）等规定要求，对固体废物实行分类收集，选择满足要求的容器进行包装贮存；</w:t>
            </w:r>
          </w:p>
          <w:p w14:paraId="3A850347">
            <w:pPr>
              <w:adjustRightInd w:val="0"/>
              <w:snapToGrid w:val="0"/>
              <w:spacing w:line="360" w:lineRule="auto"/>
              <w:ind w:firstLine="420" w:firstLineChars="200"/>
              <w:rPr>
                <w:color w:val="auto"/>
                <w:kern w:val="0"/>
              </w:rPr>
            </w:pPr>
            <w:r>
              <w:rPr>
                <w:rFonts w:hint="eastAsia"/>
                <w:color w:val="auto"/>
                <w:kern w:val="0"/>
              </w:rPr>
              <w:t>2）</w:t>
            </w:r>
            <w:r>
              <w:rPr>
                <w:color w:val="auto"/>
                <w:kern w:val="0"/>
              </w:rPr>
              <w:t>对固体废物实行从产生、收集、运输、贮存直至最终处理实行全过程管理，按照有关法律、法规的要求，对固体废弃物全过程管理应报当地环保行政主管部门等批准；</w:t>
            </w:r>
          </w:p>
          <w:p w14:paraId="3A850348">
            <w:pPr>
              <w:adjustRightInd w:val="0"/>
              <w:snapToGrid w:val="0"/>
              <w:spacing w:line="360" w:lineRule="auto"/>
              <w:ind w:firstLine="420" w:firstLineChars="200"/>
              <w:rPr>
                <w:color w:val="auto"/>
                <w:kern w:val="0"/>
              </w:rPr>
            </w:pPr>
            <w:r>
              <w:rPr>
                <w:rFonts w:hint="eastAsia"/>
                <w:color w:val="auto"/>
                <w:kern w:val="0"/>
              </w:rPr>
              <w:t>3）</w:t>
            </w:r>
            <w:r>
              <w:rPr>
                <w:color w:val="auto"/>
                <w:kern w:val="0"/>
              </w:rPr>
              <w:t>加强固体废物规范化管理，固体废物分类定点堆放，堆放场所远离办公区和周围环境敏感点</w:t>
            </w:r>
            <w:r>
              <w:rPr>
                <w:rFonts w:hint="eastAsia"/>
                <w:color w:val="auto"/>
                <w:kern w:val="0"/>
              </w:rPr>
              <w:t>；</w:t>
            </w:r>
          </w:p>
          <w:p w14:paraId="3A850349">
            <w:pPr>
              <w:adjustRightInd w:val="0"/>
              <w:snapToGrid w:val="0"/>
              <w:spacing w:line="360" w:lineRule="auto"/>
              <w:ind w:firstLine="420" w:firstLineChars="200"/>
              <w:rPr>
                <w:color w:val="auto"/>
                <w:kern w:val="0"/>
              </w:rPr>
            </w:pPr>
            <w:r>
              <w:rPr>
                <w:rFonts w:hint="eastAsia"/>
                <w:color w:val="auto"/>
                <w:kern w:val="0"/>
              </w:rPr>
              <w:t>4）</w:t>
            </w:r>
            <w:r>
              <w:rPr>
                <w:color w:val="auto"/>
                <w:kern w:val="0"/>
              </w:rPr>
              <w:t>固体废物及时清运，避免产生二次污染；</w:t>
            </w:r>
          </w:p>
          <w:p w14:paraId="3A85034A">
            <w:pPr>
              <w:adjustRightInd w:val="0"/>
              <w:snapToGrid w:val="0"/>
              <w:spacing w:line="360" w:lineRule="auto"/>
              <w:ind w:firstLine="420" w:firstLineChars="200"/>
              <w:rPr>
                <w:color w:val="auto"/>
                <w:kern w:val="0"/>
              </w:rPr>
            </w:pPr>
            <w:r>
              <w:rPr>
                <w:rFonts w:hint="eastAsia"/>
                <w:color w:val="auto"/>
                <w:kern w:val="0"/>
              </w:rPr>
              <w:t>5）</w:t>
            </w:r>
            <w:r>
              <w:rPr>
                <w:color w:val="auto"/>
                <w:kern w:val="0"/>
              </w:rPr>
              <w:t>固体废物运输过程中应做到密闭运输，防治固废的泄漏，减少污染。</w:t>
            </w:r>
          </w:p>
          <w:p w14:paraId="3A85034B">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fldChar w:fldCharType="begin"/>
            </w:r>
            <w:r>
              <w:rPr>
                <w:rFonts w:eastAsia="宋体"/>
                <w:b/>
                <w:bCs/>
                <w:color w:val="auto"/>
                <w:kern w:val="0"/>
                <w:sz w:val="21"/>
                <w:szCs w:val="21"/>
              </w:rPr>
              <w:instrText xml:space="preserve"> = 3 \* GB3 \* MERGEFORMAT </w:instrText>
            </w:r>
            <w:r>
              <w:rPr>
                <w:rFonts w:eastAsia="宋体"/>
                <w:b/>
                <w:bCs/>
                <w:color w:val="auto"/>
                <w:kern w:val="0"/>
                <w:sz w:val="21"/>
                <w:szCs w:val="21"/>
              </w:rPr>
              <w:fldChar w:fldCharType="separate"/>
            </w:r>
            <w:r>
              <w:rPr>
                <w:b/>
                <w:bCs/>
                <w:color w:val="auto"/>
                <w:kern w:val="0"/>
                <w:sz w:val="21"/>
                <w:szCs w:val="21"/>
              </w:rPr>
              <w:t>③</w:t>
            </w:r>
            <w:r>
              <w:rPr>
                <w:rFonts w:eastAsia="宋体"/>
                <w:b/>
                <w:bCs/>
                <w:color w:val="auto"/>
                <w:kern w:val="0"/>
                <w:sz w:val="21"/>
                <w:szCs w:val="21"/>
              </w:rPr>
              <w:fldChar w:fldCharType="end"/>
            </w:r>
            <w:r>
              <w:rPr>
                <w:rFonts w:eastAsia="宋体"/>
                <w:b/>
                <w:bCs/>
                <w:color w:val="auto"/>
                <w:kern w:val="0"/>
                <w:sz w:val="21"/>
                <w:szCs w:val="21"/>
              </w:rPr>
              <w:t>生活垃圾污染防治措施</w:t>
            </w:r>
          </w:p>
          <w:p w14:paraId="3A85034C">
            <w:pPr>
              <w:adjustRightInd w:val="0"/>
              <w:snapToGrid w:val="0"/>
              <w:spacing w:line="360" w:lineRule="auto"/>
              <w:ind w:firstLine="420" w:firstLineChars="200"/>
              <w:rPr>
                <w:color w:val="auto"/>
                <w:kern w:val="0"/>
              </w:rPr>
            </w:pPr>
            <w:r>
              <w:rPr>
                <w:color w:val="auto"/>
                <w:kern w:val="0"/>
              </w:rPr>
              <w:t>厂内设置垃圾桶若干，员工生活垃圾由环卫部门定期清运，可得到有效处置。</w:t>
            </w:r>
          </w:p>
          <w:p w14:paraId="3A85034D">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t>（</w:t>
            </w:r>
            <w:r>
              <w:rPr>
                <w:rFonts w:hint="eastAsia" w:eastAsia="宋体"/>
                <w:b/>
                <w:bCs/>
                <w:color w:val="auto"/>
                <w:kern w:val="0"/>
                <w:sz w:val="21"/>
                <w:szCs w:val="21"/>
              </w:rPr>
              <w:t>5</w:t>
            </w:r>
            <w:r>
              <w:rPr>
                <w:rFonts w:eastAsia="宋体"/>
                <w:b/>
                <w:bCs/>
                <w:color w:val="auto"/>
                <w:kern w:val="0"/>
                <w:sz w:val="21"/>
                <w:szCs w:val="21"/>
              </w:rPr>
              <w:t>）固体废物环境管理要求</w:t>
            </w:r>
          </w:p>
          <w:p w14:paraId="3A85034E">
            <w:pPr>
              <w:adjustRightInd w:val="0"/>
              <w:snapToGrid w:val="0"/>
              <w:spacing w:line="360" w:lineRule="auto"/>
              <w:ind w:firstLine="420" w:firstLineChars="200"/>
              <w:rPr>
                <w:color w:val="auto"/>
                <w:kern w:val="0"/>
              </w:rPr>
            </w:pPr>
            <w:r>
              <w:rPr>
                <w:color w:val="auto"/>
                <w:kern w:val="0"/>
              </w:rPr>
              <w:t>企业为固体废物污染防治的责任主体，企业应建立有关转移管理的相关规定、人员培训考核制度、档案管理制度、全过程管理制度等。</w:t>
            </w:r>
          </w:p>
          <w:p w14:paraId="3A85034F">
            <w:pPr>
              <w:adjustRightInd w:val="0"/>
              <w:snapToGrid w:val="0"/>
              <w:spacing w:line="360" w:lineRule="auto"/>
              <w:ind w:firstLine="420" w:firstLineChars="200"/>
              <w:rPr>
                <w:color w:val="auto"/>
                <w:kern w:val="0"/>
              </w:rPr>
            </w:pPr>
            <w:r>
              <w:rPr>
                <w:color w:val="auto"/>
                <w:kern w:val="0"/>
              </w:rPr>
              <w:t>依据固体废物的种类、产生量及其管理的全过程可能造成的环境影响进行分析：</w:t>
            </w:r>
          </w:p>
          <w:p w14:paraId="3A850350">
            <w:pPr>
              <w:adjustRightInd w:val="0"/>
              <w:snapToGrid w:val="0"/>
              <w:spacing w:line="360" w:lineRule="auto"/>
              <w:ind w:firstLine="420" w:firstLineChars="200"/>
              <w:rPr>
                <w:color w:val="auto"/>
                <w:kern w:val="0"/>
              </w:rPr>
            </w:pPr>
            <w:r>
              <w:rPr>
                <w:rFonts w:hint="eastAsia" w:ascii="宋体" w:hAnsi="宋体" w:cs="宋体"/>
                <w:color w:val="auto"/>
                <w:kern w:val="0"/>
              </w:rPr>
              <w:t>①</w:t>
            </w:r>
            <w:r>
              <w:rPr>
                <w:color w:val="auto"/>
                <w:kern w:val="0"/>
              </w:rPr>
              <w:t>全厂固废分类收集与贮存，不混放，固废相互间不影响。</w:t>
            </w:r>
          </w:p>
          <w:p w14:paraId="3A850351">
            <w:pPr>
              <w:adjustRightInd w:val="0"/>
              <w:snapToGrid w:val="0"/>
              <w:spacing w:line="360" w:lineRule="auto"/>
              <w:ind w:firstLine="420" w:firstLineChars="200"/>
              <w:rPr>
                <w:color w:val="auto"/>
                <w:kern w:val="0"/>
              </w:rPr>
            </w:pPr>
            <w:r>
              <w:rPr>
                <w:rFonts w:hint="eastAsia" w:ascii="宋体" w:hAnsi="宋体" w:cs="宋体"/>
                <w:color w:val="auto"/>
                <w:kern w:val="0"/>
              </w:rPr>
              <w:t>②</w:t>
            </w:r>
            <w:r>
              <w:rPr>
                <w:color w:val="auto"/>
                <w:kern w:val="0"/>
              </w:rPr>
              <w:t>全厂固废运输由专业的运输单位负责，在运输过程中采用封闭运输，运输过程中不易散落和泄漏，对环境影响较小。</w:t>
            </w:r>
          </w:p>
          <w:p w14:paraId="3A850352">
            <w:pPr>
              <w:adjustRightInd w:val="0"/>
              <w:snapToGrid w:val="0"/>
              <w:spacing w:line="360" w:lineRule="auto"/>
              <w:ind w:firstLine="420" w:firstLineChars="200"/>
              <w:rPr>
                <w:color w:val="auto"/>
                <w:kern w:val="0"/>
              </w:rPr>
            </w:pPr>
            <w:r>
              <w:rPr>
                <w:rFonts w:hint="eastAsia" w:ascii="宋体" w:hAnsi="宋体" w:cs="宋体"/>
                <w:color w:val="auto"/>
                <w:kern w:val="0"/>
              </w:rPr>
              <w:t>③</w:t>
            </w:r>
            <w:r>
              <w:rPr>
                <w:color w:val="auto"/>
                <w:kern w:val="0"/>
              </w:rPr>
              <w:t>固废的贮存场所地面采用防渗地面，发生渗漏等事故可能性较小或甚微，对土壤、地下水产生的影响较小。</w:t>
            </w:r>
          </w:p>
          <w:p w14:paraId="3A850353">
            <w:pPr>
              <w:adjustRightInd w:val="0"/>
              <w:snapToGrid w:val="0"/>
              <w:spacing w:line="360" w:lineRule="auto"/>
              <w:ind w:firstLine="420" w:firstLineChars="200"/>
              <w:rPr>
                <w:color w:val="auto"/>
                <w:kern w:val="0"/>
              </w:rPr>
            </w:pPr>
            <w:r>
              <w:rPr>
                <w:rFonts w:hint="eastAsia" w:ascii="宋体" w:hAnsi="宋体" w:cs="宋体"/>
                <w:color w:val="auto"/>
                <w:kern w:val="0"/>
              </w:rPr>
              <w:t>④</w:t>
            </w:r>
            <w:r>
              <w:rPr>
                <w:color w:val="auto"/>
                <w:kern w:val="0"/>
              </w:rPr>
              <w:t>全厂的固废通过外售、环卫清运、委托处置等方式处置或利用，均不在厂内自行建设施处理，对大气、水体、土壤环境基本不产生影响。</w:t>
            </w:r>
          </w:p>
          <w:p w14:paraId="3A850354">
            <w:pPr>
              <w:pStyle w:val="23"/>
              <w:widowControl w:val="0"/>
              <w:ind w:firstLine="420" w:firstLineChars="200"/>
              <w:rPr>
                <w:color w:val="auto"/>
                <w:sz w:val="21"/>
                <w:szCs w:val="21"/>
              </w:rPr>
            </w:pPr>
            <w:r>
              <w:rPr>
                <w:color w:val="auto"/>
                <w:sz w:val="21"/>
                <w:szCs w:val="21"/>
              </w:rPr>
              <w:t>因此，项目所产生的固废均得到合理处置，固废零排放，对周围环境影响较小。</w:t>
            </w:r>
          </w:p>
          <w:p w14:paraId="3A850355">
            <w:pPr>
              <w:pStyle w:val="27"/>
              <w:spacing w:line="360" w:lineRule="auto"/>
              <w:ind w:left="0" w:leftChars="0" w:right="0" w:rightChars="0" w:firstLine="0" w:firstLineChars="0"/>
              <w:rPr>
                <w:b/>
                <w:bCs/>
                <w:color w:val="auto"/>
                <w:kern w:val="0"/>
                <w:sz w:val="21"/>
              </w:rPr>
            </w:pPr>
            <w:r>
              <w:rPr>
                <w:rFonts w:hint="eastAsia"/>
                <w:b/>
                <w:bCs/>
                <w:color w:val="auto"/>
                <w:kern w:val="0"/>
                <w:sz w:val="21"/>
              </w:rPr>
              <w:t>5、</w:t>
            </w:r>
            <w:r>
              <w:rPr>
                <w:b/>
                <w:bCs/>
                <w:color w:val="auto"/>
                <w:kern w:val="0"/>
                <w:sz w:val="21"/>
              </w:rPr>
              <w:t>土壤和地下水环境影响分析</w:t>
            </w:r>
          </w:p>
          <w:p w14:paraId="3A850356">
            <w:pPr>
              <w:pStyle w:val="27"/>
              <w:spacing w:line="360" w:lineRule="auto"/>
              <w:ind w:left="0" w:leftChars="0" w:right="0" w:rightChars="0" w:firstLine="422"/>
              <w:rPr>
                <w:color w:val="auto"/>
                <w:kern w:val="0"/>
                <w:sz w:val="21"/>
              </w:rPr>
            </w:pPr>
            <w:r>
              <w:rPr>
                <w:rFonts w:hint="eastAsia"/>
                <w:b/>
                <w:bCs/>
                <w:color w:val="auto"/>
                <w:kern w:val="0"/>
                <w:sz w:val="21"/>
              </w:rPr>
              <w:t>（1）影响途径</w:t>
            </w:r>
          </w:p>
          <w:p w14:paraId="3A850357">
            <w:pPr>
              <w:adjustRightInd w:val="0"/>
              <w:snapToGrid w:val="0"/>
              <w:spacing w:line="360" w:lineRule="auto"/>
              <w:ind w:firstLine="420" w:firstLineChars="200"/>
              <w:jc w:val="left"/>
              <w:rPr>
                <w:bCs/>
                <w:color w:val="auto"/>
                <w:kern w:val="0"/>
              </w:rPr>
            </w:pPr>
            <w:r>
              <w:rPr>
                <w:color w:val="auto"/>
                <w:kern w:val="0"/>
              </w:rPr>
              <w:t>本项目可能造成地下水和土壤污染影响的区域有：</w:t>
            </w:r>
            <w:r>
              <w:rPr>
                <w:rFonts w:hint="eastAsia"/>
                <w:color w:val="auto"/>
                <w:kern w:val="0"/>
              </w:rPr>
              <w:t>仓库、危废仓库</w:t>
            </w:r>
            <w:r>
              <w:rPr>
                <w:color w:val="auto"/>
                <w:kern w:val="0"/>
              </w:rPr>
              <w:t>。可能的污染途径为：</w:t>
            </w:r>
            <w:r>
              <w:rPr>
                <w:rFonts w:hint="eastAsia"/>
                <w:color w:val="auto"/>
                <w:kern w:val="0"/>
              </w:rPr>
              <w:t>危险品和液态危险废物</w:t>
            </w:r>
            <w:r>
              <w:rPr>
                <w:color w:val="auto"/>
                <w:kern w:val="0"/>
              </w:rPr>
              <w:t>在装卸、贮存、使用、输送过程中发生倾覆或者包装容器破损，由此导致危险物质发生泄漏，泄漏后渗入到泄漏区附近的土壤和地下水中，从而发生污染事故。</w:t>
            </w:r>
            <w:r>
              <w:rPr>
                <w:bCs/>
                <w:color w:val="auto"/>
                <w:kern w:val="0"/>
              </w:rPr>
              <w:t>若不加强本项目</w:t>
            </w:r>
            <w:r>
              <w:rPr>
                <w:rFonts w:hint="eastAsia"/>
                <w:bCs/>
                <w:color w:val="auto"/>
                <w:kern w:val="0"/>
              </w:rPr>
              <w:t>仓库、危废仓库等</w:t>
            </w:r>
            <w:r>
              <w:rPr>
                <w:bCs/>
                <w:color w:val="auto"/>
                <w:kern w:val="0"/>
              </w:rPr>
              <w:t>区域的防渗处理和及时处置，存在污染土壤、地下水的可能。</w:t>
            </w:r>
          </w:p>
          <w:p w14:paraId="3A850358">
            <w:pPr>
              <w:pStyle w:val="27"/>
              <w:spacing w:line="360" w:lineRule="auto"/>
              <w:ind w:left="0" w:leftChars="0" w:right="0" w:rightChars="0" w:firstLine="422"/>
              <w:rPr>
                <w:b/>
                <w:bCs/>
                <w:color w:val="auto"/>
                <w:kern w:val="0"/>
                <w:sz w:val="21"/>
              </w:rPr>
            </w:pPr>
            <w:r>
              <w:rPr>
                <w:rFonts w:hint="eastAsia"/>
                <w:b/>
                <w:bCs/>
                <w:color w:val="auto"/>
                <w:kern w:val="0"/>
                <w:sz w:val="21"/>
              </w:rPr>
              <w:t>（</w:t>
            </w:r>
            <w:r>
              <w:rPr>
                <w:b/>
                <w:bCs/>
                <w:color w:val="auto"/>
                <w:kern w:val="0"/>
                <w:sz w:val="21"/>
              </w:rPr>
              <w:t>2）防渗</w:t>
            </w:r>
            <w:r>
              <w:rPr>
                <w:rFonts w:hint="eastAsia"/>
                <w:b/>
                <w:bCs/>
                <w:color w:val="auto"/>
                <w:kern w:val="0"/>
                <w:sz w:val="21"/>
              </w:rPr>
              <w:t>要求</w:t>
            </w:r>
          </w:p>
          <w:p w14:paraId="3A850359">
            <w:pPr>
              <w:adjustRightInd w:val="0"/>
              <w:snapToGrid w:val="0"/>
              <w:spacing w:line="360" w:lineRule="auto"/>
              <w:ind w:firstLine="420" w:firstLineChars="200"/>
              <w:jc w:val="left"/>
              <w:rPr>
                <w:bCs/>
                <w:color w:val="auto"/>
                <w:kern w:val="0"/>
              </w:rPr>
            </w:pPr>
            <w:r>
              <w:rPr>
                <w:bCs/>
                <w:color w:val="auto"/>
                <w:kern w:val="0"/>
              </w:rPr>
              <w:t>针对本项目可能发生的土壤和地下水污染，土壤及地下水污染防治措施按照</w:t>
            </w:r>
            <w:r>
              <w:rPr>
                <w:rFonts w:hint="eastAsia"/>
                <w:bCs/>
                <w:color w:val="auto"/>
                <w:kern w:val="0"/>
              </w:rPr>
              <w:t>“</w:t>
            </w:r>
            <w:r>
              <w:rPr>
                <w:bCs/>
                <w:color w:val="auto"/>
                <w:kern w:val="0"/>
              </w:rPr>
              <w:t>源头控制、末端防治、分区管理和控制</w:t>
            </w:r>
            <w:r>
              <w:rPr>
                <w:rFonts w:hint="eastAsia"/>
                <w:bCs/>
                <w:color w:val="auto"/>
                <w:kern w:val="0"/>
              </w:rPr>
              <w:t>”</w:t>
            </w:r>
            <w:r>
              <w:rPr>
                <w:bCs/>
                <w:color w:val="auto"/>
                <w:kern w:val="0"/>
              </w:rPr>
              <w:t>相结合的原则，</w:t>
            </w:r>
            <w:r>
              <w:rPr>
                <w:color w:val="auto"/>
                <w:kern w:val="0"/>
              </w:rPr>
              <w:t>建设单位</w:t>
            </w:r>
            <w:r>
              <w:rPr>
                <w:rFonts w:hint="eastAsia"/>
                <w:bCs/>
                <w:color w:val="auto"/>
                <w:kern w:val="0"/>
              </w:rPr>
              <w:t>仓库、危废仓库</w:t>
            </w:r>
            <w:r>
              <w:rPr>
                <w:bCs/>
                <w:color w:val="auto"/>
                <w:kern w:val="0"/>
              </w:rPr>
              <w:t>等处均需要进行防腐、防渗设计。为减少对土壤及地下水的影响，本项目应从污染物的产生、入渗、扩散、应急响应全阶段进行控制。</w:t>
            </w:r>
          </w:p>
          <w:p w14:paraId="3A85035A">
            <w:pPr>
              <w:adjustRightInd w:val="0"/>
              <w:snapToGrid w:val="0"/>
              <w:spacing w:line="360" w:lineRule="auto"/>
              <w:ind w:firstLine="420" w:firstLineChars="200"/>
              <w:jc w:val="left"/>
              <w:rPr>
                <w:bCs/>
                <w:color w:val="auto"/>
                <w:kern w:val="0"/>
              </w:rPr>
            </w:pPr>
            <w:r>
              <w:rPr>
                <w:rFonts w:hint="eastAsia"/>
                <w:bCs/>
                <w:color w:val="auto"/>
                <w:kern w:val="0"/>
              </w:rPr>
              <w:t>①</w:t>
            </w:r>
            <w:r>
              <w:rPr>
                <w:bCs/>
                <w:color w:val="auto"/>
                <w:kern w:val="0"/>
              </w:rPr>
              <w:t>源头控制</w:t>
            </w:r>
            <w:r>
              <w:rPr>
                <w:rFonts w:hint="eastAsia"/>
                <w:bCs/>
                <w:color w:val="auto"/>
                <w:kern w:val="0"/>
              </w:rPr>
              <w:t>措施</w:t>
            </w:r>
          </w:p>
          <w:p w14:paraId="3A85035B">
            <w:pPr>
              <w:adjustRightInd w:val="0"/>
              <w:snapToGrid w:val="0"/>
              <w:spacing w:line="360" w:lineRule="auto"/>
              <w:ind w:firstLine="420" w:firstLineChars="200"/>
              <w:jc w:val="left"/>
              <w:rPr>
                <w:bCs/>
                <w:color w:val="auto"/>
                <w:kern w:val="0"/>
              </w:rPr>
            </w:pPr>
            <w:r>
              <w:rPr>
                <w:bCs/>
                <w:color w:val="auto"/>
                <w:kern w:val="0"/>
              </w:rPr>
              <w:t>源头控制主要包括在工艺、管理、设备、污水储存及处理构筑物采取相应措施，防止和降低污染物跑、冒、滴、漏，将污染物泄漏的环境风险事故降到最低程度。</w:t>
            </w:r>
          </w:p>
          <w:p w14:paraId="3A85035C">
            <w:pPr>
              <w:adjustRightInd w:val="0"/>
              <w:snapToGrid w:val="0"/>
              <w:spacing w:line="360" w:lineRule="auto"/>
              <w:ind w:firstLine="420" w:firstLineChars="200"/>
              <w:jc w:val="left"/>
              <w:rPr>
                <w:bCs/>
                <w:color w:val="auto"/>
                <w:kern w:val="0"/>
              </w:rPr>
            </w:pPr>
            <w:r>
              <w:rPr>
                <w:rFonts w:hint="eastAsia"/>
                <w:bCs/>
                <w:color w:val="auto"/>
                <w:kern w:val="0"/>
              </w:rPr>
              <w:t>②</w:t>
            </w:r>
            <w:r>
              <w:rPr>
                <w:bCs/>
                <w:color w:val="auto"/>
                <w:kern w:val="0"/>
              </w:rPr>
              <w:t>末端控制措施</w:t>
            </w:r>
          </w:p>
          <w:p w14:paraId="3A85035D">
            <w:pPr>
              <w:adjustRightInd w:val="0"/>
              <w:snapToGrid w:val="0"/>
              <w:spacing w:line="360" w:lineRule="auto"/>
              <w:ind w:firstLine="420" w:firstLineChars="200"/>
              <w:jc w:val="left"/>
              <w:rPr>
                <w:bCs/>
                <w:color w:val="auto"/>
                <w:kern w:val="0"/>
              </w:rPr>
            </w:pPr>
            <w:r>
              <w:rPr>
                <w:bCs/>
                <w:color w:val="auto"/>
                <w:kern w:val="0"/>
              </w:rPr>
              <w:t>末端控制措施主要包括厂内污染区地面的防渗措施和泄漏、渗漏污染物收集措施，即在污染区地面进行防渗处理，防止洒落地面的污染物渗入地下。</w:t>
            </w:r>
          </w:p>
          <w:p w14:paraId="3A85035E">
            <w:pPr>
              <w:adjustRightInd w:val="0"/>
              <w:snapToGrid w:val="0"/>
              <w:spacing w:line="360" w:lineRule="auto"/>
              <w:ind w:firstLine="420" w:firstLineChars="200"/>
              <w:jc w:val="left"/>
              <w:rPr>
                <w:bCs/>
                <w:color w:val="auto"/>
                <w:kern w:val="0"/>
              </w:rPr>
            </w:pPr>
            <w:r>
              <w:rPr>
                <w:rFonts w:hint="eastAsia"/>
                <w:bCs/>
                <w:color w:val="auto"/>
                <w:kern w:val="0"/>
              </w:rPr>
              <w:t>③</w:t>
            </w:r>
            <w:r>
              <w:rPr>
                <w:bCs/>
                <w:color w:val="auto"/>
                <w:kern w:val="0"/>
              </w:rPr>
              <w:t>分区管理和控制</w:t>
            </w:r>
            <w:r>
              <w:rPr>
                <w:rFonts w:hint="eastAsia"/>
                <w:bCs/>
                <w:color w:val="auto"/>
                <w:kern w:val="0"/>
              </w:rPr>
              <w:t>措施</w:t>
            </w:r>
          </w:p>
          <w:p w14:paraId="3A85035F">
            <w:pPr>
              <w:adjustRightInd w:val="0"/>
              <w:snapToGrid w:val="0"/>
              <w:spacing w:line="360" w:lineRule="auto"/>
              <w:ind w:firstLine="420" w:firstLineChars="200"/>
              <w:jc w:val="left"/>
              <w:rPr>
                <w:bCs/>
                <w:color w:val="auto"/>
                <w:kern w:val="0"/>
              </w:rPr>
            </w:pPr>
            <w:r>
              <w:rPr>
                <w:bCs/>
                <w:color w:val="auto"/>
                <w:kern w:val="0"/>
              </w:rPr>
              <w:t>分区管理和控制原则，即根据场址所在地的工程地质、水文地质条件和全厂可能发生泄漏的物料性质、排放量并参照相应标准要求有针对性的分区，并分别设计地面防渗层结构。</w:t>
            </w:r>
          </w:p>
          <w:p w14:paraId="3A850360">
            <w:pPr>
              <w:adjustRightInd w:val="0"/>
              <w:snapToGrid w:val="0"/>
              <w:spacing w:line="360" w:lineRule="auto"/>
              <w:ind w:firstLine="420" w:firstLineChars="200"/>
              <w:jc w:val="left"/>
              <w:rPr>
                <w:bCs/>
                <w:color w:val="auto"/>
                <w:kern w:val="0"/>
              </w:rPr>
            </w:pPr>
            <w:r>
              <w:rPr>
                <w:color w:val="auto"/>
                <w:kern w:val="0"/>
              </w:rPr>
              <w:t>为了预防对地下水及土壤的污染，</w:t>
            </w:r>
            <w:r>
              <w:rPr>
                <w:rFonts w:hint="eastAsia"/>
                <w:color w:val="auto"/>
                <w:kern w:val="0"/>
              </w:rPr>
              <w:t>本项目</w:t>
            </w:r>
            <w:r>
              <w:rPr>
                <w:color w:val="auto"/>
                <w:kern w:val="0"/>
              </w:rPr>
              <w:t>按物料或者污染物泄漏的途径和生产功能单元所处的位置划分为重点污染防治区、一般污染防治区和简单防渗区三类污染防治区域：重点防渗区（</w:t>
            </w:r>
            <w:r>
              <w:rPr>
                <w:rFonts w:hint="eastAsia"/>
                <w:color w:val="auto"/>
                <w:kern w:val="0"/>
              </w:rPr>
              <w:t>危废仓库、</w:t>
            </w:r>
            <w:r>
              <w:rPr>
                <w:rStyle w:val="71"/>
                <w:rFonts w:hint="eastAsia"/>
                <w:color w:val="auto"/>
                <w:kern w:val="0"/>
              </w:rPr>
              <w:t>仓库</w:t>
            </w:r>
            <w:r>
              <w:rPr>
                <w:color w:val="auto"/>
                <w:kern w:val="0"/>
              </w:rPr>
              <w:t>）、一般防渗区（</w:t>
            </w:r>
            <w:r>
              <w:rPr>
                <w:rFonts w:hint="eastAsia"/>
                <w:color w:val="auto"/>
                <w:kern w:val="0"/>
              </w:rPr>
              <w:t>生产车间内其余生产区域</w:t>
            </w:r>
            <w:r>
              <w:rPr>
                <w:color w:val="auto"/>
                <w:kern w:val="0"/>
              </w:rPr>
              <w:t>）、简单防渗区（</w:t>
            </w:r>
            <w:r>
              <w:rPr>
                <w:rFonts w:hint="eastAsia"/>
                <w:color w:val="auto"/>
                <w:kern w:val="0"/>
              </w:rPr>
              <w:t>除重点防渗区和一般防渗区外的其他区域</w:t>
            </w:r>
            <w:r>
              <w:rPr>
                <w:color w:val="auto"/>
                <w:kern w:val="0"/>
              </w:rPr>
              <w:t>）。各防治区域的装置名录及其防渗要求见下表</w:t>
            </w:r>
            <w:r>
              <w:rPr>
                <w:rFonts w:hint="eastAsia"/>
                <w:color w:val="auto"/>
                <w:kern w:val="0"/>
              </w:rPr>
              <w:t>：</w:t>
            </w:r>
          </w:p>
          <w:p w14:paraId="3A850361">
            <w:pPr>
              <w:adjustRightInd w:val="0"/>
              <w:snapToGrid w:val="0"/>
              <w:jc w:val="center"/>
              <w:rPr>
                <w:b/>
                <w:color w:val="auto"/>
                <w:kern w:val="0"/>
              </w:rPr>
            </w:pPr>
            <w:r>
              <w:rPr>
                <w:b/>
                <w:color w:val="auto"/>
                <w:kern w:val="0"/>
              </w:rPr>
              <w:t>表4-</w:t>
            </w:r>
            <w:r>
              <w:rPr>
                <w:rFonts w:hint="eastAsia"/>
                <w:b/>
                <w:color w:val="auto"/>
                <w:kern w:val="0"/>
              </w:rPr>
              <w:t>2</w:t>
            </w:r>
            <w:r>
              <w:rPr>
                <w:rFonts w:hint="eastAsia"/>
                <w:b/>
                <w:color w:val="auto"/>
                <w:kern w:val="0"/>
                <w:lang w:val="en-US" w:eastAsia="zh-CN"/>
              </w:rPr>
              <w:t>1</w:t>
            </w:r>
            <w:r>
              <w:rPr>
                <w:rFonts w:hint="eastAsia"/>
                <w:b/>
                <w:color w:val="auto"/>
                <w:kern w:val="0"/>
              </w:rPr>
              <w:t xml:space="preserve">   </w:t>
            </w:r>
            <w:r>
              <w:rPr>
                <w:b/>
                <w:color w:val="auto"/>
                <w:kern w:val="0"/>
              </w:rPr>
              <w:t>项目污染防治分区划分及防渗要求</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558"/>
              <w:gridCol w:w="1492"/>
              <w:gridCol w:w="5545"/>
            </w:tblGrid>
            <w:tr w14:paraId="3A850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443" w:type="dxa"/>
                  <w:vAlign w:val="center"/>
                </w:tcPr>
                <w:p w14:paraId="3A850362">
                  <w:pPr>
                    <w:jc w:val="center"/>
                    <w:rPr>
                      <w:rStyle w:val="71"/>
                      <w:b/>
                      <w:bCs/>
                      <w:color w:val="auto"/>
                      <w:kern w:val="0"/>
                    </w:rPr>
                  </w:pPr>
                  <w:r>
                    <w:rPr>
                      <w:rStyle w:val="71"/>
                      <w:b/>
                      <w:bCs/>
                      <w:color w:val="auto"/>
                      <w:kern w:val="0"/>
                    </w:rPr>
                    <w:t>防渗区域</w:t>
                  </w:r>
                </w:p>
              </w:tc>
              <w:tc>
                <w:tcPr>
                  <w:tcW w:w="1425" w:type="dxa"/>
                  <w:vAlign w:val="center"/>
                </w:tcPr>
                <w:p w14:paraId="3A850363">
                  <w:pPr>
                    <w:jc w:val="center"/>
                    <w:rPr>
                      <w:rStyle w:val="71"/>
                      <w:b/>
                      <w:bCs/>
                      <w:color w:val="auto"/>
                      <w:kern w:val="0"/>
                    </w:rPr>
                  </w:pPr>
                  <w:r>
                    <w:rPr>
                      <w:rStyle w:val="71"/>
                      <w:b/>
                      <w:bCs/>
                      <w:color w:val="auto"/>
                      <w:kern w:val="0"/>
                    </w:rPr>
                    <w:t>防渗类别</w:t>
                  </w:r>
                </w:p>
              </w:tc>
              <w:tc>
                <w:tcPr>
                  <w:tcW w:w="5296" w:type="dxa"/>
                  <w:vAlign w:val="center"/>
                </w:tcPr>
                <w:p w14:paraId="3A850364">
                  <w:pPr>
                    <w:jc w:val="center"/>
                    <w:rPr>
                      <w:rStyle w:val="71"/>
                      <w:b/>
                      <w:bCs/>
                      <w:color w:val="auto"/>
                      <w:kern w:val="0"/>
                    </w:rPr>
                  </w:pPr>
                  <w:r>
                    <w:rPr>
                      <w:rStyle w:val="71"/>
                      <w:b/>
                      <w:bCs/>
                      <w:color w:val="auto"/>
                      <w:kern w:val="0"/>
                    </w:rPr>
                    <w:t>防渗要求</w:t>
                  </w:r>
                </w:p>
              </w:tc>
            </w:tr>
            <w:tr w14:paraId="3A850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443" w:type="dxa"/>
                  <w:vAlign w:val="center"/>
                </w:tcPr>
                <w:p w14:paraId="3A850366">
                  <w:pPr>
                    <w:jc w:val="center"/>
                    <w:rPr>
                      <w:rStyle w:val="71"/>
                      <w:color w:val="auto"/>
                      <w:kern w:val="0"/>
                    </w:rPr>
                  </w:pPr>
                  <w:r>
                    <w:rPr>
                      <w:rFonts w:hint="eastAsia"/>
                      <w:color w:val="auto"/>
                      <w:kern w:val="0"/>
                    </w:rPr>
                    <w:t>危废仓库、</w:t>
                  </w:r>
                  <w:r>
                    <w:rPr>
                      <w:rStyle w:val="71"/>
                      <w:rFonts w:hint="eastAsia"/>
                      <w:color w:val="auto"/>
                      <w:kern w:val="0"/>
                    </w:rPr>
                    <w:t>仓库</w:t>
                  </w:r>
                </w:p>
              </w:tc>
              <w:tc>
                <w:tcPr>
                  <w:tcW w:w="1425" w:type="dxa"/>
                  <w:vAlign w:val="center"/>
                </w:tcPr>
                <w:p w14:paraId="3A850367">
                  <w:pPr>
                    <w:jc w:val="center"/>
                    <w:rPr>
                      <w:rStyle w:val="71"/>
                      <w:color w:val="auto"/>
                      <w:kern w:val="0"/>
                    </w:rPr>
                  </w:pPr>
                  <w:r>
                    <w:rPr>
                      <w:rStyle w:val="71"/>
                      <w:color w:val="auto"/>
                      <w:kern w:val="0"/>
                    </w:rPr>
                    <w:t>重点防渗</w:t>
                  </w:r>
                </w:p>
              </w:tc>
              <w:tc>
                <w:tcPr>
                  <w:tcW w:w="5296" w:type="dxa"/>
                  <w:vAlign w:val="center"/>
                </w:tcPr>
                <w:p w14:paraId="3A850368">
                  <w:pPr>
                    <w:jc w:val="center"/>
                    <w:rPr>
                      <w:rStyle w:val="71"/>
                      <w:color w:val="auto"/>
                      <w:kern w:val="0"/>
                    </w:rPr>
                  </w:pPr>
                  <w:r>
                    <w:rPr>
                      <w:rStyle w:val="71"/>
                      <w:color w:val="auto"/>
                      <w:kern w:val="0"/>
                    </w:rPr>
                    <w:t>地面应铺设抗渗混凝土及耐腐蚀硬化材料，防渗层为2mm厚高密度聚乙烯，或至少2mm厚的其它耐腐蚀材料，渗透系数≤10</w:t>
                  </w:r>
                  <w:r>
                    <w:rPr>
                      <w:rStyle w:val="71"/>
                      <w:color w:val="auto"/>
                      <w:kern w:val="0"/>
                      <w:vertAlign w:val="superscript"/>
                    </w:rPr>
                    <w:t>-10</w:t>
                  </w:r>
                  <w:r>
                    <w:rPr>
                      <w:rStyle w:val="71"/>
                      <w:color w:val="auto"/>
                      <w:kern w:val="0"/>
                    </w:rPr>
                    <w:t>cm/s，且地面无裂缝；衬里要能够覆盖废物或其溶出物可能涉及到的范围；衬里材料与堆放的废物相容。</w:t>
                  </w:r>
                </w:p>
              </w:tc>
            </w:tr>
            <w:tr w14:paraId="3A850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443" w:type="dxa"/>
                  <w:vAlign w:val="center"/>
                </w:tcPr>
                <w:p w14:paraId="3A85036A">
                  <w:pPr>
                    <w:jc w:val="center"/>
                    <w:rPr>
                      <w:rStyle w:val="71"/>
                      <w:color w:val="auto"/>
                      <w:kern w:val="0"/>
                    </w:rPr>
                  </w:pPr>
                  <w:r>
                    <w:rPr>
                      <w:rFonts w:hint="eastAsia"/>
                      <w:color w:val="auto"/>
                      <w:kern w:val="0"/>
                    </w:rPr>
                    <w:t>生产车间、其余生产区域</w:t>
                  </w:r>
                </w:p>
              </w:tc>
              <w:tc>
                <w:tcPr>
                  <w:tcW w:w="1425" w:type="dxa"/>
                  <w:vAlign w:val="center"/>
                </w:tcPr>
                <w:p w14:paraId="3A85036B">
                  <w:pPr>
                    <w:jc w:val="center"/>
                    <w:rPr>
                      <w:rStyle w:val="71"/>
                      <w:color w:val="auto"/>
                      <w:kern w:val="0"/>
                    </w:rPr>
                  </w:pPr>
                  <w:r>
                    <w:rPr>
                      <w:rStyle w:val="71"/>
                      <w:color w:val="auto"/>
                      <w:kern w:val="0"/>
                    </w:rPr>
                    <w:t>一般防渗</w:t>
                  </w:r>
                </w:p>
              </w:tc>
              <w:tc>
                <w:tcPr>
                  <w:tcW w:w="5296" w:type="dxa"/>
                  <w:vAlign w:val="center"/>
                </w:tcPr>
                <w:p w14:paraId="3A85036C">
                  <w:pPr>
                    <w:adjustRightInd w:val="0"/>
                    <w:snapToGrid w:val="0"/>
                    <w:jc w:val="center"/>
                    <w:rPr>
                      <w:rStyle w:val="71"/>
                      <w:color w:val="auto"/>
                      <w:kern w:val="0"/>
                    </w:rPr>
                  </w:pPr>
                  <w:r>
                    <w:rPr>
                      <w:color w:val="auto"/>
                      <w:kern w:val="0"/>
                    </w:rPr>
                    <w:t>包括除重点防渗区外的其余部分地面，包括原料区、成品区等，采用抗渗等级不低于P1级的抗渗混凝土（渗透系数约0.4×10</w:t>
                  </w:r>
                  <w:r>
                    <w:rPr>
                      <w:color w:val="auto"/>
                      <w:kern w:val="0"/>
                      <w:vertAlign w:val="superscript"/>
                    </w:rPr>
                    <w:t>-7</w:t>
                  </w:r>
                  <w:r>
                    <w:rPr>
                      <w:color w:val="auto"/>
                      <w:kern w:val="0"/>
                    </w:rPr>
                    <w:t>cm/s，厚度不低于20cm）硬化地面。</w:t>
                  </w:r>
                </w:p>
              </w:tc>
            </w:tr>
            <w:tr w14:paraId="3A850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443" w:type="dxa"/>
                  <w:vAlign w:val="center"/>
                </w:tcPr>
                <w:p w14:paraId="3A85036E">
                  <w:pPr>
                    <w:jc w:val="center"/>
                    <w:rPr>
                      <w:rStyle w:val="71"/>
                      <w:color w:val="auto"/>
                      <w:kern w:val="0"/>
                    </w:rPr>
                  </w:pPr>
                  <w:r>
                    <w:rPr>
                      <w:rFonts w:hint="eastAsia"/>
                      <w:color w:val="auto"/>
                      <w:kern w:val="0"/>
                    </w:rPr>
                    <w:t>除重点防渗区和一般防渗区外的其他区域</w:t>
                  </w:r>
                </w:p>
              </w:tc>
              <w:tc>
                <w:tcPr>
                  <w:tcW w:w="1425" w:type="dxa"/>
                  <w:vAlign w:val="center"/>
                </w:tcPr>
                <w:p w14:paraId="3A85036F">
                  <w:pPr>
                    <w:jc w:val="center"/>
                    <w:rPr>
                      <w:rStyle w:val="71"/>
                      <w:color w:val="auto"/>
                      <w:kern w:val="0"/>
                    </w:rPr>
                  </w:pPr>
                  <w:r>
                    <w:rPr>
                      <w:rStyle w:val="71"/>
                      <w:color w:val="auto"/>
                      <w:kern w:val="0"/>
                    </w:rPr>
                    <w:t>简单防渗区</w:t>
                  </w:r>
                </w:p>
              </w:tc>
              <w:tc>
                <w:tcPr>
                  <w:tcW w:w="5296" w:type="dxa"/>
                  <w:vAlign w:val="center"/>
                </w:tcPr>
                <w:p w14:paraId="3A850370">
                  <w:pPr>
                    <w:adjustRightInd w:val="0"/>
                    <w:snapToGrid w:val="0"/>
                    <w:jc w:val="center"/>
                    <w:rPr>
                      <w:color w:val="auto"/>
                      <w:kern w:val="0"/>
                    </w:rPr>
                  </w:pPr>
                  <w:r>
                    <w:rPr>
                      <w:color w:val="auto"/>
                      <w:kern w:val="0"/>
                    </w:rPr>
                    <w:t>一般地面硬化</w:t>
                  </w:r>
                </w:p>
              </w:tc>
            </w:tr>
          </w:tbl>
          <w:p w14:paraId="3A850372">
            <w:pPr>
              <w:pStyle w:val="697"/>
              <w:adjustRightInd w:val="0"/>
              <w:snapToGrid w:val="0"/>
              <w:spacing w:line="360" w:lineRule="auto"/>
              <w:ind w:firstLine="422"/>
              <w:rPr>
                <w:rFonts w:eastAsia="宋体"/>
                <w:b/>
                <w:bCs/>
                <w:color w:val="auto"/>
                <w:kern w:val="0"/>
                <w:sz w:val="21"/>
                <w:szCs w:val="21"/>
              </w:rPr>
            </w:pPr>
            <w:r>
              <w:rPr>
                <w:rFonts w:hint="eastAsia" w:eastAsia="宋体"/>
                <w:b/>
                <w:bCs/>
                <w:color w:val="auto"/>
                <w:kern w:val="0"/>
                <w:sz w:val="21"/>
                <w:szCs w:val="21"/>
              </w:rPr>
              <w:t>（</w:t>
            </w:r>
            <w:r>
              <w:rPr>
                <w:rFonts w:eastAsia="宋体"/>
                <w:b/>
                <w:bCs/>
                <w:color w:val="auto"/>
                <w:kern w:val="0"/>
                <w:sz w:val="21"/>
                <w:szCs w:val="21"/>
              </w:rPr>
              <w:t>3）</w:t>
            </w:r>
            <w:r>
              <w:rPr>
                <w:rFonts w:hint="eastAsia" w:eastAsia="宋体"/>
                <w:b/>
                <w:bCs/>
                <w:color w:val="auto"/>
                <w:kern w:val="0"/>
                <w:sz w:val="21"/>
                <w:szCs w:val="21"/>
              </w:rPr>
              <w:t>预防措施</w:t>
            </w:r>
          </w:p>
          <w:p w14:paraId="3A850373">
            <w:pPr>
              <w:adjustRightInd w:val="0"/>
              <w:snapToGrid w:val="0"/>
              <w:spacing w:line="360" w:lineRule="auto"/>
              <w:ind w:firstLine="420" w:firstLineChars="200"/>
              <w:rPr>
                <w:color w:val="auto"/>
                <w:kern w:val="0"/>
              </w:rPr>
            </w:pPr>
            <w:r>
              <w:rPr>
                <w:color w:val="auto"/>
                <w:kern w:val="0"/>
              </w:rPr>
              <w:t>为防止</w:t>
            </w:r>
            <w:r>
              <w:rPr>
                <w:rFonts w:hint="eastAsia"/>
                <w:color w:val="auto"/>
                <w:kern w:val="0"/>
              </w:rPr>
              <w:t>土壤及</w:t>
            </w:r>
            <w:r>
              <w:rPr>
                <w:color w:val="auto"/>
                <w:kern w:val="0"/>
              </w:rPr>
              <w:t>地下水污染</w:t>
            </w:r>
            <w:r>
              <w:rPr>
                <w:rFonts w:hint="eastAsia"/>
                <w:color w:val="auto"/>
                <w:kern w:val="0"/>
              </w:rPr>
              <w:t>，企业应设置专人</w:t>
            </w:r>
            <w:r>
              <w:rPr>
                <w:color w:val="auto"/>
                <w:kern w:val="0"/>
              </w:rPr>
              <w:t>了解全厂生产是否出现异常情况，出现异常情况的装置、原因</w:t>
            </w:r>
            <w:r>
              <w:rPr>
                <w:rFonts w:hint="eastAsia"/>
                <w:color w:val="auto"/>
                <w:kern w:val="0"/>
              </w:rPr>
              <w:t>，</w:t>
            </w:r>
            <w:r>
              <w:rPr>
                <w:color w:val="auto"/>
                <w:kern w:val="0"/>
              </w:rPr>
              <w:t>定期对污染区的生产装置、法兰、阀门、管道等进行检查。</w:t>
            </w:r>
          </w:p>
          <w:p w14:paraId="3A850374">
            <w:pPr>
              <w:adjustRightInd w:val="0"/>
              <w:snapToGrid w:val="0"/>
              <w:spacing w:line="360" w:lineRule="auto"/>
              <w:ind w:firstLine="420" w:firstLineChars="200"/>
              <w:rPr>
                <w:color w:val="auto"/>
                <w:kern w:val="0"/>
              </w:rPr>
            </w:pPr>
            <w:r>
              <w:rPr>
                <w:color w:val="auto"/>
                <w:kern w:val="0"/>
              </w:rPr>
              <w:t>本项目将建设场地划分为重点污染防治区、一般污染防治区和简单污染防治区，防渗设计应根据污染防治分区采取相应的防渗方案。通过加强管理，跟踪监测，项目对地下水及土壤基本不会造成影响。</w:t>
            </w:r>
          </w:p>
          <w:p w14:paraId="3A850375">
            <w:pPr>
              <w:spacing w:line="360" w:lineRule="auto"/>
              <w:rPr>
                <w:b/>
                <w:bCs/>
                <w:color w:val="auto"/>
                <w:kern w:val="0"/>
              </w:rPr>
            </w:pPr>
            <w:r>
              <w:rPr>
                <w:rFonts w:hint="eastAsia"/>
                <w:b/>
                <w:bCs/>
                <w:color w:val="auto"/>
                <w:kern w:val="0"/>
              </w:rPr>
              <w:t>6、环境风险影响分析</w:t>
            </w:r>
          </w:p>
          <w:p w14:paraId="3A850376">
            <w:pPr>
              <w:adjustRightInd w:val="0"/>
              <w:snapToGrid w:val="0"/>
              <w:spacing w:line="360" w:lineRule="auto"/>
              <w:ind w:firstLine="422" w:firstLineChars="200"/>
              <w:jc w:val="left"/>
              <w:rPr>
                <w:b/>
                <w:color w:val="auto"/>
                <w:kern w:val="0"/>
              </w:rPr>
            </w:pPr>
            <w:r>
              <w:rPr>
                <w:b/>
                <w:color w:val="auto"/>
                <w:kern w:val="0"/>
              </w:rPr>
              <w:t>1</w:t>
            </w:r>
            <w:r>
              <w:rPr>
                <w:rFonts w:hint="eastAsia"/>
                <w:b/>
                <w:color w:val="auto"/>
                <w:kern w:val="0"/>
              </w:rPr>
              <w:t>）</w:t>
            </w:r>
            <w:r>
              <w:rPr>
                <w:b/>
                <w:color w:val="auto"/>
                <w:kern w:val="0"/>
              </w:rPr>
              <w:t>风险源调查及识别</w:t>
            </w:r>
          </w:p>
          <w:p w14:paraId="3A850377">
            <w:pPr>
              <w:pStyle w:val="24"/>
              <w:adjustRightInd w:val="0"/>
              <w:snapToGrid w:val="0"/>
              <w:spacing w:after="0" w:line="360" w:lineRule="auto"/>
              <w:ind w:left="0" w:leftChars="0" w:firstLine="420" w:firstLineChars="200"/>
              <w:rPr>
                <w:color w:val="auto"/>
                <w:sz w:val="21"/>
                <w:szCs w:val="21"/>
              </w:rPr>
            </w:pPr>
            <w:r>
              <w:rPr>
                <w:color w:val="auto"/>
                <w:sz w:val="21"/>
                <w:szCs w:val="21"/>
              </w:rPr>
              <w:fldChar w:fldCharType="begin"/>
            </w:r>
            <w:r>
              <w:rPr>
                <w:color w:val="auto"/>
                <w:sz w:val="21"/>
                <w:szCs w:val="21"/>
              </w:rPr>
              <w:instrText xml:space="preserve"> = 1 \* GB3 \* MERGEFORMAT </w:instrText>
            </w:r>
            <w:r>
              <w:rPr>
                <w:color w:val="auto"/>
                <w:sz w:val="21"/>
                <w:szCs w:val="21"/>
              </w:rPr>
              <w:fldChar w:fldCharType="separate"/>
            </w:r>
            <w:r>
              <w:rPr>
                <w:color w:val="auto"/>
                <w:sz w:val="21"/>
                <w:szCs w:val="21"/>
              </w:rPr>
              <w:t>①</w:t>
            </w:r>
            <w:r>
              <w:rPr>
                <w:color w:val="auto"/>
                <w:sz w:val="21"/>
                <w:szCs w:val="21"/>
              </w:rPr>
              <w:fldChar w:fldCharType="end"/>
            </w:r>
            <w:r>
              <w:rPr>
                <w:color w:val="auto"/>
                <w:sz w:val="21"/>
                <w:szCs w:val="21"/>
              </w:rPr>
              <w:t>物质危险性识别</w:t>
            </w:r>
          </w:p>
          <w:p w14:paraId="3A850378">
            <w:pPr>
              <w:pStyle w:val="24"/>
              <w:adjustRightInd w:val="0"/>
              <w:snapToGrid w:val="0"/>
              <w:spacing w:after="0" w:line="360" w:lineRule="auto"/>
              <w:ind w:left="0" w:leftChars="0" w:firstLine="420" w:firstLineChars="200"/>
              <w:rPr>
                <w:rFonts w:hint="default" w:eastAsia="宋体"/>
                <w:b/>
                <w:bCs/>
                <w:color w:val="auto"/>
                <w:sz w:val="21"/>
                <w:szCs w:val="21"/>
                <w:lang w:val="en-US" w:eastAsia="zh-CN"/>
              </w:rPr>
            </w:pPr>
            <w:r>
              <w:rPr>
                <w:color w:val="auto"/>
                <w:sz w:val="21"/>
                <w:szCs w:val="21"/>
              </w:rPr>
              <w:t>根据《建设项目环境风险评价技术导则》（HJ/T169-2018）附录B，</w:t>
            </w:r>
            <w:r>
              <w:rPr>
                <w:rFonts w:hint="eastAsia"/>
                <w:color w:val="auto"/>
                <w:sz w:val="21"/>
                <w:szCs w:val="21"/>
                <w:lang w:val="en-US" w:eastAsia="zh-CN"/>
              </w:rPr>
              <w:t>本项目</w:t>
            </w:r>
            <w:r>
              <w:rPr>
                <w:color w:val="auto"/>
                <w:sz w:val="21"/>
                <w:szCs w:val="21"/>
              </w:rPr>
              <w:t>涉及的危险物质数量及分布情况见下表。</w:t>
            </w:r>
          </w:p>
          <w:p w14:paraId="3A850379">
            <w:pPr>
              <w:jc w:val="center"/>
              <w:rPr>
                <w:color w:val="auto"/>
                <w:kern w:val="0"/>
                <w:lang w:val="zh-CN"/>
              </w:rPr>
            </w:pPr>
            <w:r>
              <w:rPr>
                <w:b/>
                <w:bCs/>
                <w:color w:val="auto"/>
                <w:kern w:val="0"/>
              </w:rPr>
              <w:t>表4-</w:t>
            </w:r>
            <w:r>
              <w:rPr>
                <w:rFonts w:hint="eastAsia"/>
                <w:b/>
                <w:bCs/>
                <w:color w:val="auto"/>
                <w:kern w:val="0"/>
              </w:rPr>
              <w:t>2</w:t>
            </w:r>
            <w:r>
              <w:rPr>
                <w:rFonts w:hint="eastAsia"/>
                <w:b/>
                <w:bCs/>
                <w:color w:val="auto"/>
                <w:kern w:val="0"/>
                <w:lang w:val="en-US" w:eastAsia="zh-CN"/>
              </w:rPr>
              <w:t>2</w:t>
            </w:r>
            <w:r>
              <w:rPr>
                <w:rFonts w:hint="eastAsia"/>
                <w:b/>
                <w:bCs/>
                <w:color w:val="auto"/>
                <w:kern w:val="0"/>
              </w:rPr>
              <w:t xml:space="preserve">   </w:t>
            </w:r>
            <w:r>
              <w:rPr>
                <w:rFonts w:hint="eastAsia"/>
                <w:b/>
                <w:bCs/>
                <w:color w:val="auto"/>
                <w:kern w:val="0"/>
                <w:lang w:val="en-US" w:eastAsia="zh-CN"/>
              </w:rPr>
              <w:t>项目</w:t>
            </w:r>
            <w:r>
              <w:rPr>
                <w:b/>
                <w:bCs/>
                <w:color w:val="auto"/>
                <w:kern w:val="0"/>
              </w:rPr>
              <w:t>涉及的危险物质数量及分布情况表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2605"/>
              <w:gridCol w:w="2434"/>
              <w:gridCol w:w="2382"/>
              <w:gridCol w:w="2174"/>
            </w:tblGrid>
            <w:tr w14:paraId="3A85037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57" w:type="pct"/>
                  <w:tcBorders>
                    <w:tl2br w:val="nil"/>
                    <w:tr2bl w:val="nil"/>
                  </w:tcBorders>
                  <w:vAlign w:val="center"/>
                </w:tcPr>
                <w:p w14:paraId="3A85037A">
                  <w:pPr>
                    <w:tabs>
                      <w:tab w:val="left" w:pos="960"/>
                    </w:tabs>
                    <w:snapToGrid w:val="0"/>
                    <w:jc w:val="center"/>
                    <w:rPr>
                      <w:b/>
                      <w:bCs/>
                      <w:color w:val="auto"/>
                      <w:kern w:val="0"/>
                    </w:rPr>
                  </w:pPr>
                  <w:r>
                    <w:rPr>
                      <w:b/>
                      <w:bCs/>
                      <w:color w:val="auto"/>
                      <w:kern w:val="0"/>
                    </w:rPr>
                    <w:t>名称</w:t>
                  </w:r>
                </w:p>
              </w:tc>
              <w:tc>
                <w:tcPr>
                  <w:tcW w:w="1268" w:type="pct"/>
                  <w:tcBorders>
                    <w:tl2br w:val="nil"/>
                    <w:tr2bl w:val="nil"/>
                  </w:tcBorders>
                  <w:vAlign w:val="center"/>
                </w:tcPr>
                <w:p w14:paraId="3A85037B">
                  <w:pPr>
                    <w:tabs>
                      <w:tab w:val="left" w:pos="960"/>
                    </w:tabs>
                    <w:snapToGrid w:val="0"/>
                    <w:jc w:val="center"/>
                    <w:rPr>
                      <w:b/>
                      <w:bCs/>
                      <w:color w:val="auto"/>
                      <w:kern w:val="0"/>
                    </w:rPr>
                  </w:pPr>
                  <w:r>
                    <w:rPr>
                      <w:b/>
                      <w:bCs/>
                      <w:color w:val="auto"/>
                      <w:kern w:val="0"/>
                    </w:rPr>
                    <w:t>最大存储量/t</w:t>
                  </w:r>
                </w:p>
              </w:tc>
              <w:tc>
                <w:tcPr>
                  <w:tcW w:w="1241" w:type="pct"/>
                  <w:tcBorders>
                    <w:tl2br w:val="nil"/>
                    <w:tr2bl w:val="nil"/>
                  </w:tcBorders>
                  <w:vAlign w:val="center"/>
                </w:tcPr>
                <w:p w14:paraId="3A85037C">
                  <w:pPr>
                    <w:tabs>
                      <w:tab w:val="left" w:pos="960"/>
                    </w:tabs>
                    <w:snapToGrid w:val="0"/>
                    <w:jc w:val="center"/>
                    <w:rPr>
                      <w:b/>
                      <w:bCs/>
                      <w:color w:val="auto"/>
                      <w:kern w:val="0"/>
                    </w:rPr>
                  </w:pPr>
                  <w:r>
                    <w:rPr>
                      <w:b/>
                      <w:bCs/>
                      <w:color w:val="auto"/>
                      <w:kern w:val="0"/>
                    </w:rPr>
                    <w:t>储存方式</w:t>
                  </w:r>
                </w:p>
              </w:tc>
              <w:tc>
                <w:tcPr>
                  <w:tcW w:w="1132" w:type="pct"/>
                  <w:tcBorders>
                    <w:tl2br w:val="nil"/>
                    <w:tr2bl w:val="nil"/>
                  </w:tcBorders>
                  <w:vAlign w:val="center"/>
                </w:tcPr>
                <w:p w14:paraId="3A85037D">
                  <w:pPr>
                    <w:tabs>
                      <w:tab w:val="left" w:pos="960"/>
                    </w:tabs>
                    <w:snapToGrid w:val="0"/>
                    <w:jc w:val="center"/>
                    <w:rPr>
                      <w:b/>
                      <w:bCs/>
                      <w:color w:val="auto"/>
                      <w:kern w:val="0"/>
                    </w:rPr>
                  </w:pPr>
                  <w:r>
                    <w:rPr>
                      <w:b/>
                      <w:bCs/>
                      <w:color w:val="auto"/>
                      <w:kern w:val="0"/>
                    </w:rPr>
                    <w:t>储存位置</w:t>
                  </w:r>
                </w:p>
              </w:tc>
            </w:tr>
            <w:tr w14:paraId="3A85038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57" w:type="pct"/>
                  <w:tcBorders>
                    <w:tl2br w:val="nil"/>
                    <w:tr2bl w:val="nil"/>
                  </w:tcBorders>
                  <w:vAlign w:val="center"/>
                </w:tcPr>
                <w:p w14:paraId="3A85037F">
                  <w:pPr>
                    <w:adjustRightInd w:val="0"/>
                    <w:snapToGrid w:val="0"/>
                    <w:jc w:val="center"/>
                    <w:rPr>
                      <w:rFonts w:hint="eastAsia" w:eastAsia="宋体"/>
                      <w:color w:val="auto"/>
                      <w:kern w:val="0"/>
                      <w:lang w:eastAsia="zh-CN"/>
                    </w:rPr>
                  </w:pPr>
                  <w:r>
                    <w:rPr>
                      <w:rFonts w:hint="eastAsia"/>
                      <w:color w:val="auto"/>
                      <w:kern w:val="0"/>
                      <w:lang w:val="en-US" w:eastAsia="zh-CN"/>
                    </w:rPr>
                    <w:t>产气药</w:t>
                  </w:r>
                </w:p>
              </w:tc>
              <w:tc>
                <w:tcPr>
                  <w:tcW w:w="1268" w:type="pct"/>
                  <w:tcBorders>
                    <w:tl2br w:val="nil"/>
                    <w:tr2bl w:val="nil"/>
                  </w:tcBorders>
                  <w:vAlign w:val="center"/>
                </w:tcPr>
                <w:p w14:paraId="3A850380">
                  <w:pPr>
                    <w:widowControl/>
                    <w:jc w:val="center"/>
                    <w:textAlignment w:val="center"/>
                    <w:rPr>
                      <w:rFonts w:hint="default" w:eastAsia="宋体"/>
                      <w:color w:val="auto"/>
                      <w:kern w:val="0"/>
                      <w:lang w:val="en-US" w:eastAsia="zh-CN"/>
                    </w:rPr>
                  </w:pPr>
                  <w:r>
                    <w:rPr>
                      <w:rFonts w:hint="eastAsia"/>
                      <w:color w:val="auto"/>
                      <w:kern w:val="0"/>
                      <w:lang w:val="en-US" w:eastAsia="zh-CN"/>
                    </w:rPr>
                    <w:t>30</w:t>
                  </w:r>
                </w:p>
              </w:tc>
              <w:tc>
                <w:tcPr>
                  <w:tcW w:w="1241" w:type="pct"/>
                  <w:tcBorders>
                    <w:tl2br w:val="nil"/>
                    <w:tr2bl w:val="nil"/>
                  </w:tcBorders>
                  <w:vAlign w:val="center"/>
                </w:tcPr>
                <w:p w14:paraId="3A850381">
                  <w:pPr>
                    <w:jc w:val="center"/>
                    <w:rPr>
                      <w:color w:val="auto"/>
                      <w:kern w:val="0"/>
                    </w:rPr>
                  </w:pPr>
                  <w:r>
                    <w:rPr>
                      <w:rFonts w:hint="eastAsia"/>
                      <w:color w:val="auto"/>
                      <w:kern w:val="0"/>
                    </w:rPr>
                    <w:t>桶装</w:t>
                  </w:r>
                </w:p>
              </w:tc>
              <w:tc>
                <w:tcPr>
                  <w:tcW w:w="1132" w:type="pct"/>
                  <w:tcBorders>
                    <w:tl2br w:val="nil"/>
                    <w:tr2bl w:val="nil"/>
                  </w:tcBorders>
                  <w:vAlign w:val="center"/>
                </w:tcPr>
                <w:p w14:paraId="3A850382">
                  <w:pPr>
                    <w:tabs>
                      <w:tab w:val="left" w:pos="960"/>
                    </w:tabs>
                    <w:snapToGrid w:val="0"/>
                    <w:jc w:val="center"/>
                    <w:rPr>
                      <w:color w:val="auto"/>
                      <w:kern w:val="0"/>
                    </w:rPr>
                  </w:pPr>
                  <w:r>
                    <w:rPr>
                      <w:color w:val="auto"/>
                      <w:kern w:val="0"/>
                    </w:rPr>
                    <w:t>仓库</w:t>
                  </w:r>
                </w:p>
              </w:tc>
            </w:tr>
            <w:tr w14:paraId="3A8503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57" w:type="pct"/>
                  <w:tcBorders>
                    <w:tl2br w:val="nil"/>
                    <w:tr2bl w:val="nil"/>
                  </w:tcBorders>
                  <w:vAlign w:val="center"/>
                </w:tcPr>
                <w:p w14:paraId="3A850389">
                  <w:pPr>
                    <w:pStyle w:val="698"/>
                    <w:rPr>
                      <w:rFonts w:eastAsia="宋体"/>
                      <w:bCs/>
                      <w:color w:val="auto"/>
                      <w:kern w:val="0"/>
                    </w:rPr>
                  </w:pPr>
                  <w:r>
                    <w:rPr>
                      <w:rFonts w:eastAsia="宋体"/>
                      <w:bCs/>
                      <w:color w:val="auto"/>
                      <w:kern w:val="0"/>
                    </w:rPr>
                    <w:t>危险废物</w:t>
                  </w:r>
                </w:p>
              </w:tc>
              <w:tc>
                <w:tcPr>
                  <w:tcW w:w="1268" w:type="pct"/>
                  <w:tcBorders>
                    <w:tl2br w:val="nil"/>
                    <w:tr2bl w:val="nil"/>
                  </w:tcBorders>
                  <w:vAlign w:val="center"/>
                </w:tcPr>
                <w:p w14:paraId="3A85038A">
                  <w:pPr>
                    <w:widowControl/>
                    <w:jc w:val="center"/>
                    <w:textAlignment w:val="center"/>
                    <w:rPr>
                      <w:rFonts w:hint="default" w:eastAsia="宋体"/>
                      <w:color w:val="auto"/>
                      <w:kern w:val="0"/>
                      <w:lang w:val="en-US" w:eastAsia="zh-CN"/>
                    </w:rPr>
                  </w:pPr>
                  <w:r>
                    <w:rPr>
                      <w:rFonts w:hint="eastAsia"/>
                      <w:color w:val="auto"/>
                      <w:kern w:val="0"/>
                      <w:lang w:val="en-US" w:eastAsia="zh-CN"/>
                    </w:rPr>
                    <w:t>27.5</w:t>
                  </w:r>
                </w:p>
              </w:tc>
              <w:tc>
                <w:tcPr>
                  <w:tcW w:w="1241" w:type="pct"/>
                  <w:tcBorders>
                    <w:tl2br w:val="nil"/>
                    <w:tr2bl w:val="nil"/>
                  </w:tcBorders>
                  <w:vAlign w:val="center"/>
                </w:tcPr>
                <w:p w14:paraId="3A85038B">
                  <w:pPr>
                    <w:jc w:val="center"/>
                    <w:rPr>
                      <w:color w:val="auto"/>
                      <w:kern w:val="0"/>
                    </w:rPr>
                  </w:pPr>
                  <w:r>
                    <w:rPr>
                      <w:rFonts w:hint="eastAsia"/>
                      <w:color w:val="auto"/>
                      <w:kern w:val="0"/>
                    </w:rPr>
                    <w:t>袋装、桶装、堆放</w:t>
                  </w:r>
                </w:p>
              </w:tc>
              <w:tc>
                <w:tcPr>
                  <w:tcW w:w="1132" w:type="pct"/>
                  <w:tcBorders>
                    <w:tl2br w:val="nil"/>
                    <w:tr2bl w:val="nil"/>
                  </w:tcBorders>
                  <w:vAlign w:val="center"/>
                </w:tcPr>
                <w:p w14:paraId="3A85038C">
                  <w:pPr>
                    <w:tabs>
                      <w:tab w:val="left" w:pos="960"/>
                    </w:tabs>
                    <w:snapToGrid w:val="0"/>
                    <w:jc w:val="center"/>
                    <w:rPr>
                      <w:bCs/>
                      <w:color w:val="auto"/>
                      <w:kern w:val="0"/>
                    </w:rPr>
                  </w:pPr>
                  <w:r>
                    <w:rPr>
                      <w:rFonts w:hint="eastAsia"/>
                      <w:bCs/>
                      <w:color w:val="auto"/>
                      <w:kern w:val="0"/>
                    </w:rPr>
                    <w:t>危废仓库</w:t>
                  </w:r>
                </w:p>
              </w:tc>
            </w:tr>
          </w:tbl>
          <w:p w14:paraId="3A85038E">
            <w:pPr>
              <w:pStyle w:val="24"/>
              <w:adjustRightInd w:val="0"/>
              <w:snapToGrid w:val="0"/>
              <w:spacing w:after="0" w:line="360" w:lineRule="auto"/>
              <w:ind w:left="0" w:leftChars="0" w:firstLine="420" w:firstLineChars="200"/>
              <w:rPr>
                <w:color w:val="auto"/>
                <w:sz w:val="21"/>
                <w:szCs w:val="21"/>
              </w:rPr>
            </w:pPr>
            <w:r>
              <w:rPr>
                <w:color w:val="auto"/>
                <w:sz w:val="21"/>
                <w:szCs w:val="21"/>
              </w:rPr>
              <w:fldChar w:fldCharType="begin"/>
            </w:r>
            <w:r>
              <w:rPr>
                <w:color w:val="auto"/>
                <w:sz w:val="21"/>
                <w:szCs w:val="21"/>
              </w:rPr>
              <w:instrText xml:space="preserve"> = 2 \* GB3 \* MERGEFORMAT </w:instrText>
            </w:r>
            <w:r>
              <w:rPr>
                <w:color w:val="auto"/>
                <w:sz w:val="21"/>
                <w:szCs w:val="21"/>
              </w:rPr>
              <w:fldChar w:fldCharType="separate"/>
            </w:r>
            <w:r>
              <w:rPr>
                <w:color w:val="auto"/>
                <w:sz w:val="21"/>
                <w:szCs w:val="21"/>
              </w:rPr>
              <w:t>②</w:t>
            </w:r>
            <w:r>
              <w:rPr>
                <w:color w:val="auto"/>
                <w:sz w:val="21"/>
                <w:szCs w:val="21"/>
              </w:rPr>
              <w:fldChar w:fldCharType="end"/>
            </w:r>
            <w:r>
              <w:rPr>
                <w:color w:val="auto"/>
                <w:sz w:val="21"/>
                <w:szCs w:val="21"/>
              </w:rPr>
              <w:t>生产系统危险性识别</w:t>
            </w:r>
          </w:p>
          <w:p w14:paraId="3A85038F">
            <w:pPr>
              <w:pStyle w:val="24"/>
              <w:adjustRightInd w:val="0"/>
              <w:snapToGrid w:val="0"/>
              <w:spacing w:after="0" w:line="360" w:lineRule="auto"/>
              <w:ind w:left="0" w:leftChars="0" w:firstLine="420" w:firstLineChars="200"/>
              <w:rPr>
                <w:color w:val="auto"/>
                <w:sz w:val="21"/>
                <w:szCs w:val="21"/>
              </w:rPr>
            </w:pPr>
            <w:r>
              <w:rPr>
                <w:rFonts w:hint="eastAsia"/>
                <w:color w:val="auto"/>
                <w:sz w:val="21"/>
                <w:szCs w:val="21"/>
              </w:rPr>
              <w:t>项目生产工艺为</w:t>
            </w:r>
            <w:r>
              <w:rPr>
                <w:rFonts w:hint="eastAsia"/>
                <w:color w:val="auto"/>
                <w:sz w:val="21"/>
                <w:szCs w:val="21"/>
                <w:lang w:val="en-US" w:eastAsia="zh-CN"/>
              </w:rPr>
              <w:t>电阻焊焊接、基座成型、点火管压接</w:t>
            </w:r>
            <w:r>
              <w:rPr>
                <w:rFonts w:hint="eastAsia"/>
                <w:color w:val="auto"/>
                <w:sz w:val="21"/>
                <w:szCs w:val="21"/>
              </w:rPr>
              <w:t>等。</w:t>
            </w:r>
          </w:p>
          <w:p w14:paraId="3A850390">
            <w:pPr>
              <w:pStyle w:val="24"/>
              <w:spacing w:after="0"/>
              <w:ind w:left="0" w:leftChars="0"/>
              <w:jc w:val="center"/>
              <w:rPr>
                <w:color w:val="auto"/>
                <w:sz w:val="21"/>
                <w:szCs w:val="21"/>
              </w:rPr>
            </w:pPr>
            <w:r>
              <w:rPr>
                <w:b/>
                <w:color w:val="auto"/>
                <w:sz w:val="21"/>
                <w:szCs w:val="21"/>
              </w:rPr>
              <w:t>表4-</w:t>
            </w:r>
            <w:r>
              <w:rPr>
                <w:rFonts w:hint="eastAsia"/>
                <w:b/>
                <w:color w:val="auto"/>
                <w:sz w:val="21"/>
                <w:szCs w:val="21"/>
              </w:rPr>
              <w:t>2</w:t>
            </w:r>
            <w:r>
              <w:rPr>
                <w:rFonts w:hint="eastAsia"/>
                <w:b/>
                <w:color w:val="auto"/>
                <w:sz w:val="21"/>
                <w:szCs w:val="21"/>
                <w:lang w:val="en-US" w:eastAsia="zh-CN"/>
              </w:rPr>
              <w:t>3</w:t>
            </w:r>
            <w:r>
              <w:rPr>
                <w:rFonts w:hint="eastAsia"/>
                <w:b/>
                <w:color w:val="auto"/>
                <w:sz w:val="21"/>
                <w:szCs w:val="21"/>
              </w:rPr>
              <w:t xml:space="preserve">   </w:t>
            </w:r>
            <w:r>
              <w:rPr>
                <w:b/>
                <w:color w:val="auto"/>
                <w:sz w:val="21"/>
                <w:szCs w:val="21"/>
              </w:rPr>
              <w:t>生产系统危险性识别</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166"/>
              <w:gridCol w:w="3429"/>
            </w:tblGrid>
            <w:tr w14:paraId="3A850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3213" w:type="pct"/>
                  <w:vAlign w:val="center"/>
                </w:tcPr>
                <w:p w14:paraId="3A850391">
                  <w:pPr>
                    <w:adjustRightInd w:val="0"/>
                    <w:snapToGrid w:val="0"/>
                    <w:jc w:val="center"/>
                    <w:rPr>
                      <w:b/>
                      <w:color w:val="auto"/>
                      <w:kern w:val="0"/>
                    </w:rPr>
                  </w:pPr>
                  <w:r>
                    <w:rPr>
                      <w:b/>
                      <w:color w:val="auto"/>
                      <w:kern w:val="0"/>
                    </w:rPr>
                    <w:t>评估依据</w:t>
                  </w:r>
                </w:p>
              </w:tc>
              <w:tc>
                <w:tcPr>
                  <w:tcW w:w="1786" w:type="pct"/>
                  <w:vAlign w:val="center"/>
                </w:tcPr>
                <w:p w14:paraId="3A850392">
                  <w:pPr>
                    <w:adjustRightInd w:val="0"/>
                    <w:snapToGrid w:val="0"/>
                    <w:jc w:val="center"/>
                    <w:rPr>
                      <w:b/>
                      <w:color w:val="auto"/>
                      <w:kern w:val="0"/>
                    </w:rPr>
                  </w:pPr>
                  <w:r>
                    <w:rPr>
                      <w:b/>
                      <w:color w:val="auto"/>
                      <w:kern w:val="0"/>
                    </w:rPr>
                    <w:t>本企业情况</w:t>
                  </w:r>
                </w:p>
              </w:tc>
            </w:tr>
            <w:tr w14:paraId="3A850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13" w:type="pct"/>
                  <w:vAlign w:val="center"/>
                </w:tcPr>
                <w:p w14:paraId="3A850394">
                  <w:pPr>
                    <w:adjustRightInd w:val="0"/>
                    <w:snapToGrid w:val="0"/>
                    <w:jc w:val="center"/>
                    <w:rPr>
                      <w:color w:val="auto"/>
                      <w:kern w:val="0"/>
                    </w:rPr>
                  </w:pPr>
                  <w:r>
                    <w:rPr>
                      <w:color w:val="auto"/>
                      <w:kern w:val="0"/>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786" w:type="pct"/>
                  <w:vAlign w:val="center"/>
                </w:tcPr>
                <w:p w14:paraId="3A850395">
                  <w:pPr>
                    <w:adjustRightInd w:val="0"/>
                    <w:snapToGrid w:val="0"/>
                    <w:jc w:val="center"/>
                    <w:rPr>
                      <w:color w:val="auto"/>
                      <w:kern w:val="0"/>
                    </w:rPr>
                  </w:pPr>
                  <w:r>
                    <w:rPr>
                      <w:color w:val="auto"/>
                      <w:kern w:val="0"/>
                    </w:rPr>
                    <w:t>不涉及上述工艺</w:t>
                  </w:r>
                </w:p>
              </w:tc>
            </w:tr>
            <w:tr w14:paraId="3A8503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13" w:type="pct"/>
                  <w:vAlign w:val="center"/>
                </w:tcPr>
                <w:p w14:paraId="3A850397">
                  <w:pPr>
                    <w:adjustRightInd w:val="0"/>
                    <w:snapToGrid w:val="0"/>
                    <w:jc w:val="center"/>
                    <w:rPr>
                      <w:color w:val="auto"/>
                      <w:kern w:val="0"/>
                    </w:rPr>
                  </w:pPr>
                  <w:r>
                    <w:rPr>
                      <w:color w:val="auto"/>
                      <w:kern w:val="0"/>
                    </w:rPr>
                    <w:t>其他高温或高压、涉及易燃易爆等物质的工艺过程</w:t>
                  </w:r>
                  <w:r>
                    <w:rPr>
                      <w:color w:val="auto"/>
                      <w:kern w:val="0"/>
                      <w:vertAlign w:val="superscript"/>
                    </w:rPr>
                    <w:t>a</w:t>
                  </w:r>
                </w:p>
              </w:tc>
              <w:tc>
                <w:tcPr>
                  <w:tcW w:w="1786" w:type="pct"/>
                  <w:vAlign w:val="center"/>
                </w:tcPr>
                <w:p w14:paraId="3A850398">
                  <w:pPr>
                    <w:adjustRightInd w:val="0"/>
                    <w:snapToGrid w:val="0"/>
                    <w:jc w:val="center"/>
                    <w:rPr>
                      <w:color w:val="auto"/>
                      <w:kern w:val="0"/>
                    </w:rPr>
                  </w:pPr>
                  <w:r>
                    <w:rPr>
                      <w:color w:val="auto"/>
                      <w:kern w:val="0"/>
                    </w:rPr>
                    <w:t>不涉及上述工艺</w:t>
                  </w:r>
                </w:p>
              </w:tc>
            </w:tr>
            <w:tr w14:paraId="3A850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13" w:type="pct"/>
                  <w:vAlign w:val="center"/>
                </w:tcPr>
                <w:p w14:paraId="3A85039A">
                  <w:pPr>
                    <w:adjustRightInd w:val="0"/>
                    <w:snapToGrid w:val="0"/>
                    <w:jc w:val="center"/>
                    <w:rPr>
                      <w:color w:val="auto"/>
                      <w:kern w:val="0"/>
                    </w:rPr>
                  </w:pPr>
                  <w:r>
                    <w:rPr>
                      <w:color w:val="auto"/>
                      <w:kern w:val="0"/>
                    </w:rPr>
                    <w:t>具有国家规定限期淘汰的工艺名录和设备</w:t>
                  </w:r>
                  <w:r>
                    <w:rPr>
                      <w:color w:val="auto"/>
                      <w:kern w:val="0"/>
                      <w:vertAlign w:val="superscript"/>
                    </w:rPr>
                    <w:t>b</w:t>
                  </w:r>
                </w:p>
              </w:tc>
              <w:tc>
                <w:tcPr>
                  <w:tcW w:w="1786" w:type="pct"/>
                  <w:vAlign w:val="center"/>
                </w:tcPr>
                <w:p w14:paraId="3A85039B">
                  <w:pPr>
                    <w:adjustRightInd w:val="0"/>
                    <w:snapToGrid w:val="0"/>
                    <w:jc w:val="center"/>
                    <w:rPr>
                      <w:color w:val="auto"/>
                      <w:kern w:val="0"/>
                    </w:rPr>
                  </w:pPr>
                  <w:r>
                    <w:rPr>
                      <w:color w:val="auto"/>
                      <w:kern w:val="0"/>
                    </w:rPr>
                    <w:t>不属于淘汰行业，无淘汰设备</w:t>
                  </w:r>
                </w:p>
              </w:tc>
            </w:tr>
            <w:tr w14:paraId="3A850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13" w:type="pct"/>
                  <w:vAlign w:val="center"/>
                </w:tcPr>
                <w:p w14:paraId="3A85039D">
                  <w:pPr>
                    <w:adjustRightInd w:val="0"/>
                    <w:snapToGrid w:val="0"/>
                    <w:jc w:val="center"/>
                    <w:rPr>
                      <w:color w:val="auto"/>
                      <w:kern w:val="0"/>
                    </w:rPr>
                  </w:pPr>
                  <w:r>
                    <w:rPr>
                      <w:color w:val="auto"/>
                      <w:kern w:val="0"/>
                    </w:rPr>
                    <w:t>不涉及以上危险工艺过程或国家规定的禁用工艺/设备</w:t>
                  </w:r>
                </w:p>
              </w:tc>
              <w:tc>
                <w:tcPr>
                  <w:tcW w:w="1786" w:type="pct"/>
                  <w:vAlign w:val="center"/>
                </w:tcPr>
                <w:p w14:paraId="3A85039E">
                  <w:pPr>
                    <w:adjustRightInd w:val="0"/>
                    <w:snapToGrid w:val="0"/>
                    <w:jc w:val="center"/>
                    <w:rPr>
                      <w:color w:val="auto"/>
                      <w:kern w:val="0"/>
                    </w:rPr>
                  </w:pPr>
                  <w:r>
                    <w:rPr>
                      <w:rFonts w:hint="eastAsia"/>
                      <w:color w:val="auto"/>
                      <w:kern w:val="0"/>
                    </w:rPr>
                    <w:t>/</w:t>
                  </w:r>
                </w:p>
              </w:tc>
            </w:tr>
            <w:tr w14:paraId="3A8503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2"/>
                  <w:vAlign w:val="center"/>
                </w:tcPr>
                <w:p w14:paraId="3A8503A0">
                  <w:pPr>
                    <w:adjustRightInd w:val="0"/>
                    <w:snapToGrid w:val="0"/>
                    <w:rPr>
                      <w:color w:val="auto"/>
                      <w:kern w:val="0"/>
                    </w:rPr>
                  </w:pPr>
                  <w:r>
                    <w:rPr>
                      <w:b/>
                      <w:color w:val="auto"/>
                      <w:kern w:val="0"/>
                      <w:lang w:val="zh-CN"/>
                    </w:rPr>
                    <w:t>注：a高温指工艺温度≥300℃，高压指压力容器的设计压力（p）≥10.0MPa，易燃易爆等物质是指按照GB30000.2至GB30000.13所确定的化学物质；b指《产业结构调整指导目录》（最新年本）中有淘汰期限的淘汰类落后生产工艺装备。</w:t>
                  </w:r>
                </w:p>
              </w:tc>
            </w:tr>
          </w:tbl>
          <w:p w14:paraId="3A8503A2">
            <w:pPr>
              <w:adjustRightInd w:val="0"/>
              <w:snapToGrid w:val="0"/>
              <w:spacing w:line="360" w:lineRule="auto"/>
              <w:ind w:firstLine="420" w:firstLineChars="200"/>
              <w:rPr>
                <w:color w:val="auto"/>
                <w:kern w:val="0"/>
              </w:rPr>
            </w:pPr>
            <w:r>
              <w:rPr>
                <w:rFonts w:hint="eastAsia"/>
                <w:color w:val="auto"/>
                <w:kern w:val="0"/>
              </w:rPr>
              <w:t>③风险潜势初判</w:t>
            </w:r>
          </w:p>
          <w:p w14:paraId="3A8503A3">
            <w:pPr>
              <w:spacing w:line="360" w:lineRule="auto"/>
              <w:ind w:firstLine="420" w:firstLineChars="200"/>
              <w:rPr>
                <w:color w:val="auto"/>
                <w:kern w:val="0"/>
              </w:rPr>
            </w:pPr>
            <w:r>
              <w:rPr>
                <w:rFonts w:hint="eastAsia"/>
                <w:color w:val="auto"/>
                <w:kern w:val="0"/>
              </w:rPr>
              <w:t>根据《建设项目环境风险评价技术导则》（HJ 169-2018）附表C.1.1，计算所涉及的每种危险物质在厂界内的最大存在总量与其在附录B中对应临界量的比值Q。当只涉及一种危险物质时，计算该物质的总量与其临界量比值，即为Q；当存在多种危险物质时，则按式（C.1）计算物质总量与其临界量比值（Q）：</w:t>
            </w:r>
          </w:p>
          <w:p w14:paraId="3A8503A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kern w:val="0"/>
              </w:rPr>
            </w:pPr>
            <w:r>
              <w:rPr>
                <w:color w:val="auto"/>
                <w:kern w:val="0"/>
              </w:rPr>
              <w:drawing>
                <wp:inline distT="0" distB="0" distL="114300" distR="114300">
                  <wp:extent cx="3476625" cy="533400"/>
                  <wp:effectExtent l="0" t="0" r="9525" b="0"/>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pic:cNvPicPr>
                            <a:picLocks noChangeAspect="1"/>
                          </pic:cNvPicPr>
                        </pic:nvPicPr>
                        <pic:blipFill>
                          <a:blip r:embed="rId88"/>
                          <a:stretch>
                            <a:fillRect/>
                          </a:stretch>
                        </pic:blipFill>
                        <pic:spPr>
                          <a:xfrm>
                            <a:off x="0" y="0"/>
                            <a:ext cx="3476625" cy="533400"/>
                          </a:xfrm>
                          <a:prstGeom prst="rect">
                            <a:avLst/>
                          </a:prstGeom>
                          <a:noFill/>
                          <a:ln>
                            <a:noFill/>
                          </a:ln>
                        </pic:spPr>
                      </pic:pic>
                    </a:graphicData>
                  </a:graphic>
                </wp:inline>
              </w:drawing>
            </w:r>
          </w:p>
          <w:p w14:paraId="3A8503A5">
            <w:pPr>
              <w:spacing w:line="360" w:lineRule="auto"/>
              <w:ind w:firstLine="420" w:firstLineChars="200"/>
              <w:rPr>
                <w:color w:val="auto"/>
                <w:kern w:val="0"/>
              </w:rPr>
            </w:pPr>
            <w:r>
              <w:rPr>
                <w:color w:val="auto"/>
                <w:kern w:val="0"/>
              </w:rPr>
              <w:t>式中：q1，q2，...，qn——每种危险物质的最大存在总量，t；</w:t>
            </w:r>
          </w:p>
          <w:p w14:paraId="3A8503A6">
            <w:pPr>
              <w:spacing w:line="360" w:lineRule="auto"/>
              <w:ind w:firstLine="420" w:firstLineChars="200"/>
              <w:rPr>
                <w:color w:val="auto"/>
                <w:kern w:val="0"/>
              </w:rPr>
            </w:pPr>
            <w:r>
              <w:rPr>
                <w:color w:val="auto"/>
                <w:kern w:val="0"/>
              </w:rPr>
              <w:t>Q1，Q2，...，Qn——每种危险物质的临界量，t。</w:t>
            </w:r>
          </w:p>
          <w:p w14:paraId="3A8503A7">
            <w:pPr>
              <w:spacing w:line="360" w:lineRule="auto"/>
              <w:ind w:firstLine="420" w:firstLineChars="200"/>
              <w:rPr>
                <w:color w:val="auto"/>
                <w:kern w:val="0"/>
              </w:rPr>
            </w:pPr>
            <w:r>
              <w:rPr>
                <w:color w:val="auto"/>
                <w:kern w:val="0"/>
              </w:rPr>
              <w:t>当Q＜1时，该项目环境风险潜势为I。</w:t>
            </w:r>
          </w:p>
          <w:p w14:paraId="3A8503A8">
            <w:pPr>
              <w:spacing w:line="360" w:lineRule="auto"/>
              <w:ind w:firstLine="420" w:firstLineChars="200"/>
              <w:rPr>
                <w:color w:val="auto"/>
                <w:kern w:val="0"/>
              </w:rPr>
            </w:pPr>
            <w:r>
              <w:rPr>
                <w:color w:val="auto"/>
                <w:kern w:val="0"/>
              </w:rPr>
              <w:t>当Q≥1时，将Q值划分为：（1）1≤Q＜10；（2）10≤Q＜100；（3）Q≥100。</w:t>
            </w:r>
          </w:p>
          <w:p w14:paraId="3A8503A9">
            <w:pPr>
              <w:pStyle w:val="663"/>
              <w:spacing w:line="360" w:lineRule="auto"/>
              <w:ind w:firstLine="420" w:firstLineChars="200"/>
              <w:jc w:val="left"/>
              <w:rPr>
                <w:rFonts w:hint="default" w:eastAsia="宋体"/>
                <w:b w:val="0"/>
                <w:bCs w:val="0"/>
                <w:color w:val="auto"/>
                <w:kern w:val="0"/>
                <w:lang w:val="en-US" w:eastAsia="zh-CN"/>
              </w:rPr>
            </w:pPr>
            <w:r>
              <w:rPr>
                <w:rFonts w:hint="eastAsia"/>
                <w:b w:val="0"/>
                <w:bCs w:val="0"/>
                <w:color w:val="auto"/>
                <w:kern w:val="0"/>
              </w:rPr>
              <w:t>根据HJ 169-2018附表B，项目涉及的主要危险物质数量与临界量比值（Q）见下表。</w:t>
            </w:r>
          </w:p>
          <w:p w14:paraId="7F2A2816">
            <w:pPr>
              <w:adjustRightInd w:val="0"/>
              <w:snapToGrid w:val="0"/>
              <w:jc w:val="center"/>
              <w:rPr>
                <w:rFonts w:hint="default" w:eastAsia="宋体"/>
                <w:b/>
                <w:color w:val="auto"/>
                <w:kern w:val="0"/>
                <w:lang w:val="en-US" w:eastAsia="zh-CN"/>
              </w:rPr>
            </w:pPr>
            <w:r>
              <w:rPr>
                <w:rFonts w:hint="eastAsia"/>
                <w:b/>
                <w:color w:val="auto"/>
                <w:kern w:val="0"/>
                <w:lang w:val="en-US" w:eastAsia="zh-CN"/>
              </w:rPr>
              <w:t>表4-24.1   现有项目涉及危险物质Q值</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2382"/>
              <w:gridCol w:w="1792"/>
              <w:gridCol w:w="1402"/>
              <w:gridCol w:w="1709"/>
              <w:gridCol w:w="2304"/>
            </w:tblGrid>
            <w:tr w14:paraId="290F522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1242" w:type="pct"/>
                  <w:tcBorders>
                    <w:tl2br w:val="nil"/>
                    <w:tr2bl w:val="nil"/>
                  </w:tcBorders>
                  <w:vAlign w:val="center"/>
                </w:tcPr>
                <w:p w14:paraId="3EDEA34C">
                  <w:pPr>
                    <w:tabs>
                      <w:tab w:val="left" w:pos="960"/>
                    </w:tabs>
                    <w:snapToGrid w:val="0"/>
                    <w:jc w:val="center"/>
                    <w:rPr>
                      <w:b/>
                      <w:bCs/>
                      <w:color w:val="auto"/>
                      <w:kern w:val="0"/>
                    </w:rPr>
                  </w:pPr>
                  <w:r>
                    <w:rPr>
                      <w:b/>
                      <w:bCs/>
                      <w:color w:val="auto"/>
                      <w:kern w:val="0"/>
                    </w:rPr>
                    <w:t>名称</w:t>
                  </w:r>
                </w:p>
              </w:tc>
              <w:tc>
                <w:tcPr>
                  <w:tcW w:w="934" w:type="pct"/>
                  <w:tcBorders>
                    <w:tl2br w:val="nil"/>
                    <w:tr2bl w:val="nil"/>
                  </w:tcBorders>
                  <w:vAlign w:val="center"/>
                </w:tcPr>
                <w:p w14:paraId="31A0400E">
                  <w:pPr>
                    <w:tabs>
                      <w:tab w:val="left" w:pos="960"/>
                    </w:tabs>
                    <w:snapToGrid w:val="0"/>
                    <w:jc w:val="center"/>
                    <w:rPr>
                      <w:rFonts w:hint="default" w:eastAsia="宋体"/>
                      <w:b/>
                      <w:bCs/>
                      <w:color w:val="auto"/>
                      <w:kern w:val="0"/>
                      <w:lang w:val="en-US" w:eastAsia="zh-CN"/>
                    </w:rPr>
                  </w:pPr>
                  <w:r>
                    <w:rPr>
                      <w:rFonts w:hint="eastAsia"/>
                      <w:b/>
                      <w:bCs/>
                      <w:color w:val="auto"/>
                      <w:kern w:val="0"/>
                      <w:lang w:val="en-US" w:eastAsia="zh-CN"/>
                    </w:rPr>
                    <w:t>CAS号</w:t>
                  </w:r>
                </w:p>
              </w:tc>
              <w:tc>
                <w:tcPr>
                  <w:tcW w:w="731" w:type="pct"/>
                  <w:tcBorders>
                    <w:tl2br w:val="nil"/>
                    <w:tr2bl w:val="nil"/>
                  </w:tcBorders>
                  <w:vAlign w:val="center"/>
                </w:tcPr>
                <w:p w14:paraId="3319ED1C">
                  <w:pPr>
                    <w:tabs>
                      <w:tab w:val="left" w:pos="960"/>
                    </w:tabs>
                    <w:snapToGrid w:val="0"/>
                    <w:jc w:val="center"/>
                    <w:rPr>
                      <w:b/>
                      <w:bCs/>
                      <w:color w:val="auto"/>
                      <w:kern w:val="0"/>
                    </w:rPr>
                  </w:pPr>
                  <w:r>
                    <w:rPr>
                      <w:rFonts w:hint="eastAsia"/>
                      <w:b/>
                      <w:bCs/>
                      <w:color w:val="auto"/>
                      <w:kern w:val="0"/>
                      <w:lang w:val="en-US" w:eastAsia="zh-CN"/>
                    </w:rPr>
                    <w:t>最大储存量</w:t>
                  </w:r>
                  <w:r>
                    <w:rPr>
                      <w:b/>
                      <w:bCs/>
                      <w:color w:val="auto"/>
                      <w:kern w:val="0"/>
                    </w:rPr>
                    <w:t>/t</w:t>
                  </w:r>
                </w:p>
              </w:tc>
              <w:tc>
                <w:tcPr>
                  <w:tcW w:w="890" w:type="pct"/>
                  <w:tcBorders>
                    <w:tl2br w:val="nil"/>
                    <w:tr2bl w:val="nil"/>
                  </w:tcBorders>
                  <w:vAlign w:val="center"/>
                </w:tcPr>
                <w:p w14:paraId="6C9020DA">
                  <w:pPr>
                    <w:tabs>
                      <w:tab w:val="left" w:pos="960"/>
                    </w:tabs>
                    <w:snapToGrid w:val="0"/>
                    <w:jc w:val="center"/>
                    <w:rPr>
                      <w:rFonts w:hint="default" w:eastAsia="宋体"/>
                      <w:b/>
                      <w:bCs/>
                      <w:color w:val="auto"/>
                      <w:kern w:val="0"/>
                      <w:lang w:val="en-US" w:eastAsia="zh-CN"/>
                    </w:rPr>
                  </w:pPr>
                  <w:r>
                    <w:rPr>
                      <w:rFonts w:hint="eastAsia"/>
                      <w:b/>
                      <w:bCs/>
                      <w:color w:val="auto"/>
                      <w:kern w:val="0"/>
                      <w:lang w:val="en-US" w:eastAsia="zh-CN"/>
                    </w:rPr>
                    <w:t>临界量/t</w:t>
                  </w:r>
                </w:p>
              </w:tc>
              <w:tc>
                <w:tcPr>
                  <w:tcW w:w="1201" w:type="pct"/>
                  <w:tcBorders>
                    <w:tl2br w:val="nil"/>
                    <w:tr2bl w:val="nil"/>
                  </w:tcBorders>
                  <w:vAlign w:val="center"/>
                </w:tcPr>
                <w:p w14:paraId="07C4F7B2">
                  <w:pPr>
                    <w:tabs>
                      <w:tab w:val="left" w:pos="960"/>
                    </w:tabs>
                    <w:snapToGrid w:val="0"/>
                    <w:jc w:val="center"/>
                    <w:rPr>
                      <w:rFonts w:hint="default" w:eastAsia="宋体"/>
                      <w:b/>
                      <w:bCs/>
                      <w:color w:val="auto"/>
                      <w:kern w:val="0"/>
                      <w:lang w:val="en-US" w:eastAsia="zh-CN"/>
                    </w:rPr>
                  </w:pPr>
                  <w:r>
                    <w:rPr>
                      <w:rFonts w:hint="eastAsia"/>
                      <w:b/>
                      <w:bCs/>
                      <w:color w:val="auto"/>
                      <w:kern w:val="0"/>
                      <w:lang w:val="en-US" w:eastAsia="zh-CN"/>
                    </w:rPr>
                    <w:t>Q值</w:t>
                  </w:r>
                </w:p>
              </w:tc>
            </w:tr>
            <w:tr w14:paraId="2BEA8F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242" w:type="pct"/>
                  <w:tcBorders>
                    <w:tl2br w:val="nil"/>
                    <w:tr2bl w:val="nil"/>
                  </w:tcBorders>
                  <w:vAlign w:val="center"/>
                </w:tcPr>
                <w:p w14:paraId="27D409EC">
                  <w:pPr>
                    <w:adjustRightInd w:val="0"/>
                    <w:snapToGrid w:val="0"/>
                    <w:jc w:val="center"/>
                    <w:rPr>
                      <w:rFonts w:hint="eastAsia" w:eastAsia="宋体"/>
                      <w:color w:val="auto"/>
                      <w:kern w:val="0"/>
                      <w:lang w:eastAsia="zh-CN"/>
                    </w:rPr>
                  </w:pPr>
                  <w:r>
                    <w:rPr>
                      <w:rFonts w:hint="eastAsia"/>
                      <w:color w:val="auto"/>
                      <w:kern w:val="0"/>
                      <w:lang w:val="en-US" w:eastAsia="zh-CN"/>
                    </w:rPr>
                    <w:t>正丙醇</w:t>
                  </w:r>
                </w:p>
              </w:tc>
              <w:tc>
                <w:tcPr>
                  <w:tcW w:w="934" w:type="pct"/>
                  <w:tcBorders>
                    <w:tl2br w:val="nil"/>
                    <w:tr2bl w:val="nil"/>
                  </w:tcBorders>
                  <w:vAlign w:val="center"/>
                </w:tcPr>
                <w:p w14:paraId="7B875251">
                  <w:pPr>
                    <w:widowControl/>
                    <w:jc w:val="center"/>
                    <w:textAlignment w:val="center"/>
                    <w:rPr>
                      <w:rFonts w:hint="default" w:eastAsia="宋体"/>
                      <w:color w:val="auto"/>
                      <w:kern w:val="0"/>
                      <w:lang w:val="en-US" w:eastAsia="zh-CN"/>
                    </w:rPr>
                  </w:pPr>
                  <w:r>
                    <w:rPr>
                      <w:rFonts w:hint="eastAsia"/>
                      <w:color w:val="auto"/>
                      <w:kern w:val="0"/>
                      <w:lang w:val="en-US" w:eastAsia="zh-CN"/>
                    </w:rPr>
                    <w:t>71-23-8</w:t>
                  </w:r>
                </w:p>
              </w:tc>
              <w:tc>
                <w:tcPr>
                  <w:tcW w:w="731" w:type="pct"/>
                  <w:tcBorders>
                    <w:tl2br w:val="nil"/>
                    <w:tr2bl w:val="nil"/>
                  </w:tcBorders>
                  <w:vAlign w:val="center"/>
                </w:tcPr>
                <w:p w14:paraId="1F150045">
                  <w:pPr>
                    <w:widowControl/>
                    <w:jc w:val="center"/>
                    <w:textAlignment w:val="center"/>
                    <w:rPr>
                      <w:rFonts w:hint="default" w:eastAsia="宋体"/>
                      <w:color w:val="auto"/>
                      <w:kern w:val="0"/>
                      <w:lang w:val="en-US" w:eastAsia="zh-CN" w:bidi="ar"/>
                    </w:rPr>
                  </w:pPr>
                  <w:r>
                    <w:rPr>
                      <w:rFonts w:hint="eastAsia"/>
                      <w:color w:val="auto"/>
                      <w:kern w:val="0"/>
                      <w:lang w:val="en-US" w:eastAsia="zh-CN" w:bidi="ar"/>
                    </w:rPr>
                    <w:t>3</w:t>
                  </w:r>
                </w:p>
              </w:tc>
              <w:tc>
                <w:tcPr>
                  <w:tcW w:w="890" w:type="pct"/>
                  <w:tcBorders>
                    <w:tl2br w:val="nil"/>
                    <w:tr2bl w:val="nil"/>
                  </w:tcBorders>
                  <w:vAlign w:val="center"/>
                </w:tcPr>
                <w:p w14:paraId="0DD3A9E6">
                  <w:pPr>
                    <w:widowControl/>
                    <w:jc w:val="center"/>
                    <w:textAlignment w:val="center"/>
                    <w:rPr>
                      <w:rFonts w:hint="default" w:eastAsia="宋体"/>
                      <w:color w:val="auto"/>
                      <w:kern w:val="0"/>
                      <w:lang w:val="en-US" w:eastAsia="zh-CN" w:bidi="ar"/>
                    </w:rPr>
                  </w:pPr>
                  <w:r>
                    <w:rPr>
                      <w:rFonts w:hint="eastAsia"/>
                      <w:color w:val="auto"/>
                      <w:kern w:val="0"/>
                      <w:lang w:val="en-US" w:eastAsia="zh-CN" w:bidi="ar"/>
                    </w:rPr>
                    <w:t>10</w:t>
                  </w:r>
                </w:p>
              </w:tc>
              <w:tc>
                <w:tcPr>
                  <w:tcW w:w="1201" w:type="pct"/>
                  <w:tcBorders>
                    <w:tl2br w:val="nil"/>
                    <w:tr2bl w:val="nil"/>
                  </w:tcBorders>
                  <w:vAlign w:val="center"/>
                </w:tcPr>
                <w:p w14:paraId="1F14056A">
                  <w:pPr>
                    <w:jc w:val="center"/>
                    <w:rPr>
                      <w:rFonts w:hint="default" w:eastAsia="宋体"/>
                      <w:color w:val="auto"/>
                      <w:kern w:val="0"/>
                      <w:lang w:val="en-US" w:eastAsia="zh-CN"/>
                    </w:rPr>
                  </w:pPr>
                  <w:r>
                    <w:rPr>
                      <w:rFonts w:hint="eastAsia"/>
                      <w:color w:val="auto"/>
                      <w:kern w:val="0"/>
                      <w:lang w:val="en-US" w:eastAsia="zh-CN"/>
                    </w:rPr>
                    <w:t>0.3</w:t>
                  </w:r>
                </w:p>
              </w:tc>
            </w:tr>
            <w:tr w14:paraId="2CC46D7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242" w:type="pct"/>
                  <w:tcBorders>
                    <w:tl2br w:val="nil"/>
                    <w:tr2bl w:val="nil"/>
                  </w:tcBorders>
                  <w:vAlign w:val="center"/>
                </w:tcPr>
                <w:p w14:paraId="7989EE60">
                  <w:pPr>
                    <w:pStyle w:val="698"/>
                    <w:rPr>
                      <w:rFonts w:hint="eastAsia" w:eastAsia="宋体"/>
                      <w:color w:val="auto"/>
                      <w:kern w:val="0"/>
                      <w:lang w:eastAsia="zh-CN"/>
                    </w:rPr>
                  </w:pPr>
                  <w:r>
                    <w:rPr>
                      <w:rFonts w:hint="eastAsia" w:eastAsia="宋体"/>
                      <w:bCs/>
                      <w:color w:val="auto"/>
                      <w:kern w:val="0"/>
                      <w:lang w:val="en-US" w:eastAsia="zh-CN"/>
                    </w:rPr>
                    <w:t>产气药药粉</w:t>
                  </w:r>
                </w:p>
              </w:tc>
              <w:tc>
                <w:tcPr>
                  <w:tcW w:w="934" w:type="pct"/>
                  <w:tcBorders>
                    <w:tl2br w:val="nil"/>
                    <w:tr2bl w:val="nil"/>
                  </w:tcBorders>
                  <w:vAlign w:val="center"/>
                </w:tcPr>
                <w:p w14:paraId="6BC089A8">
                  <w:pPr>
                    <w:widowControl/>
                    <w:jc w:val="center"/>
                    <w:textAlignment w:val="center"/>
                    <w:rPr>
                      <w:rFonts w:hint="default" w:eastAsia="宋体"/>
                      <w:color w:val="auto"/>
                      <w:kern w:val="0"/>
                      <w:lang w:val="en-US" w:eastAsia="zh-CN"/>
                    </w:rPr>
                  </w:pPr>
                  <w:r>
                    <w:rPr>
                      <w:rFonts w:hint="eastAsia"/>
                      <w:color w:val="auto"/>
                      <w:kern w:val="0"/>
                      <w:lang w:val="en-US" w:eastAsia="zh-CN"/>
                    </w:rPr>
                    <w:t>/</w:t>
                  </w:r>
                </w:p>
              </w:tc>
              <w:tc>
                <w:tcPr>
                  <w:tcW w:w="731" w:type="pct"/>
                  <w:tcBorders>
                    <w:tl2br w:val="nil"/>
                    <w:tr2bl w:val="nil"/>
                  </w:tcBorders>
                  <w:vAlign w:val="center"/>
                </w:tcPr>
                <w:p w14:paraId="00B75976">
                  <w:pPr>
                    <w:widowControl/>
                    <w:jc w:val="center"/>
                    <w:textAlignment w:val="center"/>
                    <w:rPr>
                      <w:color w:val="auto"/>
                      <w:kern w:val="0"/>
                      <w:lang w:bidi="ar"/>
                    </w:rPr>
                  </w:pPr>
                  <w:r>
                    <w:rPr>
                      <w:rFonts w:hint="eastAsia"/>
                      <w:color w:val="auto"/>
                      <w:kern w:val="0"/>
                      <w:lang w:bidi="ar"/>
                    </w:rPr>
                    <w:t>50</w:t>
                  </w:r>
                </w:p>
              </w:tc>
              <w:tc>
                <w:tcPr>
                  <w:tcW w:w="890" w:type="pct"/>
                  <w:tcBorders>
                    <w:tl2br w:val="nil"/>
                    <w:tr2bl w:val="nil"/>
                  </w:tcBorders>
                  <w:vAlign w:val="center"/>
                </w:tcPr>
                <w:p w14:paraId="489F0887">
                  <w:pPr>
                    <w:widowControl/>
                    <w:jc w:val="center"/>
                    <w:textAlignment w:val="center"/>
                    <w:rPr>
                      <w:rFonts w:hint="default" w:eastAsia="宋体"/>
                      <w:color w:val="auto"/>
                      <w:kern w:val="0"/>
                      <w:lang w:val="en-US" w:eastAsia="zh-CN"/>
                    </w:rPr>
                  </w:pPr>
                  <w:r>
                    <w:rPr>
                      <w:rFonts w:hint="eastAsia"/>
                      <w:color w:val="auto"/>
                      <w:kern w:val="0"/>
                      <w:lang w:val="en-US" w:eastAsia="zh-CN"/>
                    </w:rPr>
                    <w:t>10</w:t>
                  </w:r>
                </w:p>
              </w:tc>
              <w:tc>
                <w:tcPr>
                  <w:tcW w:w="1201" w:type="pct"/>
                  <w:tcBorders>
                    <w:tl2br w:val="nil"/>
                    <w:tr2bl w:val="nil"/>
                  </w:tcBorders>
                  <w:vAlign w:val="center"/>
                </w:tcPr>
                <w:p w14:paraId="41F7D725">
                  <w:pPr>
                    <w:jc w:val="center"/>
                    <w:rPr>
                      <w:rFonts w:hint="eastAsia" w:eastAsia="宋体"/>
                      <w:color w:val="auto"/>
                      <w:kern w:val="0"/>
                      <w:lang w:eastAsia="zh-CN"/>
                    </w:rPr>
                  </w:pPr>
                  <w:r>
                    <w:rPr>
                      <w:rFonts w:hint="eastAsia"/>
                      <w:color w:val="auto"/>
                      <w:kern w:val="0"/>
                      <w:lang w:val="en-US" w:eastAsia="zh-CN"/>
                    </w:rPr>
                    <w:t>5</w:t>
                  </w:r>
                </w:p>
              </w:tc>
            </w:tr>
            <w:tr w14:paraId="2C09637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242" w:type="pct"/>
                  <w:tcBorders>
                    <w:tl2br w:val="nil"/>
                    <w:tr2bl w:val="nil"/>
                  </w:tcBorders>
                  <w:vAlign w:val="center"/>
                </w:tcPr>
                <w:p w14:paraId="491ABBDF">
                  <w:pPr>
                    <w:pStyle w:val="698"/>
                    <w:rPr>
                      <w:rFonts w:hint="eastAsia" w:eastAsia="宋体"/>
                      <w:bCs/>
                      <w:color w:val="auto"/>
                      <w:kern w:val="0"/>
                      <w:lang w:val="en-US" w:eastAsia="zh-CN"/>
                    </w:rPr>
                  </w:pPr>
                  <w:r>
                    <w:rPr>
                      <w:rFonts w:hint="eastAsia" w:eastAsia="宋体"/>
                      <w:bCs/>
                      <w:color w:val="auto"/>
                      <w:kern w:val="0"/>
                      <w:lang w:val="en-US" w:eastAsia="zh-CN"/>
                    </w:rPr>
                    <w:t>硝酸钾</w:t>
                  </w:r>
                </w:p>
              </w:tc>
              <w:tc>
                <w:tcPr>
                  <w:tcW w:w="934" w:type="pct"/>
                  <w:tcBorders>
                    <w:tl2br w:val="nil"/>
                    <w:tr2bl w:val="nil"/>
                  </w:tcBorders>
                  <w:vAlign w:val="center"/>
                </w:tcPr>
                <w:p w14:paraId="7116D3FF">
                  <w:pPr>
                    <w:widowControl/>
                    <w:jc w:val="center"/>
                    <w:textAlignment w:val="center"/>
                    <w:rPr>
                      <w:rFonts w:hint="default"/>
                      <w:color w:val="auto"/>
                      <w:kern w:val="0"/>
                      <w:lang w:val="en-US" w:eastAsia="zh-CN"/>
                    </w:rPr>
                  </w:pPr>
                  <w:r>
                    <w:rPr>
                      <w:rFonts w:hint="eastAsia"/>
                      <w:color w:val="auto"/>
                      <w:kern w:val="0"/>
                      <w:lang w:val="en-US" w:eastAsia="zh-CN"/>
                    </w:rPr>
                    <w:t>7757-79-1</w:t>
                  </w:r>
                </w:p>
              </w:tc>
              <w:tc>
                <w:tcPr>
                  <w:tcW w:w="731" w:type="pct"/>
                  <w:tcBorders>
                    <w:tl2br w:val="nil"/>
                    <w:tr2bl w:val="nil"/>
                  </w:tcBorders>
                  <w:vAlign w:val="center"/>
                </w:tcPr>
                <w:p w14:paraId="397D66B0">
                  <w:pPr>
                    <w:widowControl/>
                    <w:jc w:val="center"/>
                    <w:textAlignment w:val="center"/>
                    <w:rPr>
                      <w:rFonts w:hint="eastAsia" w:eastAsia="宋体"/>
                      <w:color w:val="auto"/>
                      <w:kern w:val="0"/>
                      <w:lang w:val="en-US" w:eastAsia="zh-CN" w:bidi="ar"/>
                    </w:rPr>
                  </w:pPr>
                  <w:r>
                    <w:rPr>
                      <w:rFonts w:hint="eastAsia"/>
                      <w:color w:val="auto"/>
                      <w:kern w:val="0"/>
                      <w:lang w:val="en-US" w:eastAsia="zh-CN" w:bidi="ar"/>
                    </w:rPr>
                    <w:t>5</w:t>
                  </w:r>
                </w:p>
              </w:tc>
              <w:tc>
                <w:tcPr>
                  <w:tcW w:w="890" w:type="pct"/>
                  <w:tcBorders>
                    <w:tl2br w:val="nil"/>
                    <w:tr2bl w:val="nil"/>
                  </w:tcBorders>
                  <w:vAlign w:val="center"/>
                </w:tcPr>
                <w:p w14:paraId="6B7BBD17">
                  <w:pPr>
                    <w:widowControl/>
                    <w:jc w:val="center"/>
                    <w:textAlignment w:val="center"/>
                    <w:rPr>
                      <w:rFonts w:hint="default"/>
                      <w:color w:val="auto"/>
                      <w:kern w:val="0"/>
                      <w:lang w:val="en-US" w:eastAsia="zh-CN"/>
                    </w:rPr>
                  </w:pPr>
                  <w:r>
                    <w:rPr>
                      <w:rFonts w:hint="eastAsia"/>
                      <w:color w:val="auto"/>
                      <w:kern w:val="0"/>
                      <w:lang w:val="en-US" w:eastAsia="zh-CN"/>
                    </w:rPr>
                    <w:t>7.5</w:t>
                  </w:r>
                </w:p>
              </w:tc>
              <w:tc>
                <w:tcPr>
                  <w:tcW w:w="1201" w:type="pct"/>
                  <w:tcBorders>
                    <w:tl2br w:val="nil"/>
                    <w:tr2bl w:val="nil"/>
                  </w:tcBorders>
                  <w:vAlign w:val="center"/>
                </w:tcPr>
                <w:p w14:paraId="7D9DF687">
                  <w:pPr>
                    <w:jc w:val="center"/>
                    <w:rPr>
                      <w:rFonts w:hint="default" w:eastAsia="宋体"/>
                      <w:color w:val="auto"/>
                      <w:kern w:val="0"/>
                      <w:lang w:val="en-US" w:eastAsia="zh-CN"/>
                    </w:rPr>
                  </w:pPr>
                  <w:r>
                    <w:rPr>
                      <w:rFonts w:hint="eastAsia"/>
                      <w:color w:val="auto"/>
                      <w:kern w:val="0"/>
                      <w:lang w:val="en-US" w:eastAsia="zh-CN"/>
                    </w:rPr>
                    <w:t>0.67</w:t>
                  </w:r>
                </w:p>
              </w:tc>
            </w:tr>
            <w:tr w14:paraId="02F9794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242" w:type="pct"/>
                  <w:tcBorders>
                    <w:tl2br w:val="nil"/>
                    <w:tr2bl w:val="nil"/>
                  </w:tcBorders>
                  <w:vAlign w:val="center"/>
                </w:tcPr>
                <w:p w14:paraId="574AFF5B">
                  <w:pPr>
                    <w:pStyle w:val="698"/>
                    <w:rPr>
                      <w:rFonts w:hint="eastAsia" w:eastAsia="宋体"/>
                      <w:bCs/>
                      <w:color w:val="auto"/>
                      <w:kern w:val="0"/>
                      <w:lang w:val="en-US" w:eastAsia="zh-CN"/>
                    </w:rPr>
                  </w:pPr>
                  <w:r>
                    <w:rPr>
                      <w:rFonts w:hint="eastAsia" w:eastAsia="宋体"/>
                      <w:bCs/>
                      <w:color w:val="auto"/>
                      <w:kern w:val="0"/>
                      <w:lang w:val="en-US" w:eastAsia="zh-CN"/>
                    </w:rPr>
                    <w:t>硝酸胍</w:t>
                  </w:r>
                </w:p>
              </w:tc>
              <w:tc>
                <w:tcPr>
                  <w:tcW w:w="934" w:type="pct"/>
                  <w:tcBorders>
                    <w:tl2br w:val="nil"/>
                    <w:tr2bl w:val="nil"/>
                  </w:tcBorders>
                  <w:vAlign w:val="center"/>
                </w:tcPr>
                <w:p w14:paraId="0B4E67B2">
                  <w:pPr>
                    <w:widowControl/>
                    <w:jc w:val="center"/>
                    <w:textAlignment w:val="center"/>
                    <w:rPr>
                      <w:rFonts w:hint="default"/>
                      <w:color w:val="auto"/>
                      <w:kern w:val="0"/>
                      <w:lang w:val="en-US" w:eastAsia="zh-CN"/>
                    </w:rPr>
                  </w:pPr>
                  <w:r>
                    <w:rPr>
                      <w:rFonts w:hint="eastAsia"/>
                      <w:color w:val="auto"/>
                      <w:kern w:val="0"/>
                      <w:lang w:val="en-US" w:eastAsia="zh-CN"/>
                    </w:rPr>
                    <w:t>506-93-4</w:t>
                  </w:r>
                </w:p>
              </w:tc>
              <w:tc>
                <w:tcPr>
                  <w:tcW w:w="731" w:type="pct"/>
                  <w:tcBorders>
                    <w:tl2br w:val="nil"/>
                    <w:tr2bl w:val="nil"/>
                  </w:tcBorders>
                  <w:vAlign w:val="center"/>
                </w:tcPr>
                <w:p w14:paraId="586CA312">
                  <w:pPr>
                    <w:widowControl/>
                    <w:jc w:val="center"/>
                    <w:textAlignment w:val="center"/>
                    <w:rPr>
                      <w:rFonts w:hint="eastAsia" w:eastAsia="宋体"/>
                      <w:color w:val="auto"/>
                      <w:kern w:val="0"/>
                      <w:lang w:val="en-US" w:eastAsia="zh-CN" w:bidi="ar"/>
                    </w:rPr>
                  </w:pPr>
                  <w:r>
                    <w:rPr>
                      <w:rFonts w:hint="eastAsia"/>
                      <w:color w:val="auto"/>
                      <w:kern w:val="0"/>
                      <w:lang w:val="en-US" w:eastAsia="zh-CN" w:bidi="ar"/>
                    </w:rPr>
                    <w:t>1</w:t>
                  </w:r>
                </w:p>
              </w:tc>
              <w:tc>
                <w:tcPr>
                  <w:tcW w:w="890" w:type="pct"/>
                  <w:tcBorders>
                    <w:tl2br w:val="nil"/>
                    <w:tr2bl w:val="nil"/>
                  </w:tcBorders>
                  <w:vAlign w:val="center"/>
                </w:tcPr>
                <w:p w14:paraId="4BACAFC6">
                  <w:pPr>
                    <w:widowControl/>
                    <w:jc w:val="center"/>
                    <w:textAlignment w:val="center"/>
                    <w:rPr>
                      <w:rFonts w:hint="default"/>
                      <w:color w:val="auto"/>
                      <w:kern w:val="0"/>
                      <w:lang w:val="en-US" w:eastAsia="zh-CN"/>
                    </w:rPr>
                  </w:pPr>
                  <w:r>
                    <w:rPr>
                      <w:rFonts w:hint="eastAsia"/>
                      <w:color w:val="auto"/>
                      <w:kern w:val="0"/>
                      <w:lang w:val="en-US" w:eastAsia="zh-CN"/>
                    </w:rPr>
                    <w:t>7.5</w:t>
                  </w:r>
                </w:p>
              </w:tc>
              <w:tc>
                <w:tcPr>
                  <w:tcW w:w="1201" w:type="pct"/>
                  <w:tcBorders>
                    <w:tl2br w:val="nil"/>
                    <w:tr2bl w:val="nil"/>
                  </w:tcBorders>
                  <w:vAlign w:val="center"/>
                </w:tcPr>
                <w:p w14:paraId="13F7E758">
                  <w:pPr>
                    <w:jc w:val="center"/>
                    <w:rPr>
                      <w:rFonts w:hint="default" w:eastAsia="宋体"/>
                      <w:color w:val="auto"/>
                      <w:kern w:val="0"/>
                      <w:lang w:val="en-US" w:eastAsia="zh-CN"/>
                    </w:rPr>
                  </w:pPr>
                  <w:r>
                    <w:rPr>
                      <w:rFonts w:hint="eastAsia"/>
                      <w:color w:val="auto"/>
                      <w:kern w:val="0"/>
                      <w:lang w:val="en-US" w:eastAsia="zh-CN"/>
                    </w:rPr>
                    <w:t>0.13</w:t>
                  </w:r>
                </w:p>
              </w:tc>
            </w:tr>
            <w:tr w14:paraId="1EE298D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242" w:type="pct"/>
                  <w:tcBorders>
                    <w:tl2br w:val="nil"/>
                    <w:tr2bl w:val="nil"/>
                  </w:tcBorders>
                  <w:vAlign w:val="center"/>
                </w:tcPr>
                <w:p w14:paraId="28EA91DD">
                  <w:pPr>
                    <w:pStyle w:val="698"/>
                    <w:rPr>
                      <w:rFonts w:hint="eastAsia" w:eastAsia="宋体"/>
                      <w:bCs/>
                      <w:color w:val="auto"/>
                      <w:kern w:val="0"/>
                      <w:lang w:val="en-US" w:eastAsia="zh-CN"/>
                    </w:rPr>
                  </w:pPr>
                  <w:r>
                    <w:rPr>
                      <w:rFonts w:hint="eastAsia" w:eastAsia="宋体"/>
                      <w:bCs/>
                      <w:color w:val="auto"/>
                      <w:kern w:val="0"/>
                      <w:lang w:val="en-US" w:eastAsia="zh-CN"/>
                    </w:rPr>
                    <w:t>硝酸铜（以铜离子计）</w:t>
                  </w:r>
                </w:p>
              </w:tc>
              <w:tc>
                <w:tcPr>
                  <w:tcW w:w="934" w:type="pct"/>
                  <w:tcBorders>
                    <w:tl2br w:val="nil"/>
                    <w:tr2bl w:val="nil"/>
                  </w:tcBorders>
                  <w:vAlign w:val="center"/>
                </w:tcPr>
                <w:p w14:paraId="2C5D8E58">
                  <w:pPr>
                    <w:widowControl/>
                    <w:jc w:val="center"/>
                    <w:textAlignment w:val="center"/>
                    <w:rPr>
                      <w:rFonts w:hint="default"/>
                      <w:color w:val="auto"/>
                      <w:kern w:val="0"/>
                      <w:lang w:val="en-US" w:eastAsia="zh-CN"/>
                    </w:rPr>
                  </w:pPr>
                  <w:r>
                    <w:rPr>
                      <w:rFonts w:hint="eastAsia"/>
                      <w:color w:val="auto"/>
                      <w:kern w:val="0"/>
                      <w:lang w:val="en-US" w:eastAsia="zh-CN"/>
                    </w:rPr>
                    <w:t>/</w:t>
                  </w:r>
                </w:p>
              </w:tc>
              <w:tc>
                <w:tcPr>
                  <w:tcW w:w="731" w:type="pct"/>
                  <w:tcBorders>
                    <w:tl2br w:val="nil"/>
                    <w:tr2bl w:val="nil"/>
                  </w:tcBorders>
                  <w:vAlign w:val="center"/>
                </w:tcPr>
                <w:p w14:paraId="6417796B">
                  <w:pPr>
                    <w:widowControl/>
                    <w:jc w:val="center"/>
                    <w:textAlignment w:val="center"/>
                    <w:rPr>
                      <w:rFonts w:hint="eastAsia" w:eastAsia="宋体"/>
                      <w:color w:val="auto"/>
                      <w:kern w:val="0"/>
                      <w:lang w:val="en-US" w:eastAsia="zh-CN" w:bidi="ar"/>
                    </w:rPr>
                  </w:pPr>
                  <w:r>
                    <w:rPr>
                      <w:rFonts w:hint="eastAsia"/>
                      <w:color w:val="auto"/>
                      <w:kern w:val="0"/>
                      <w:lang w:val="en-US" w:eastAsia="zh-CN" w:bidi="ar"/>
                    </w:rPr>
                    <w:t>3</w:t>
                  </w:r>
                </w:p>
              </w:tc>
              <w:tc>
                <w:tcPr>
                  <w:tcW w:w="890" w:type="pct"/>
                  <w:tcBorders>
                    <w:tl2br w:val="nil"/>
                    <w:tr2bl w:val="nil"/>
                  </w:tcBorders>
                  <w:vAlign w:val="center"/>
                </w:tcPr>
                <w:p w14:paraId="4E4ED7BD">
                  <w:pPr>
                    <w:widowControl/>
                    <w:jc w:val="center"/>
                    <w:textAlignment w:val="center"/>
                    <w:rPr>
                      <w:rFonts w:hint="default"/>
                      <w:color w:val="auto"/>
                      <w:kern w:val="0"/>
                      <w:lang w:val="en-US" w:eastAsia="zh-CN"/>
                    </w:rPr>
                  </w:pPr>
                  <w:r>
                    <w:rPr>
                      <w:rFonts w:hint="eastAsia"/>
                      <w:color w:val="auto"/>
                      <w:kern w:val="0"/>
                      <w:lang w:val="en-US" w:eastAsia="zh-CN"/>
                    </w:rPr>
                    <w:t>0.25</w:t>
                  </w:r>
                </w:p>
              </w:tc>
              <w:tc>
                <w:tcPr>
                  <w:tcW w:w="1201" w:type="pct"/>
                  <w:tcBorders>
                    <w:tl2br w:val="nil"/>
                    <w:tr2bl w:val="nil"/>
                  </w:tcBorders>
                  <w:vAlign w:val="center"/>
                </w:tcPr>
                <w:p w14:paraId="3222A91F">
                  <w:pPr>
                    <w:jc w:val="center"/>
                    <w:rPr>
                      <w:rFonts w:hint="default" w:eastAsia="宋体"/>
                      <w:color w:val="auto"/>
                      <w:kern w:val="0"/>
                      <w:lang w:val="en-US" w:eastAsia="zh-CN"/>
                    </w:rPr>
                  </w:pPr>
                  <w:r>
                    <w:rPr>
                      <w:rFonts w:hint="eastAsia"/>
                      <w:color w:val="auto"/>
                      <w:kern w:val="0"/>
                      <w:lang w:val="en-US" w:eastAsia="zh-CN"/>
                    </w:rPr>
                    <w:t>12</w:t>
                  </w:r>
                </w:p>
              </w:tc>
            </w:tr>
            <w:tr w14:paraId="2C696A3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242" w:type="pct"/>
                  <w:tcBorders>
                    <w:tl2br w:val="nil"/>
                    <w:tr2bl w:val="nil"/>
                  </w:tcBorders>
                  <w:vAlign w:val="center"/>
                </w:tcPr>
                <w:p w14:paraId="3D1157AF">
                  <w:pPr>
                    <w:pStyle w:val="698"/>
                    <w:rPr>
                      <w:rFonts w:hint="eastAsia" w:eastAsia="宋体"/>
                      <w:bCs/>
                      <w:color w:val="auto"/>
                      <w:kern w:val="0"/>
                      <w:lang w:val="en-US" w:eastAsia="zh-CN"/>
                    </w:rPr>
                  </w:pPr>
                  <w:r>
                    <w:rPr>
                      <w:rFonts w:hint="eastAsia" w:eastAsia="宋体"/>
                      <w:bCs/>
                      <w:color w:val="auto"/>
                      <w:kern w:val="0"/>
                      <w:lang w:val="en-US" w:eastAsia="zh-CN"/>
                    </w:rPr>
                    <w:t>酒精</w:t>
                  </w:r>
                </w:p>
              </w:tc>
              <w:tc>
                <w:tcPr>
                  <w:tcW w:w="934" w:type="pct"/>
                  <w:tcBorders>
                    <w:tl2br w:val="nil"/>
                    <w:tr2bl w:val="nil"/>
                  </w:tcBorders>
                  <w:vAlign w:val="center"/>
                </w:tcPr>
                <w:p w14:paraId="6E4C5193">
                  <w:pPr>
                    <w:widowControl/>
                    <w:jc w:val="center"/>
                    <w:textAlignment w:val="center"/>
                    <w:rPr>
                      <w:rFonts w:hint="default"/>
                      <w:color w:val="auto"/>
                      <w:kern w:val="0"/>
                      <w:lang w:val="en-US" w:eastAsia="zh-CN"/>
                    </w:rPr>
                  </w:pPr>
                  <w:r>
                    <w:rPr>
                      <w:rFonts w:hint="eastAsia"/>
                      <w:color w:val="auto"/>
                      <w:kern w:val="0"/>
                      <w:lang w:val="en-US" w:eastAsia="zh-CN"/>
                    </w:rPr>
                    <w:t>64-17-5</w:t>
                  </w:r>
                </w:p>
              </w:tc>
              <w:tc>
                <w:tcPr>
                  <w:tcW w:w="731" w:type="pct"/>
                  <w:tcBorders>
                    <w:tl2br w:val="nil"/>
                    <w:tr2bl w:val="nil"/>
                  </w:tcBorders>
                  <w:vAlign w:val="center"/>
                </w:tcPr>
                <w:p w14:paraId="31986821">
                  <w:pPr>
                    <w:widowControl/>
                    <w:jc w:val="center"/>
                    <w:textAlignment w:val="center"/>
                    <w:rPr>
                      <w:rFonts w:hint="eastAsia" w:eastAsia="宋体"/>
                      <w:color w:val="auto"/>
                      <w:kern w:val="0"/>
                      <w:lang w:val="en-US" w:eastAsia="zh-CN" w:bidi="ar"/>
                    </w:rPr>
                  </w:pPr>
                  <w:r>
                    <w:rPr>
                      <w:rFonts w:hint="eastAsia"/>
                      <w:color w:val="auto"/>
                      <w:kern w:val="0"/>
                      <w:lang w:val="en-US" w:eastAsia="zh-CN" w:bidi="ar"/>
                    </w:rPr>
                    <w:t>1</w:t>
                  </w:r>
                </w:p>
              </w:tc>
              <w:tc>
                <w:tcPr>
                  <w:tcW w:w="890" w:type="pct"/>
                  <w:tcBorders>
                    <w:tl2br w:val="nil"/>
                    <w:tr2bl w:val="nil"/>
                  </w:tcBorders>
                  <w:vAlign w:val="center"/>
                </w:tcPr>
                <w:p w14:paraId="76347C72">
                  <w:pPr>
                    <w:widowControl/>
                    <w:jc w:val="center"/>
                    <w:textAlignment w:val="center"/>
                    <w:rPr>
                      <w:rFonts w:hint="default"/>
                      <w:color w:val="auto"/>
                      <w:kern w:val="0"/>
                      <w:lang w:val="en-US" w:eastAsia="zh-CN"/>
                    </w:rPr>
                  </w:pPr>
                  <w:r>
                    <w:rPr>
                      <w:rFonts w:hint="eastAsia"/>
                      <w:color w:val="auto"/>
                      <w:kern w:val="0"/>
                      <w:lang w:val="en-US" w:eastAsia="zh-CN"/>
                    </w:rPr>
                    <w:t>500</w:t>
                  </w:r>
                </w:p>
              </w:tc>
              <w:tc>
                <w:tcPr>
                  <w:tcW w:w="1201" w:type="pct"/>
                  <w:tcBorders>
                    <w:tl2br w:val="nil"/>
                    <w:tr2bl w:val="nil"/>
                  </w:tcBorders>
                  <w:vAlign w:val="center"/>
                </w:tcPr>
                <w:p w14:paraId="70E67E69">
                  <w:pPr>
                    <w:jc w:val="center"/>
                    <w:rPr>
                      <w:rFonts w:hint="default" w:eastAsia="宋体"/>
                      <w:color w:val="auto"/>
                      <w:kern w:val="0"/>
                      <w:lang w:val="en-US" w:eastAsia="zh-CN"/>
                    </w:rPr>
                  </w:pPr>
                  <w:r>
                    <w:rPr>
                      <w:rFonts w:hint="eastAsia"/>
                      <w:color w:val="auto"/>
                      <w:kern w:val="0"/>
                      <w:lang w:val="en-US" w:eastAsia="zh-CN"/>
                    </w:rPr>
                    <w:t>0.002</w:t>
                  </w:r>
                </w:p>
              </w:tc>
            </w:tr>
            <w:tr w14:paraId="4A4F18C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242" w:type="pct"/>
                  <w:tcBorders>
                    <w:tl2br w:val="nil"/>
                    <w:tr2bl w:val="nil"/>
                  </w:tcBorders>
                  <w:vAlign w:val="center"/>
                </w:tcPr>
                <w:p w14:paraId="5724421E">
                  <w:pPr>
                    <w:pStyle w:val="698"/>
                    <w:rPr>
                      <w:rFonts w:hint="eastAsia" w:eastAsia="宋体"/>
                      <w:bCs/>
                      <w:color w:val="auto"/>
                      <w:kern w:val="0"/>
                      <w:lang w:val="en-US" w:eastAsia="zh-CN"/>
                    </w:rPr>
                  </w:pPr>
                  <w:r>
                    <w:rPr>
                      <w:rFonts w:hint="eastAsia" w:eastAsia="宋体"/>
                      <w:bCs/>
                      <w:color w:val="auto"/>
                      <w:kern w:val="0"/>
                      <w:lang w:val="en-US" w:eastAsia="zh-CN"/>
                    </w:rPr>
                    <w:t>氢气</w:t>
                  </w:r>
                </w:p>
              </w:tc>
              <w:tc>
                <w:tcPr>
                  <w:tcW w:w="934" w:type="pct"/>
                  <w:tcBorders>
                    <w:tl2br w:val="nil"/>
                    <w:tr2bl w:val="nil"/>
                  </w:tcBorders>
                  <w:vAlign w:val="center"/>
                </w:tcPr>
                <w:p w14:paraId="0E6BB9A7">
                  <w:pPr>
                    <w:widowControl/>
                    <w:jc w:val="center"/>
                    <w:textAlignment w:val="center"/>
                    <w:rPr>
                      <w:rFonts w:hint="default"/>
                      <w:color w:val="auto"/>
                      <w:kern w:val="0"/>
                      <w:lang w:val="en-US" w:eastAsia="zh-CN"/>
                    </w:rPr>
                  </w:pPr>
                  <w:r>
                    <w:rPr>
                      <w:rFonts w:hint="eastAsia"/>
                      <w:color w:val="auto"/>
                      <w:kern w:val="0"/>
                      <w:lang w:val="en-US" w:eastAsia="zh-CN"/>
                    </w:rPr>
                    <w:t>1333-74-0</w:t>
                  </w:r>
                </w:p>
              </w:tc>
              <w:tc>
                <w:tcPr>
                  <w:tcW w:w="731" w:type="pct"/>
                  <w:tcBorders>
                    <w:tl2br w:val="nil"/>
                    <w:tr2bl w:val="nil"/>
                  </w:tcBorders>
                  <w:vAlign w:val="center"/>
                </w:tcPr>
                <w:p w14:paraId="2D0B03FB">
                  <w:pPr>
                    <w:widowControl/>
                    <w:jc w:val="center"/>
                    <w:textAlignment w:val="center"/>
                    <w:rPr>
                      <w:rFonts w:hint="default" w:eastAsia="宋体"/>
                      <w:color w:val="auto"/>
                      <w:kern w:val="0"/>
                      <w:lang w:val="en-US" w:eastAsia="zh-CN" w:bidi="ar"/>
                    </w:rPr>
                  </w:pPr>
                  <w:r>
                    <w:rPr>
                      <w:rFonts w:hint="eastAsia"/>
                      <w:color w:val="auto"/>
                      <w:kern w:val="0"/>
                      <w:lang w:val="en-US" w:eastAsia="zh-CN" w:bidi="ar"/>
                    </w:rPr>
                    <w:t>3.2</w:t>
                  </w:r>
                </w:p>
              </w:tc>
              <w:tc>
                <w:tcPr>
                  <w:tcW w:w="890" w:type="pct"/>
                  <w:tcBorders>
                    <w:tl2br w:val="nil"/>
                    <w:tr2bl w:val="nil"/>
                  </w:tcBorders>
                  <w:vAlign w:val="center"/>
                </w:tcPr>
                <w:p w14:paraId="60D632CA">
                  <w:pPr>
                    <w:widowControl/>
                    <w:jc w:val="center"/>
                    <w:textAlignment w:val="center"/>
                    <w:rPr>
                      <w:rFonts w:hint="default"/>
                      <w:color w:val="auto"/>
                      <w:kern w:val="0"/>
                      <w:lang w:val="en-US" w:eastAsia="zh-CN"/>
                    </w:rPr>
                  </w:pPr>
                  <w:r>
                    <w:rPr>
                      <w:rFonts w:hint="eastAsia"/>
                      <w:color w:val="auto"/>
                      <w:kern w:val="0"/>
                      <w:lang w:val="en-US" w:eastAsia="zh-CN"/>
                    </w:rPr>
                    <w:t>10</w:t>
                  </w:r>
                </w:p>
              </w:tc>
              <w:tc>
                <w:tcPr>
                  <w:tcW w:w="1201" w:type="pct"/>
                  <w:tcBorders>
                    <w:tl2br w:val="nil"/>
                    <w:tr2bl w:val="nil"/>
                  </w:tcBorders>
                  <w:vAlign w:val="center"/>
                </w:tcPr>
                <w:p w14:paraId="4FF850D2">
                  <w:pPr>
                    <w:jc w:val="center"/>
                    <w:rPr>
                      <w:rFonts w:hint="default" w:eastAsia="宋体"/>
                      <w:color w:val="auto"/>
                      <w:kern w:val="0"/>
                      <w:lang w:val="en-US" w:eastAsia="zh-CN"/>
                    </w:rPr>
                  </w:pPr>
                  <w:r>
                    <w:rPr>
                      <w:rFonts w:hint="eastAsia"/>
                      <w:color w:val="auto"/>
                      <w:kern w:val="0"/>
                      <w:lang w:val="en-US" w:eastAsia="zh-CN"/>
                    </w:rPr>
                    <w:t>0.32</w:t>
                  </w:r>
                </w:p>
              </w:tc>
            </w:tr>
            <w:tr w14:paraId="0D4BED9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242" w:type="pct"/>
                  <w:tcBorders>
                    <w:tl2br w:val="nil"/>
                    <w:tr2bl w:val="nil"/>
                  </w:tcBorders>
                  <w:vAlign w:val="center"/>
                </w:tcPr>
                <w:p w14:paraId="327788B0">
                  <w:pPr>
                    <w:pStyle w:val="698"/>
                    <w:rPr>
                      <w:rFonts w:hint="eastAsia" w:eastAsia="宋体"/>
                      <w:bCs/>
                      <w:color w:val="auto"/>
                      <w:kern w:val="0"/>
                      <w:lang w:val="en-US" w:eastAsia="zh-CN"/>
                    </w:rPr>
                  </w:pPr>
                  <w:r>
                    <w:rPr>
                      <w:rFonts w:hint="eastAsia" w:eastAsia="宋体"/>
                      <w:bCs/>
                      <w:color w:val="auto"/>
                      <w:kern w:val="0"/>
                      <w:lang w:val="en-US" w:eastAsia="zh-CN"/>
                    </w:rPr>
                    <w:t>氢氧化钠</w:t>
                  </w:r>
                </w:p>
              </w:tc>
              <w:tc>
                <w:tcPr>
                  <w:tcW w:w="934" w:type="pct"/>
                  <w:tcBorders>
                    <w:tl2br w:val="nil"/>
                    <w:tr2bl w:val="nil"/>
                  </w:tcBorders>
                  <w:vAlign w:val="center"/>
                </w:tcPr>
                <w:p w14:paraId="277C5033">
                  <w:pPr>
                    <w:widowControl/>
                    <w:jc w:val="center"/>
                    <w:textAlignment w:val="center"/>
                    <w:rPr>
                      <w:rFonts w:hint="default"/>
                      <w:color w:val="auto"/>
                      <w:kern w:val="0"/>
                      <w:lang w:val="en-US" w:eastAsia="zh-CN"/>
                    </w:rPr>
                  </w:pPr>
                  <w:r>
                    <w:rPr>
                      <w:rFonts w:hint="eastAsia"/>
                      <w:color w:val="auto"/>
                      <w:kern w:val="0"/>
                      <w:lang w:val="en-US" w:eastAsia="zh-CN"/>
                    </w:rPr>
                    <w:t>1310-73-2</w:t>
                  </w:r>
                </w:p>
              </w:tc>
              <w:tc>
                <w:tcPr>
                  <w:tcW w:w="731" w:type="pct"/>
                  <w:tcBorders>
                    <w:tl2br w:val="nil"/>
                    <w:tr2bl w:val="nil"/>
                  </w:tcBorders>
                  <w:vAlign w:val="center"/>
                </w:tcPr>
                <w:p w14:paraId="42AA5555">
                  <w:pPr>
                    <w:widowControl/>
                    <w:jc w:val="center"/>
                    <w:textAlignment w:val="center"/>
                    <w:rPr>
                      <w:rFonts w:hint="eastAsia" w:eastAsia="宋体"/>
                      <w:color w:val="auto"/>
                      <w:kern w:val="0"/>
                      <w:lang w:val="en-US" w:eastAsia="zh-CN" w:bidi="ar"/>
                    </w:rPr>
                  </w:pPr>
                  <w:r>
                    <w:rPr>
                      <w:rFonts w:hint="eastAsia"/>
                      <w:color w:val="auto"/>
                      <w:kern w:val="0"/>
                      <w:lang w:val="en-US" w:eastAsia="zh-CN" w:bidi="ar"/>
                    </w:rPr>
                    <w:t>5</w:t>
                  </w:r>
                </w:p>
              </w:tc>
              <w:tc>
                <w:tcPr>
                  <w:tcW w:w="890" w:type="pct"/>
                  <w:tcBorders>
                    <w:tl2br w:val="nil"/>
                    <w:tr2bl w:val="nil"/>
                  </w:tcBorders>
                  <w:vAlign w:val="center"/>
                </w:tcPr>
                <w:p w14:paraId="582FF2EA">
                  <w:pPr>
                    <w:widowControl/>
                    <w:jc w:val="center"/>
                    <w:textAlignment w:val="center"/>
                    <w:rPr>
                      <w:rFonts w:hint="default"/>
                      <w:color w:val="auto"/>
                      <w:kern w:val="0"/>
                      <w:lang w:val="en-US" w:eastAsia="zh-CN"/>
                    </w:rPr>
                  </w:pPr>
                  <w:r>
                    <w:rPr>
                      <w:rFonts w:hint="eastAsia"/>
                      <w:color w:val="auto"/>
                      <w:kern w:val="0"/>
                      <w:lang w:val="en-US" w:eastAsia="zh-CN"/>
                    </w:rPr>
                    <w:t>50</w:t>
                  </w:r>
                </w:p>
              </w:tc>
              <w:tc>
                <w:tcPr>
                  <w:tcW w:w="1201" w:type="pct"/>
                  <w:tcBorders>
                    <w:tl2br w:val="nil"/>
                    <w:tr2bl w:val="nil"/>
                  </w:tcBorders>
                  <w:vAlign w:val="center"/>
                </w:tcPr>
                <w:p w14:paraId="73A224F1">
                  <w:pPr>
                    <w:jc w:val="center"/>
                    <w:rPr>
                      <w:rFonts w:hint="default" w:eastAsia="宋体"/>
                      <w:color w:val="auto"/>
                      <w:kern w:val="0"/>
                      <w:lang w:val="en-US" w:eastAsia="zh-CN"/>
                    </w:rPr>
                  </w:pPr>
                  <w:r>
                    <w:rPr>
                      <w:rFonts w:hint="eastAsia"/>
                      <w:color w:val="auto"/>
                      <w:kern w:val="0"/>
                      <w:lang w:val="en-US" w:eastAsia="zh-CN"/>
                    </w:rPr>
                    <w:t>0.1</w:t>
                  </w:r>
                </w:p>
              </w:tc>
            </w:tr>
            <w:tr w14:paraId="678382A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242" w:type="pct"/>
                  <w:tcBorders>
                    <w:tl2br w:val="nil"/>
                    <w:tr2bl w:val="nil"/>
                  </w:tcBorders>
                  <w:vAlign w:val="center"/>
                </w:tcPr>
                <w:p w14:paraId="7C17D9F0">
                  <w:pPr>
                    <w:pStyle w:val="698"/>
                    <w:rPr>
                      <w:rFonts w:hint="eastAsia" w:eastAsia="宋体"/>
                      <w:bCs/>
                      <w:color w:val="auto"/>
                      <w:kern w:val="0"/>
                      <w:lang w:val="en-US" w:eastAsia="zh-CN"/>
                    </w:rPr>
                  </w:pPr>
                  <w:r>
                    <w:rPr>
                      <w:rFonts w:hint="eastAsia" w:eastAsia="宋体"/>
                      <w:bCs/>
                      <w:color w:val="auto"/>
                      <w:kern w:val="0"/>
                      <w:lang w:val="en-US" w:eastAsia="zh-CN"/>
                    </w:rPr>
                    <w:t>油类物质</w:t>
                  </w:r>
                </w:p>
              </w:tc>
              <w:tc>
                <w:tcPr>
                  <w:tcW w:w="934" w:type="pct"/>
                  <w:tcBorders>
                    <w:tl2br w:val="nil"/>
                    <w:tr2bl w:val="nil"/>
                  </w:tcBorders>
                  <w:vAlign w:val="center"/>
                </w:tcPr>
                <w:p w14:paraId="707CC61B">
                  <w:pPr>
                    <w:widowControl/>
                    <w:jc w:val="center"/>
                    <w:textAlignment w:val="center"/>
                    <w:rPr>
                      <w:rFonts w:hint="default"/>
                      <w:color w:val="auto"/>
                      <w:kern w:val="0"/>
                      <w:lang w:val="en-US" w:eastAsia="zh-CN"/>
                    </w:rPr>
                  </w:pPr>
                  <w:r>
                    <w:rPr>
                      <w:rFonts w:hint="eastAsia"/>
                      <w:color w:val="auto"/>
                      <w:kern w:val="0"/>
                      <w:lang w:val="en-US" w:eastAsia="zh-CN"/>
                    </w:rPr>
                    <w:t>/</w:t>
                  </w:r>
                </w:p>
              </w:tc>
              <w:tc>
                <w:tcPr>
                  <w:tcW w:w="731" w:type="pct"/>
                  <w:tcBorders>
                    <w:tl2br w:val="nil"/>
                    <w:tr2bl w:val="nil"/>
                  </w:tcBorders>
                  <w:vAlign w:val="center"/>
                </w:tcPr>
                <w:p w14:paraId="6B6F8DE8">
                  <w:pPr>
                    <w:widowControl/>
                    <w:jc w:val="center"/>
                    <w:textAlignment w:val="center"/>
                    <w:rPr>
                      <w:rFonts w:hint="eastAsia" w:eastAsia="宋体"/>
                      <w:color w:val="auto"/>
                      <w:kern w:val="0"/>
                      <w:lang w:val="en-US" w:eastAsia="zh-CN" w:bidi="ar"/>
                    </w:rPr>
                  </w:pPr>
                  <w:r>
                    <w:rPr>
                      <w:rFonts w:hint="eastAsia"/>
                      <w:color w:val="auto"/>
                      <w:kern w:val="0"/>
                      <w:lang w:val="en-US" w:eastAsia="zh-CN" w:bidi="ar"/>
                    </w:rPr>
                    <w:t>5</w:t>
                  </w:r>
                </w:p>
              </w:tc>
              <w:tc>
                <w:tcPr>
                  <w:tcW w:w="890" w:type="pct"/>
                  <w:tcBorders>
                    <w:tl2br w:val="nil"/>
                    <w:tr2bl w:val="nil"/>
                  </w:tcBorders>
                  <w:vAlign w:val="center"/>
                </w:tcPr>
                <w:p w14:paraId="5C36A4B0">
                  <w:pPr>
                    <w:widowControl/>
                    <w:jc w:val="center"/>
                    <w:textAlignment w:val="center"/>
                    <w:rPr>
                      <w:rFonts w:hint="default"/>
                      <w:color w:val="auto"/>
                      <w:kern w:val="0"/>
                      <w:lang w:val="en-US" w:eastAsia="zh-CN"/>
                    </w:rPr>
                  </w:pPr>
                  <w:r>
                    <w:rPr>
                      <w:rFonts w:hint="eastAsia"/>
                      <w:color w:val="auto"/>
                      <w:kern w:val="0"/>
                      <w:lang w:val="en-US" w:eastAsia="zh-CN"/>
                    </w:rPr>
                    <w:t>2500</w:t>
                  </w:r>
                </w:p>
              </w:tc>
              <w:tc>
                <w:tcPr>
                  <w:tcW w:w="1201" w:type="pct"/>
                  <w:tcBorders>
                    <w:tl2br w:val="nil"/>
                    <w:tr2bl w:val="nil"/>
                  </w:tcBorders>
                  <w:vAlign w:val="center"/>
                </w:tcPr>
                <w:p w14:paraId="081093D3">
                  <w:pPr>
                    <w:jc w:val="center"/>
                    <w:rPr>
                      <w:rFonts w:hint="default" w:eastAsia="宋体"/>
                      <w:color w:val="auto"/>
                      <w:kern w:val="0"/>
                      <w:lang w:val="en-US" w:eastAsia="zh-CN"/>
                    </w:rPr>
                  </w:pPr>
                  <w:r>
                    <w:rPr>
                      <w:rFonts w:hint="eastAsia"/>
                      <w:color w:val="auto"/>
                      <w:kern w:val="0"/>
                      <w:lang w:val="en-US" w:eastAsia="zh-CN"/>
                    </w:rPr>
                    <w:t>0.002</w:t>
                  </w:r>
                </w:p>
              </w:tc>
            </w:tr>
            <w:tr w14:paraId="5313761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242" w:type="pct"/>
                  <w:tcBorders>
                    <w:tl2br w:val="nil"/>
                    <w:tr2bl w:val="nil"/>
                  </w:tcBorders>
                  <w:vAlign w:val="center"/>
                </w:tcPr>
                <w:p w14:paraId="7B31EC74">
                  <w:pPr>
                    <w:pStyle w:val="698"/>
                    <w:rPr>
                      <w:rFonts w:hint="eastAsia" w:eastAsia="宋体"/>
                      <w:bCs/>
                      <w:color w:val="auto"/>
                      <w:kern w:val="0"/>
                      <w:lang w:val="en-US" w:eastAsia="zh-CN"/>
                    </w:rPr>
                  </w:pPr>
                  <w:r>
                    <w:rPr>
                      <w:rFonts w:hint="eastAsia" w:eastAsia="宋体"/>
                      <w:bCs/>
                      <w:color w:val="auto"/>
                      <w:kern w:val="0"/>
                      <w:lang w:val="en-US" w:eastAsia="zh-CN"/>
                    </w:rPr>
                    <w:t>盐酸</w:t>
                  </w:r>
                </w:p>
              </w:tc>
              <w:tc>
                <w:tcPr>
                  <w:tcW w:w="934" w:type="pct"/>
                  <w:tcBorders>
                    <w:tl2br w:val="nil"/>
                    <w:tr2bl w:val="nil"/>
                  </w:tcBorders>
                  <w:vAlign w:val="center"/>
                </w:tcPr>
                <w:p w14:paraId="04DEBDAC">
                  <w:pPr>
                    <w:widowControl/>
                    <w:jc w:val="center"/>
                    <w:textAlignment w:val="center"/>
                    <w:rPr>
                      <w:rFonts w:hint="default"/>
                      <w:color w:val="auto"/>
                      <w:kern w:val="0"/>
                      <w:lang w:val="en-US" w:eastAsia="zh-CN"/>
                    </w:rPr>
                  </w:pPr>
                  <w:r>
                    <w:rPr>
                      <w:rFonts w:hint="eastAsia"/>
                      <w:color w:val="auto"/>
                      <w:kern w:val="0"/>
                      <w:lang w:val="en-US" w:eastAsia="zh-CN"/>
                    </w:rPr>
                    <w:t>7647-01-0</w:t>
                  </w:r>
                </w:p>
              </w:tc>
              <w:tc>
                <w:tcPr>
                  <w:tcW w:w="731" w:type="pct"/>
                  <w:tcBorders>
                    <w:tl2br w:val="nil"/>
                    <w:tr2bl w:val="nil"/>
                  </w:tcBorders>
                  <w:vAlign w:val="center"/>
                </w:tcPr>
                <w:p w14:paraId="50204CDD">
                  <w:pPr>
                    <w:widowControl/>
                    <w:jc w:val="center"/>
                    <w:textAlignment w:val="center"/>
                    <w:rPr>
                      <w:rFonts w:hint="default" w:eastAsia="宋体"/>
                      <w:color w:val="auto"/>
                      <w:kern w:val="0"/>
                      <w:lang w:val="en-US" w:eastAsia="zh-CN" w:bidi="ar"/>
                    </w:rPr>
                  </w:pPr>
                  <w:r>
                    <w:rPr>
                      <w:rFonts w:hint="eastAsia"/>
                      <w:color w:val="auto"/>
                      <w:kern w:val="0"/>
                      <w:lang w:val="en-US" w:eastAsia="zh-CN" w:bidi="ar"/>
                    </w:rPr>
                    <w:t>2</w:t>
                  </w:r>
                </w:p>
              </w:tc>
              <w:tc>
                <w:tcPr>
                  <w:tcW w:w="890" w:type="pct"/>
                  <w:tcBorders>
                    <w:tl2br w:val="nil"/>
                    <w:tr2bl w:val="nil"/>
                  </w:tcBorders>
                  <w:vAlign w:val="center"/>
                </w:tcPr>
                <w:p w14:paraId="751C0036">
                  <w:pPr>
                    <w:widowControl/>
                    <w:jc w:val="center"/>
                    <w:textAlignment w:val="center"/>
                    <w:rPr>
                      <w:rFonts w:hint="default"/>
                      <w:color w:val="auto"/>
                      <w:kern w:val="0"/>
                      <w:lang w:val="en-US" w:eastAsia="zh-CN"/>
                    </w:rPr>
                  </w:pPr>
                  <w:r>
                    <w:rPr>
                      <w:rFonts w:hint="eastAsia"/>
                      <w:color w:val="auto"/>
                      <w:kern w:val="0"/>
                      <w:lang w:val="en-US" w:eastAsia="zh-CN"/>
                    </w:rPr>
                    <w:t>7.5</w:t>
                  </w:r>
                </w:p>
              </w:tc>
              <w:tc>
                <w:tcPr>
                  <w:tcW w:w="1201" w:type="pct"/>
                  <w:tcBorders>
                    <w:tl2br w:val="nil"/>
                    <w:tr2bl w:val="nil"/>
                  </w:tcBorders>
                  <w:vAlign w:val="center"/>
                </w:tcPr>
                <w:p w14:paraId="2C184BB6">
                  <w:pPr>
                    <w:jc w:val="center"/>
                    <w:rPr>
                      <w:rFonts w:hint="default" w:eastAsia="宋体"/>
                      <w:color w:val="auto"/>
                      <w:kern w:val="0"/>
                      <w:lang w:val="en-US" w:eastAsia="zh-CN"/>
                    </w:rPr>
                  </w:pPr>
                  <w:r>
                    <w:rPr>
                      <w:rFonts w:hint="eastAsia"/>
                      <w:color w:val="auto"/>
                      <w:kern w:val="0"/>
                      <w:lang w:val="en-US" w:eastAsia="zh-CN"/>
                    </w:rPr>
                    <w:t>0.27</w:t>
                  </w:r>
                </w:p>
              </w:tc>
            </w:tr>
            <w:tr w14:paraId="7ED73D5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242" w:type="pct"/>
                  <w:tcBorders>
                    <w:tl2br w:val="nil"/>
                    <w:tr2bl w:val="nil"/>
                  </w:tcBorders>
                  <w:vAlign w:val="center"/>
                </w:tcPr>
                <w:p w14:paraId="3484835F">
                  <w:pPr>
                    <w:pStyle w:val="698"/>
                    <w:rPr>
                      <w:rFonts w:hint="eastAsia" w:eastAsia="宋体"/>
                      <w:bCs/>
                      <w:color w:val="auto"/>
                      <w:kern w:val="0"/>
                      <w:lang w:val="en-US" w:eastAsia="zh-CN"/>
                    </w:rPr>
                  </w:pPr>
                  <w:r>
                    <w:rPr>
                      <w:rFonts w:hint="eastAsia" w:eastAsia="宋体"/>
                      <w:bCs/>
                      <w:color w:val="auto"/>
                      <w:kern w:val="0"/>
                      <w:lang w:val="en-US" w:eastAsia="zh-CN"/>
                    </w:rPr>
                    <w:t>危险废物</w:t>
                  </w:r>
                </w:p>
              </w:tc>
              <w:tc>
                <w:tcPr>
                  <w:tcW w:w="934" w:type="pct"/>
                  <w:tcBorders>
                    <w:tl2br w:val="nil"/>
                    <w:tr2bl w:val="nil"/>
                  </w:tcBorders>
                  <w:vAlign w:val="center"/>
                </w:tcPr>
                <w:p w14:paraId="59F67B28">
                  <w:pPr>
                    <w:widowControl/>
                    <w:jc w:val="center"/>
                    <w:textAlignment w:val="center"/>
                    <w:rPr>
                      <w:rFonts w:hint="default"/>
                      <w:color w:val="auto"/>
                      <w:kern w:val="0"/>
                      <w:lang w:val="en-US" w:eastAsia="zh-CN"/>
                    </w:rPr>
                  </w:pPr>
                  <w:r>
                    <w:rPr>
                      <w:rFonts w:hint="eastAsia"/>
                      <w:color w:val="auto"/>
                      <w:kern w:val="0"/>
                      <w:lang w:val="en-US" w:eastAsia="zh-CN"/>
                    </w:rPr>
                    <w:t>/</w:t>
                  </w:r>
                </w:p>
              </w:tc>
              <w:tc>
                <w:tcPr>
                  <w:tcW w:w="731" w:type="pct"/>
                  <w:tcBorders>
                    <w:tl2br w:val="nil"/>
                    <w:tr2bl w:val="nil"/>
                  </w:tcBorders>
                  <w:vAlign w:val="center"/>
                </w:tcPr>
                <w:p w14:paraId="2BD465E4">
                  <w:pPr>
                    <w:widowControl/>
                    <w:jc w:val="center"/>
                    <w:textAlignment w:val="center"/>
                    <w:rPr>
                      <w:rFonts w:hint="default" w:eastAsia="宋体"/>
                      <w:color w:val="auto"/>
                      <w:kern w:val="0"/>
                      <w:lang w:val="en-US" w:eastAsia="zh-CN" w:bidi="ar"/>
                    </w:rPr>
                  </w:pPr>
                  <w:r>
                    <w:rPr>
                      <w:rFonts w:hint="eastAsia"/>
                      <w:color w:val="auto"/>
                      <w:kern w:val="0"/>
                      <w:lang w:val="en-US" w:eastAsia="zh-CN" w:bidi="ar"/>
                    </w:rPr>
                    <w:t>100</w:t>
                  </w:r>
                </w:p>
              </w:tc>
              <w:tc>
                <w:tcPr>
                  <w:tcW w:w="890" w:type="pct"/>
                  <w:tcBorders>
                    <w:tl2br w:val="nil"/>
                    <w:tr2bl w:val="nil"/>
                  </w:tcBorders>
                  <w:vAlign w:val="center"/>
                </w:tcPr>
                <w:p w14:paraId="1466CE97">
                  <w:pPr>
                    <w:widowControl/>
                    <w:jc w:val="center"/>
                    <w:textAlignment w:val="center"/>
                    <w:rPr>
                      <w:rFonts w:hint="default"/>
                      <w:color w:val="auto"/>
                      <w:kern w:val="0"/>
                      <w:lang w:val="en-US" w:eastAsia="zh-CN"/>
                    </w:rPr>
                  </w:pPr>
                  <w:r>
                    <w:rPr>
                      <w:rFonts w:hint="eastAsia"/>
                      <w:color w:val="auto"/>
                      <w:kern w:val="0"/>
                      <w:lang w:val="en-US" w:eastAsia="zh-CN"/>
                    </w:rPr>
                    <w:t>50</w:t>
                  </w:r>
                </w:p>
              </w:tc>
              <w:tc>
                <w:tcPr>
                  <w:tcW w:w="1201" w:type="pct"/>
                  <w:tcBorders>
                    <w:tl2br w:val="nil"/>
                    <w:tr2bl w:val="nil"/>
                  </w:tcBorders>
                  <w:vAlign w:val="center"/>
                </w:tcPr>
                <w:p w14:paraId="4B4B66A7">
                  <w:pPr>
                    <w:jc w:val="center"/>
                    <w:rPr>
                      <w:rFonts w:hint="eastAsia" w:eastAsia="宋体"/>
                      <w:color w:val="auto"/>
                      <w:kern w:val="0"/>
                      <w:lang w:val="en-US" w:eastAsia="zh-CN"/>
                    </w:rPr>
                  </w:pPr>
                  <w:r>
                    <w:rPr>
                      <w:rFonts w:hint="eastAsia"/>
                      <w:color w:val="auto"/>
                      <w:kern w:val="0"/>
                      <w:lang w:val="en-US" w:eastAsia="zh-CN"/>
                    </w:rPr>
                    <w:t>2</w:t>
                  </w:r>
                </w:p>
              </w:tc>
            </w:tr>
            <w:tr w14:paraId="7E04D0D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798" w:type="pct"/>
                  <w:gridSpan w:val="4"/>
                  <w:tcBorders>
                    <w:tl2br w:val="nil"/>
                    <w:tr2bl w:val="nil"/>
                  </w:tcBorders>
                  <w:vAlign w:val="center"/>
                </w:tcPr>
                <w:p w14:paraId="0343613A">
                  <w:pPr>
                    <w:widowControl/>
                    <w:jc w:val="center"/>
                    <w:textAlignment w:val="center"/>
                    <w:rPr>
                      <w:rFonts w:hint="default" w:eastAsia="宋体"/>
                      <w:color w:val="auto"/>
                      <w:kern w:val="0"/>
                      <w:lang w:val="en-US" w:eastAsia="zh-CN"/>
                    </w:rPr>
                  </w:pPr>
                  <w:r>
                    <w:rPr>
                      <w:b/>
                      <w:bCs/>
                      <w:color w:val="auto"/>
                      <w:kern w:val="0"/>
                    </w:rPr>
                    <w:t>∑Q值</w:t>
                  </w:r>
                </w:p>
              </w:tc>
              <w:tc>
                <w:tcPr>
                  <w:tcW w:w="1201" w:type="pct"/>
                  <w:tcBorders>
                    <w:tl2br w:val="nil"/>
                    <w:tr2bl w:val="nil"/>
                  </w:tcBorders>
                  <w:vAlign w:val="center"/>
                </w:tcPr>
                <w:p w14:paraId="42AEF2C9">
                  <w:pPr>
                    <w:tabs>
                      <w:tab w:val="left" w:pos="960"/>
                    </w:tabs>
                    <w:snapToGrid w:val="0"/>
                    <w:jc w:val="center"/>
                    <w:rPr>
                      <w:rFonts w:hint="default" w:eastAsia="宋体"/>
                      <w:bCs/>
                      <w:color w:val="auto"/>
                      <w:kern w:val="0"/>
                      <w:lang w:val="en-US" w:eastAsia="zh-CN"/>
                    </w:rPr>
                  </w:pPr>
                  <w:r>
                    <w:rPr>
                      <w:rFonts w:hint="eastAsia"/>
                      <w:bCs/>
                      <w:color w:val="auto"/>
                      <w:kern w:val="0"/>
                      <w:lang w:val="en-US" w:eastAsia="zh-CN"/>
                    </w:rPr>
                    <w:t>20.794</w:t>
                  </w:r>
                </w:p>
              </w:tc>
            </w:tr>
          </w:tbl>
          <w:p w14:paraId="506C144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b w:val="0"/>
                <w:bCs/>
                <w:color w:val="auto"/>
                <w:kern w:val="0"/>
                <w:lang w:val="en-US" w:eastAsia="zh-CN"/>
              </w:rPr>
            </w:pPr>
            <w:r>
              <w:rPr>
                <w:rFonts w:hint="eastAsia"/>
                <w:b w:val="0"/>
                <w:bCs/>
                <w:color w:val="auto"/>
                <w:kern w:val="0"/>
                <w:lang w:val="en-US" w:eastAsia="zh-CN"/>
              </w:rPr>
              <w:t>由上表可知现有项目Q值为20.79</w:t>
            </w:r>
            <w:r>
              <w:rPr>
                <w:rFonts w:hint="default" w:ascii="Times New Roman" w:hAnsi="Times New Roman" w:cs="Times New Roman"/>
                <w:b w:val="0"/>
                <w:bCs/>
                <w:color w:val="auto"/>
                <w:kern w:val="0"/>
                <w:lang w:val="en-US" w:eastAsia="zh-CN"/>
              </w:rPr>
              <w:t>4，属于10≤Q＜100。</w:t>
            </w:r>
          </w:p>
          <w:p w14:paraId="65EFA53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b w:val="0"/>
                <w:bCs/>
                <w:color w:val="auto"/>
                <w:kern w:val="0"/>
                <w:lang w:val="en-US" w:eastAsia="zh-CN"/>
              </w:rPr>
            </w:pPr>
            <w:r>
              <w:rPr>
                <w:rFonts w:hint="eastAsia"/>
                <w:b w:val="0"/>
                <w:bCs/>
                <w:color w:val="auto"/>
                <w:kern w:val="0"/>
                <w:lang w:val="en-US" w:eastAsia="zh-CN"/>
              </w:rPr>
              <w:t>根据公司现有《奥托立夫（江苏）汽车安全零部件有限公司年产4700万件气体发生器生产配套项目环境影响报告书》中“5.3.1.1 环境风险评价等级”中“四 环境风险评价工作等级确定”可知，现有大气环境风险潜势等级为III。</w:t>
            </w:r>
          </w:p>
          <w:p w14:paraId="3491EA8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b w:val="0"/>
                <w:bCs/>
                <w:color w:val="auto"/>
                <w:kern w:val="0"/>
                <w:lang w:val="en-US" w:eastAsia="zh-CN"/>
              </w:rPr>
            </w:pPr>
            <w:r>
              <w:rPr>
                <w:rFonts w:hint="eastAsia"/>
                <w:b w:val="0"/>
                <w:bCs/>
                <w:color w:val="auto"/>
                <w:kern w:val="0"/>
                <w:lang w:val="en-US" w:eastAsia="zh-CN"/>
              </w:rPr>
              <w:t>报告书中已对环境风险防范措施进行相关评价：</w:t>
            </w:r>
          </w:p>
          <w:p w14:paraId="66C46F6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b w:val="0"/>
                <w:bCs/>
                <w:color w:val="auto"/>
                <w:kern w:val="0"/>
                <w:lang w:val="en-US" w:eastAsia="zh-CN"/>
              </w:rPr>
            </w:pPr>
            <w:r>
              <w:rPr>
                <w:rFonts w:hint="eastAsia"/>
                <w:b w:val="0"/>
                <w:bCs/>
                <w:color w:val="auto"/>
                <w:kern w:val="0"/>
                <w:lang w:val="en-US" w:eastAsia="zh-CN"/>
              </w:rPr>
              <w:t>公司对重点风险源进行辨识，制订管理方案，组织制定有针对性的控制措施，认真做好措施落实工作，建立日常监视和监测制度并予以实施，使风险源始终处于受控状态。公司相关风险源监控措施如下：</w:t>
            </w:r>
          </w:p>
          <w:p w14:paraId="1C9D63B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b w:val="0"/>
                <w:bCs/>
                <w:color w:val="auto"/>
                <w:kern w:val="0"/>
                <w:lang w:val="en-US" w:eastAsia="zh-CN"/>
              </w:rPr>
            </w:pPr>
            <w:r>
              <w:rPr>
                <w:rFonts w:hint="eastAsia"/>
                <w:b w:val="0"/>
                <w:bCs/>
                <w:color w:val="auto"/>
                <w:kern w:val="0"/>
                <w:lang w:val="en-US" w:eastAsia="zh-CN"/>
              </w:rPr>
              <w:t>公司产气药等易燃易爆原料，拟配备可燃气体报警仪、视频监控设施，并配备灭火器，消防栓等消防设备。厂区配备员工24小时巡查，一旦发生事故能够及时发现、处理。</w:t>
            </w:r>
          </w:p>
          <w:p w14:paraId="1C3DF80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eastAsia="宋体"/>
                <w:b w:val="0"/>
                <w:bCs/>
                <w:color w:val="auto"/>
                <w:kern w:val="0"/>
                <w:lang w:val="en-US" w:eastAsia="zh-CN"/>
              </w:rPr>
            </w:pPr>
            <w:r>
              <w:rPr>
                <w:rFonts w:hint="eastAsia"/>
                <w:b w:val="0"/>
                <w:bCs/>
                <w:color w:val="auto"/>
                <w:kern w:val="0"/>
                <w:lang w:val="en-US" w:eastAsia="zh-CN"/>
              </w:rPr>
              <w:t>对于其他风险源（如生产车间、污水处理设施等）的监控由各责任单位进行日常的检查，强化制度执行，利用各种形式、各种途径开展员工安全教育培训，提高员工作业风险意识。</w:t>
            </w:r>
          </w:p>
          <w:p w14:paraId="3A8503AA">
            <w:pPr>
              <w:adjustRightInd w:val="0"/>
              <w:snapToGrid w:val="0"/>
              <w:jc w:val="center"/>
              <w:rPr>
                <w:b/>
                <w:color w:val="auto"/>
                <w:kern w:val="0"/>
              </w:rPr>
            </w:pPr>
            <w:r>
              <w:rPr>
                <w:b/>
                <w:color w:val="auto"/>
                <w:kern w:val="0"/>
              </w:rPr>
              <w:t>表4-</w:t>
            </w:r>
            <w:r>
              <w:rPr>
                <w:rFonts w:hint="eastAsia"/>
                <w:b/>
                <w:color w:val="auto"/>
                <w:kern w:val="0"/>
              </w:rPr>
              <w:t>2</w:t>
            </w:r>
            <w:r>
              <w:rPr>
                <w:rFonts w:hint="eastAsia"/>
                <w:b/>
                <w:color w:val="auto"/>
                <w:kern w:val="0"/>
                <w:lang w:val="en-US" w:eastAsia="zh-CN"/>
              </w:rPr>
              <w:t>4.2</w:t>
            </w:r>
            <w:r>
              <w:rPr>
                <w:b/>
                <w:color w:val="auto"/>
                <w:kern w:val="0"/>
              </w:rPr>
              <w:t xml:space="preserve">   </w:t>
            </w:r>
            <w:r>
              <w:rPr>
                <w:rFonts w:hint="eastAsia"/>
                <w:b/>
                <w:color w:val="auto"/>
                <w:kern w:val="0"/>
                <w:lang w:val="en-US" w:eastAsia="zh-CN"/>
              </w:rPr>
              <w:t>本项目</w:t>
            </w:r>
            <w:r>
              <w:rPr>
                <w:b/>
                <w:color w:val="auto"/>
                <w:kern w:val="0"/>
              </w:rPr>
              <w:t>涉及危险物质Q值计算</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687"/>
              <w:gridCol w:w="1793"/>
              <w:gridCol w:w="1163"/>
              <w:gridCol w:w="1420"/>
              <w:gridCol w:w="1917"/>
              <w:gridCol w:w="1615"/>
            </w:tblGrid>
            <w:tr w14:paraId="3A8503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79" w:type="pct"/>
                  <w:tcBorders>
                    <w:tl2br w:val="nil"/>
                    <w:tr2bl w:val="nil"/>
                  </w:tcBorders>
                  <w:vAlign w:val="center"/>
                </w:tcPr>
                <w:p w14:paraId="3A8503AB">
                  <w:pPr>
                    <w:tabs>
                      <w:tab w:val="left" w:pos="960"/>
                    </w:tabs>
                    <w:snapToGrid w:val="0"/>
                    <w:jc w:val="center"/>
                    <w:rPr>
                      <w:b/>
                      <w:bCs/>
                      <w:color w:val="auto"/>
                      <w:kern w:val="0"/>
                    </w:rPr>
                  </w:pPr>
                  <w:r>
                    <w:rPr>
                      <w:b/>
                      <w:bCs/>
                      <w:color w:val="auto"/>
                      <w:kern w:val="0"/>
                    </w:rPr>
                    <w:t>名称</w:t>
                  </w:r>
                </w:p>
              </w:tc>
              <w:tc>
                <w:tcPr>
                  <w:tcW w:w="934" w:type="pct"/>
                  <w:tcBorders>
                    <w:tl2br w:val="nil"/>
                    <w:tr2bl w:val="nil"/>
                  </w:tcBorders>
                  <w:vAlign w:val="center"/>
                </w:tcPr>
                <w:p w14:paraId="3A8503AC">
                  <w:pPr>
                    <w:tabs>
                      <w:tab w:val="left" w:pos="960"/>
                    </w:tabs>
                    <w:snapToGrid w:val="0"/>
                    <w:jc w:val="center"/>
                    <w:rPr>
                      <w:b/>
                      <w:bCs/>
                      <w:color w:val="auto"/>
                      <w:kern w:val="0"/>
                    </w:rPr>
                  </w:pPr>
                  <w:r>
                    <w:rPr>
                      <w:b/>
                      <w:bCs/>
                      <w:color w:val="auto"/>
                      <w:kern w:val="0"/>
                    </w:rPr>
                    <w:t>最大存储量/t</w:t>
                  </w:r>
                </w:p>
              </w:tc>
              <w:tc>
                <w:tcPr>
                  <w:tcW w:w="604" w:type="pct"/>
                  <w:tcBorders>
                    <w:tl2br w:val="nil"/>
                    <w:tr2bl w:val="nil"/>
                  </w:tcBorders>
                  <w:vAlign w:val="center"/>
                </w:tcPr>
                <w:p w14:paraId="3A8503AD">
                  <w:pPr>
                    <w:tabs>
                      <w:tab w:val="left" w:pos="960"/>
                    </w:tabs>
                    <w:snapToGrid w:val="0"/>
                    <w:jc w:val="center"/>
                    <w:rPr>
                      <w:b/>
                      <w:bCs/>
                      <w:color w:val="auto"/>
                      <w:kern w:val="0"/>
                    </w:rPr>
                  </w:pPr>
                  <w:r>
                    <w:rPr>
                      <w:b/>
                      <w:bCs/>
                      <w:color w:val="auto"/>
                      <w:kern w:val="0"/>
                    </w:rPr>
                    <w:t>临界量/t</w:t>
                  </w:r>
                </w:p>
              </w:tc>
              <w:tc>
                <w:tcPr>
                  <w:tcW w:w="740" w:type="pct"/>
                  <w:tcBorders>
                    <w:tl2br w:val="nil"/>
                    <w:tr2bl w:val="nil"/>
                  </w:tcBorders>
                  <w:vAlign w:val="center"/>
                </w:tcPr>
                <w:p w14:paraId="3A8503AE">
                  <w:pPr>
                    <w:tabs>
                      <w:tab w:val="left" w:pos="960"/>
                    </w:tabs>
                    <w:snapToGrid w:val="0"/>
                    <w:jc w:val="center"/>
                    <w:rPr>
                      <w:b/>
                      <w:bCs/>
                      <w:color w:val="auto"/>
                      <w:kern w:val="0"/>
                    </w:rPr>
                  </w:pPr>
                  <w:r>
                    <w:rPr>
                      <w:b/>
                      <w:bCs/>
                      <w:color w:val="auto"/>
                      <w:kern w:val="0"/>
                    </w:rPr>
                    <w:t>Q值</w:t>
                  </w:r>
                </w:p>
              </w:tc>
              <w:tc>
                <w:tcPr>
                  <w:tcW w:w="999" w:type="pct"/>
                  <w:tcBorders>
                    <w:tl2br w:val="nil"/>
                    <w:tr2bl w:val="nil"/>
                  </w:tcBorders>
                  <w:vAlign w:val="center"/>
                </w:tcPr>
                <w:p w14:paraId="3A8503AF">
                  <w:pPr>
                    <w:tabs>
                      <w:tab w:val="left" w:pos="960"/>
                    </w:tabs>
                    <w:snapToGrid w:val="0"/>
                    <w:jc w:val="center"/>
                    <w:rPr>
                      <w:b/>
                      <w:bCs/>
                      <w:color w:val="auto"/>
                      <w:kern w:val="0"/>
                    </w:rPr>
                  </w:pPr>
                  <w:r>
                    <w:rPr>
                      <w:b/>
                      <w:bCs/>
                      <w:color w:val="auto"/>
                      <w:kern w:val="0"/>
                    </w:rPr>
                    <w:t>储存方式</w:t>
                  </w:r>
                </w:p>
              </w:tc>
              <w:tc>
                <w:tcPr>
                  <w:tcW w:w="841" w:type="pct"/>
                  <w:tcBorders>
                    <w:tl2br w:val="nil"/>
                    <w:tr2bl w:val="nil"/>
                  </w:tcBorders>
                  <w:vAlign w:val="center"/>
                </w:tcPr>
                <w:p w14:paraId="3A8503B0">
                  <w:pPr>
                    <w:tabs>
                      <w:tab w:val="left" w:pos="960"/>
                    </w:tabs>
                    <w:snapToGrid w:val="0"/>
                    <w:jc w:val="center"/>
                    <w:rPr>
                      <w:b/>
                      <w:bCs/>
                      <w:color w:val="auto"/>
                      <w:kern w:val="0"/>
                    </w:rPr>
                  </w:pPr>
                  <w:r>
                    <w:rPr>
                      <w:b/>
                      <w:bCs/>
                      <w:color w:val="auto"/>
                      <w:kern w:val="0"/>
                    </w:rPr>
                    <w:t>储存位置</w:t>
                  </w:r>
                </w:p>
              </w:tc>
            </w:tr>
            <w:tr w14:paraId="3A8503B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79" w:type="pct"/>
                  <w:tcBorders>
                    <w:tl2br w:val="nil"/>
                    <w:tr2bl w:val="nil"/>
                  </w:tcBorders>
                  <w:vAlign w:val="center"/>
                </w:tcPr>
                <w:p w14:paraId="3A8503B2">
                  <w:pPr>
                    <w:adjustRightInd w:val="0"/>
                    <w:snapToGrid w:val="0"/>
                    <w:jc w:val="center"/>
                    <w:rPr>
                      <w:rFonts w:hint="eastAsia" w:eastAsia="宋体"/>
                      <w:color w:val="auto"/>
                      <w:kern w:val="0"/>
                      <w:lang w:eastAsia="zh-CN"/>
                    </w:rPr>
                  </w:pPr>
                  <w:r>
                    <w:rPr>
                      <w:rFonts w:hint="eastAsia"/>
                      <w:color w:val="auto"/>
                      <w:kern w:val="0"/>
                      <w:lang w:val="en-US" w:eastAsia="zh-CN"/>
                    </w:rPr>
                    <w:t>产气药</w:t>
                  </w:r>
                </w:p>
              </w:tc>
              <w:tc>
                <w:tcPr>
                  <w:tcW w:w="934" w:type="pct"/>
                  <w:tcBorders>
                    <w:tl2br w:val="nil"/>
                    <w:tr2bl w:val="nil"/>
                  </w:tcBorders>
                  <w:vAlign w:val="center"/>
                </w:tcPr>
                <w:p w14:paraId="3A8503B3">
                  <w:pPr>
                    <w:widowControl/>
                    <w:jc w:val="center"/>
                    <w:textAlignment w:val="center"/>
                    <w:rPr>
                      <w:rFonts w:hint="default" w:eastAsia="宋体"/>
                      <w:color w:val="auto"/>
                      <w:kern w:val="0"/>
                      <w:lang w:val="en-US" w:eastAsia="zh-CN"/>
                    </w:rPr>
                  </w:pPr>
                  <w:r>
                    <w:rPr>
                      <w:rFonts w:hint="eastAsia"/>
                      <w:color w:val="auto"/>
                      <w:kern w:val="0"/>
                      <w:lang w:val="en-US" w:eastAsia="zh-CN"/>
                    </w:rPr>
                    <w:t>30</w:t>
                  </w:r>
                </w:p>
              </w:tc>
              <w:tc>
                <w:tcPr>
                  <w:tcW w:w="604" w:type="pct"/>
                  <w:tcBorders>
                    <w:tl2br w:val="nil"/>
                    <w:tr2bl w:val="nil"/>
                  </w:tcBorders>
                  <w:vAlign w:val="center"/>
                </w:tcPr>
                <w:p w14:paraId="3A8503B4">
                  <w:pPr>
                    <w:widowControl/>
                    <w:jc w:val="center"/>
                    <w:textAlignment w:val="center"/>
                    <w:rPr>
                      <w:rFonts w:hint="default" w:eastAsia="宋体"/>
                      <w:color w:val="auto"/>
                      <w:kern w:val="0"/>
                      <w:lang w:val="en-US" w:eastAsia="zh-CN" w:bidi="ar"/>
                    </w:rPr>
                  </w:pPr>
                  <w:r>
                    <w:rPr>
                      <w:rFonts w:hint="eastAsia"/>
                      <w:color w:val="auto"/>
                      <w:kern w:val="0"/>
                      <w:lang w:val="en-US" w:eastAsia="zh-CN" w:bidi="ar"/>
                    </w:rPr>
                    <w:t>50</w:t>
                  </w:r>
                </w:p>
              </w:tc>
              <w:tc>
                <w:tcPr>
                  <w:tcW w:w="740" w:type="pct"/>
                  <w:tcBorders>
                    <w:tl2br w:val="nil"/>
                    <w:tr2bl w:val="nil"/>
                  </w:tcBorders>
                  <w:vAlign w:val="center"/>
                </w:tcPr>
                <w:p w14:paraId="3A8503B5">
                  <w:pPr>
                    <w:widowControl/>
                    <w:jc w:val="center"/>
                    <w:textAlignment w:val="center"/>
                    <w:rPr>
                      <w:rFonts w:hint="default" w:eastAsia="宋体"/>
                      <w:color w:val="auto"/>
                      <w:kern w:val="0"/>
                      <w:lang w:val="en-US" w:eastAsia="zh-CN" w:bidi="ar"/>
                    </w:rPr>
                  </w:pPr>
                  <w:r>
                    <w:rPr>
                      <w:rFonts w:hint="eastAsia"/>
                      <w:color w:val="auto"/>
                      <w:kern w:val="0"/>
                      <w:lang w:val="en-US" w:eastAsia="zh-CN" w:bidi="ar"/>
                    </w:rPr>
                    <w:t>0.6</w:t>
                  </w:r>
                </w:p>
              </w:tc>
              <w:tc>
                <w:tcPr>
                  <w:tcW w:w="999" w:type="pct"/>
                  <w:tcBorders>
                    <w:tl2br w:val="nil"/>
                    <w:tr2bl w:val="nil"/>
                  </w:tcBorders>
                  <w:vAlign w:val="center"/>
                </w:tcPr>
                <w:p w14:paraId="3A8503B6">
                  <w:pPr>
                    <w:jc w:val="center"/>
                    <w:rPr>
                      <w:color w:val="auto"/>
                      <w:kern w:val="0"/>
                    </w:rPr>
                  </w:pPr>
                  <w:r>
                    <w:rPr>
                      <w:rFonts w:hint="eastAsia"/>
                      <w:color w:val="auto"/>
                      <w:kern w:val="0"/>
                    </w:rPr>
                    <w:t>桶装</w:t>
                  </w:r>
                </w:p>
              </w:tc>
              <w:tc>
                <w:tcPr>
                  <w:tcW w:w="841" w:type="pct"/>
                  <w:tcBorders>
                    <w:tl2br w:val="nil"/>
                    <w:tr2bl w:val="nil"/>
                  </w:tcBorders>
                  <w:vAlign w:val="center"/>
                </w:tcPr>
                <w:p w14:paraId="3A8503B7">
                  <w:pPr>
                    <w:tabs>
                      <w:tab w:val="left" w:pos="960"/>
                    </w:tabs>
                    <w:snapToGrid w:val="0"/>
                    <w:jc w:val="center"/>
                    <w:rPr>
                      <w:color w:val="auto"/>
                      <w:kern w:val="0"/>
                    </w:rPr>
                  </w:pPr>
                  <w:r>
                    <w:rPr>
                      <w:rFonts w:hint="eastAsia"/>
                      <w:color w:val="auto"/>
                      <w:kern w:val="0"/>
                    </w:rPr>
                    <w:t>仓库</w:t>
                  </w:r>
                </w:p>
              </w:tc>
            </w:tr>
            <w:tr w14:paraId="3A8503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79" w:type="pct"/>
                  <w:tcBorders>
                    <w:tl2br w:val="nil"/>
                    <w:tr2bl w:val="nil"/>
                  </w:tcBorders>
                  <w:vAlign w:val="center"/>
                </w:tcPr>
                <w:p w14:paraId="3A8503C0">
                  <w:pPr>
                    <w:pStyle w:val="698"/>
                    <w:rPr>
                      <w:rFonts w:eastAsia="宋体"/>
                      <w:color w:val="auto"/>
                      <w:kern w:val="0"/>
                    </w:rPr>
                  </w:pPr>
                  <w:r>
                    <w:rPr>
                      <w:rFonts w:eastAsia="宋体"/>
                      <w:bCs/>
                      <w:color w:val="auto"/>
                      <w:kern w:val="0"/>
                    </w:rPr>
                    <w:t>危险废物</w:t>
                  </w:r>
                </w:p>
              </w:tc>
              <w:tc>
                <w:tcPr>
                  <w:tcW w:w="934" w:type="pct"/>
                  <w:tcBorders>
                    <w:tl2br w:val="nil"/>
                    <w:tr2bl w:val="nil"/>
                  </w:tcBorders>
                  <w:vAlign w:val="center"/>
                </w:tcPr>
                <w:p w14:paraId="3A8503C1">
                  <w:pPr>
                    <w:widowControl/>
                    <w:jc w:val="center"/>
                    <w:textAlignment w:val="center"/>
                    <w:rPr>
                      <w:rFonts w:hint="default" w:eastAsia="宋体"/>
                      <w:color w:val="auto"/>
                      <w:kern w:val="0"/>
                      <w:lang w:val="en-US" w:eastAsia="zh-CN"/>
                    </w:rPr>
                  </w:pPr>
                  <w:r>
                    <w:rPr>
                      <w:rFonts w:hint="eastAsia"/>
                      <w:color w:val="auto"/>
                      <w:kern w:val="0"/>
                      <w:lang w:val="en-US" w:eastAsia="zh-CN"/>
                    </w:rPr>
                    <w:t>4</w:t>
                  </w:r>
                </w:p>
              </w:tc>
              <w:tc>
                <w:tcPr>
                  <w:tcW w:w="604" w:type="pct"/>
                  <w:tcBorders>
                    <w:tl2br w:val="nil"/>
                    <w:tr2bl w:val="nil"/>
                  </w:tcBorders>
                  <w:vAlign w:val="center"/>
                </w:tcPr>
                <w:p w14:paraId="3A8503C2">
                  <w:pPr>
                    <w:widowControl/>
                    <w:jc w:val="center"/>
                    <w:textAlignment w:val="center"/>
                    <w:rPr>
                      <w:color w:val="auto"/>
                      <w:kern w:val="0"/>
                      <w:lang w:bidi="ar"/>
                    </w:rPr>
                  </w:pPr>
                  <w:r>
                    <w:rPr>
                      <w:rFonts w:hint="eastAsia"/>
                      <w:color w:val="auto"/>
                      <w:kern w:val="0"/>
                      <w:lang w:bidi="ar"/>
                    </w:rPr>
                    <w:t>50</w:t>
                  </w:r>
                </w:p>
              </w:tc>
              <w:tc>
                <w:tcPr>
                  <w:tcW w:w="740" w:type="pct"/>
                  <w:tcBorders>
                    <w:tl2br w:val="nil"/>
                    <w:tr2bl w:val="nil"/>
                  </w:tcBorders>
                  <w:vAlign w:val="center"/>
                </w:tcPr>
                <w:p w14:paraId="3A8503C3">
                  <w:pPr>
                    <w:widowControl/>
                    <w:jc w:val="center"/>
                    <w:textAlignment w:val="center"/>
                    <w:rPr>
                      <w:rFonts w:hint="default" w:eastAsia="宋体"/>
                      <w:color w:val="auto"/>
                      <w:kern w:val="0"/>
                      <w:lang w:val="en-US" w:eastAsia="zh-CN"/>
                    </w:rPr>
                  </w:pPr>
                  <w:r>
                    <w:rPr>
                      <w:rFonts w:hint="eastAsia"/>
                      <w:color w:val="auto"/>
                      <w:kern w:val="0"/>
                      <w:lang w:val="en-US" w:eastAsia="zh-CN"/>
                    </w:rPr>
                    <w:t>0.08</w:t>
                  </w:r>
                </w:p>
              </w:tc>
              <w:tc>
                <w:tcPr>
                  <w:tcW w:w="999" w:type="pct"/>
                  <w:tcBorders>
                    <w:tl2br w:val="nil"/>
                    <w:tr2bl w:val="nil"/>
                  </w:tcBorders>
                  <w:vAlign w:val="center"/>
                </w:tcPr>
                <w:p w14:paraId="3A8503C4">
                  <w:pPr>
                    <w:jc w:val="center"/>
                    <w:rPr>
                      <w:color w:val="auto"/>
                      <w:kern w:val="0"/>
                    </w:rPr>
                  </w:pPr>
                  <w:r>
                    <w:rPr>
                      <w:rFonts w:hint="eastAsia"/>
                      <w:color w:val="auto"/>
                      <w:kern w:val="0"/>
                    </w:rPr>
                    <w:t>袋装、堆放</w:t>
                  </w:r>
                </w:p>
              </w:tc>
              <w:tc>
                <w:tcPr>
                  <w:tcW w:w="841" w:type="pct"/>
                  <w:tcBorders>
                    <w:tl2br w:val="nil"/>
                    <w:tr2bl w:val="nil"/>
                  </w:tcBorders>
                  <w:vAlign w:val="center"/>
                </w:tcPr>
                <w:p w14:paraId="3A8503C5">
                  <w:pPr>
                    <w:tabs>
                      <w:tab w:val="left" w:pos="960"/>
                    </w:tabs>
                    <w:snapToGrid w:val="0"/>
                    <w:jc w:val="center"/>
                    <w:rPr>
                      <w:bCs/>
                      <w:color w:val="auto"/>
                      <w:kern w:val="0"/>
                    </w:rPr>
                  </w:pPr>
                  <w:r>
                    <w:rPr>
                      <w:bCs/>
                      <w:color w:val="auto"/>
                      <w:kern w:val="0"/>
                    </w:rPr>
                    <w:t>危废仓库</w:t>
                  </w:r>
                </w:p>
              </w:tc>
            </w:tr>
            <w:tr w14:paraId="3A8503C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419" w:type="pct"/>
                  <w:gridSpan w:val="3"/>
                  <w:tcBorders>
                    <w:tl2br w:val="nil"/>
                    <w:tr2bl w:val="nil"/>
                  </w:tcBorders>
                  <w:vAlign w:val="center"/>
                </w:tcPr>
                <w:p w14:paraId="3A8503C7">
                  <w:pPr>
                    <w:snapToGrid w:val="0"/>
                    <w:jc w:val="center"/>
                    <w:rPr>
                      <w:bCs/>
                      <w:color w:val="auto"/>
                      <w:kern w:val="0"/>
                    </w:rPr>
                  </w:pPr>
                  <w:r>
                    <w:rPr>
                      <w:b/>
                      <w:bCs/>
                      <w:color w:val="auto"/>
                      <w:kern w:val="0"/>
                    </w:rPr>
                    <w:t>∑Q值</w:t>
                  </w:r>
                </w:p>
              </w:tc>
              <w:tc>
                <w:tcPr>
                  <w:tcW w:w="740" w:type="pct"/>
                  <w:tcBorders>
                    <w:tl2br w:val="nil"/>
                    <w:tr2bl w:val="nil"/>
                  </w:tcBorders>
                  <w:vAlign w:val="center"/>
                </w:tcPr>
                <w:p w14:paraId="3A8503C8">
                  <w:pPr>
                    <w:widowControl/>
                    <w:jc w:val="center"/>
                    <w:textAlignment w:val="center"/>
                    <w:rPr>
                      <w:rFonts w:hint="default" w:eastAsia="宋体"/>
                      <w:color w:val="auto"/>
                      <w:kern w:val="0"/>
                      <w:lang w:val="en-US" w:eastAsia="zh-CN"/>
                    </w:rPr>
                  </w:pPr>
                  <w:r>
                    <w:rPr>
                      <w:rFonts w:hint="eastAsia"/>
                      <w:color w:val="auto"/>
                      <w:kern w:val="0"/>
                      <w:lang w:val="en-US" w:eastAsia="zh-CN"/>
                    </w:rPr>
                    <w:t>0.68</w:t>
                  </w:r>
                </w:p>
              </w:tc>
              <w:tc>
                <w:tcPr>
                  <w:tcW w:w="1840" w:type="pct"/>
                  <w:gridSpan w:val="2"/>
                  <w:tcBorders>
                    <w:tl2br w:val="nil"/>
                    <w:tr2bl w:val="nil"/>
                  </w:tcBorders>
                  <w:vAlign w:val="center"/>
                </w:tcPr>
                <w:p w14:paraId="3A8503C9">
                  <w:pPr>
                    <w:tabs>
                      <w:tab w:val="left" w:pos="960"/>
                    </w:tabs>
                    <w:snapToGrid w:val="0"/>
                    <w:jc w:val="center"/>
                    <w:rPr>
                      <w:bCs/>
                      <w:color w:val="auto"/>
                      <w:kern w:val="0"/>
                    </w:rPr>
                  </w:pPr>
                  <w:r>
                    <w:rPr>
                      <w:bCs/>
                      <w:color w:val="auto"/>
                      <w:kern w:val="0"/>
                    </w:rPr>
                    <w:t>/</w:t>
                  </w:r>
                </w:p>
              </w:tc>
            </w:tr>
          </w:tbl>
          <w:p w14:paraId="3A8503CB">
            <w:pPr>
              <w:pStyle w:val="24"/>
              <w:adjustRightInd w:val="0"/>
              <w:snapToGrid w:val="0"/>
              <w:spacing w:after="0" w:line="360" w:lineRule="auto"/>
              <w:ind w:left="0" w:leftChars="0" w:firstLine="420" w:firstLineChars="200"/>
              <w:rPr>
                <w:color w:val="auto"/>
                <w:sz w:val="21"/>
                <w:szCs w:val="21"/>
              </w:rPr>
            </w:pPr>
            <w:r>
              <w:rPr>
                <w:color w:val="auto"/>
                <w:sz w:val="21"/>
                <w:szCs w:val="21"/>
              </w:rPr>
              <w:t>由上表可知</w:t>
            </w:r>
            <w:r>
              <w:rPr>
                <w:bCs/>
                <w:color w:val="auto"/>
                <w:sz w:val="21"/>
                <w:szCs w:val="21"/>
              </w:rPr>
              <w:t>Q＜1，本项目建成后</w:t>
            </w:r>
            <w:r>
              <w:rPr>
                <w:rFonts w:hint="eastAsia"/>
                <w:bCs/>
                <w:color w:val="auto"/>
                <w:sz w:val="21"/>
                <w:szCs w:val="21"/>
                <w:lang w:val="en-US" w:eastAsia="zh-CN"/>
              </w:rPr>
              <w:t>304车间</w:t>
            </w:r>
            <w:r>
              <w:rPr>
                <w:bCs/>
                <w:color w:val="auto"/>
                <w:sz w:val="21"/>
                <w:szCs w:val="21"/>
              </w:rPr>
              <w:t>环境风险潜势为Ⅰ</w:t>
            </w:r>
            <w:r>
              <w:rPr>
                <w:color w:val="auto"/>
                <w:sz w:val="21"/>
                <w:szCs w:val="21"/>
              </w:rPr>
              <w:t>。</w:t>
            </w:r>
          </w:p>
          <w:p w14:paraId="0B96FFA5">
            <w:pPr>
              <w:pStyle w:val="24"/>
              <w:adjustRightInd w:val="0"/>
              <w:snapToGrid w:val="0"/>
              <w:spacing w:after="0" w:line="360" w:lineRule="auto"/>
              <w:ind w:left="0" w:leftChars="0" w:firstLine="420" w:firstLineChars="200"/>
              <w:rPr>
                <w:rFonts w:hint="default" w:eastAsia="宋体"/>
                <w:color w:val="auto"/>
                <w:sz w:val="21"/>
                <w:szCs w:val="21"/>
                <w:lang w:val="en-US" w:eastAsia="zh-CN"/>
              </w:rPr>
            </w:pPr>
            <w:r>
              <w:rPr>
                <w:rFonts w:hint="eastAsia"/>
                <w:color w:val="auto"/>
                <w:sz w:val="21"/>
                <w:szCs w:val="21"/>
                <w:lang w:val="en-US" w:eastAsia="zh-CN"/>
              </w:rPr>
              <w:t>累计本项目Q值0.68后，全厂Q值为21.474，属于</w:t>
            </w:r>
            <w:r>
              <w:rPr>
                <w:rFonts w:hint="default" w:ascii="Times New Roman" w:hAnsi="Times New Roman" w:cs="Times New Roman"/>
                <w:b w:val="0"/>
                <w:bCs/>
                <w:color w:val="auto"/>
                <w:kern w:val="0"/>
                <w:sz w:val="21"/>
                <w:szCs w:val="21"/>
                <w:lang w:val="en-US" w:eastAsia="zh-CN"/>
              </w:rPr>
              <w:t>10≤Q＜100</w:t>
            </w:r>
            <w:r>
              <w:rPr>
                <w:rFonts w:hint="eastAsia" w:cs="Times New Roman"/>
                <w:b w:val="0"/>
                <w:bCs/>
                <w:color w:val="auto"/>
                <w:kern w:val="0"/>
                <w:sz w:val="21"/>
                <w:szCs w:val="21"/>
                <w:lang w:val="en-US" w:eastAsia="zh-CN"/>
              </w:rPr>
              <w:t>，因此累计本次Q值后，风险等级不提级，因此全厂可依托原环评的相关风险防范措施。</w:t>
            </w:r>
          </w:p>
          <w:p w14:paraId="3A8503CC">
            <w:pPr>
              <w:pStyle w:val="24"/>
              <w:adjustRightInd w:val="0"/>
              <w:snapToGrid w:val="0"/>
              <w:spacing w:after="0" w:line="360" w:lineRule="auto"/>
              <w:ind w:left="0" w:leftChars="0" w:firstLine="420" w:firstLineChars="200"/>
              <w:rPr>
                <w:color w:val="auto"/>
                <w:sz w:val="21"/>
                <w:szCs w:val="21"/>
              </w:rPr>
            </w:pPr>
            <w:r>
              <w:rPr>
                <w:rFonts w:hint="eastAsia"/>
                <w:color w:val="auto"/>
                <w:sz w:val="21"/>
                <w:szCs w:val="21"/>
              </w:rPr>
              <w:fldChar w:fldCharType="begin"/>
            </w:r>
            <w:r>
              <w:rPr>
                <w:rFonts w:hint="eastAsia"/>
                <w:color w:val="auto"/>
                <w:sz w:val="21"/>
                <w:szCs w:val="21"/>
              </w:rPr>
              <w:instrText xml:space="preserve"> = 4 \* GB3 \* MERGEFORMAT </w:instrText>
            </w:r>
            <w:r>
              <w:rPr>
                <w:rFonts w:hint="eastAsia"/>
                <w:color w:val="auto"/>
                <w:sz w:val="21"/>
                <w:szCs w:val="21"/>
              </w:rPr>
              <w:fldChar w:fldCharType="separate"/>
            </w:r>
            <w:r>
              <w:rPr>
                <w:color w:val="auto"/>
                <w:sz w:val="21"/>
                <w:szCs w:val="21"/>
              </w:rPr>
              <w:t>④</w:t>
            </w:r>
            <w:r>
              <w:rPr>
                <w:rFonts w:hint="eastAsia"/>
                <w:color w:val="auto"/>
                <w:sz w:val="21"/>
                <w:szCs w:val="21"/>
              </w:rPr>
              <w:fldChar w:fldCharType="end"/>
            </w:r>
            <w:r>
              <w:rPr>
                <w:color w:val="auto"/>
                <w:sz w:val="21"/>
                <w:szCs w:val="21"/>
              </w:rPr>
              <w:t>评价等级判定</w:t>
            </w:r>
          </w:p>
          <w:p w14:paraId="3A8503CD">
            <w:pPr>
              <w:adjustRightInd w:val="0"/>
              <w:snapToGrid w:val="0"/>
              <w:spacing w:line="360" w:lineRule="auto"/>
              <w:ind w:firstLine="420" w:firstLineChars="200"/>
              <w:rPr>
                <w:color w:val="auto"/>
                <w:kern w:val="0"/>
              </w:rPr>
            </w:pPr>
            <w:r>
              <w:rPr>
                <w:color w:val="auto"/>
                <w:kern w:val="0"/>
              </w:rPr>
              <w:t>根据</w:t>
            </w:r>
            <w:r>
              <w:rPr>
                <w:bCs/>
                <w:color w:val="auto"/>
                <w:kern w:val="0"/>
              </w:rPr>
              <w:t>《建设项目环境风险评价技术导则》（HJ/T169-2018），</w:t>
            </w:r>
            <w:r>
              <w:rPr>
                <w:rFonts w:hint="eastAsia"/>
                <w:bCs/>
                <w:color w:val="auto"/>
                <w:kern w:val="0"/>
                <w:lang w:val="en-US" w:eastAsia="zh-CN"/>
              </w:rPr>
              <w:t>本项目</w:t>
            </w:r>
            <w:r>
              <w:rPr>
                <w:bCs/>
                <w:color w:val="auto"/>
                <w:kern w:val="0"/>
              </w:rPr>
              <w:t>环境风险潜势为Ⅰ，</w:t>
            </w:r>
            <w:r>
              <w:rPr>
                <w:color w:val="auto"/>
                <w:kern w:val="0"/>
              </w:rPr>
              <w:t>评价等级为简单分析。</w:t>
            </w:r>
          </w:p>
          <w:p w14:paraId="3A8503CE">
            <w:pPr>
              <w:jc w:val="center"/>
              <w:rPr>
                <w:b/>
                <w:color w:val="auto"/>
                <w:kern w:val="0"/>
              </w:rPr>
            </w:pPr>
            <w:r>
              <w:rPr>
                <w:b/>
                <w:color w:val="auto"/>
                <w:kern w:val="0"/>
              </w:rPr>
              <w:t>表4</w:t>
            </w:r>
            <w:r>
              <w:rPr>
                <w:rFonts w:hint="eastAsia"/>
                <w:b/>
                <w:color w:val="auto"/>
                <w:kern w:val="0"/>
              </w:rPr>
              <w:t>-</w:t>
            </w:r>
            <w:r>
              <w:rPr>
                <w:rFonts w:hint="eastAsia"/>
                <w:b/>
                <w:color w:val="auto"/>
                <w:kern w:val="0"/>
                <w:lang w:val="en-US" w:eastAsia="zh-CN"/>
              </w:rPr>
              <w:t>25</w:t>
            </w:r>
            <w:r>
              <w:rPr>
                <w:rFonts w:hint="eastAsia"/>
                <w:b/>
                <w:color w:val="auto"/>
                <w:kern w:val="0"/>
              </w:rPr>
              <w:t xml:space="preserve">   </w:t>
            </w:r>
            <w:r>
              <w:rPr>
                <w:b/>
                <w:color w:val="auto"/>
                <w:kern w:val="0"/>
              </w:rPr>
              <w:t>风险评价工作等级划分</w:t>
            </w:r>
          </w:p>
          <w:tbl>
            <w:tblPr>
              <w:tblStyle w:val="59"/>
              <w:tblW w:w="5000"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3179"/>
              <w:gridCol w:w="1566"/>
              <w:gridCol w:w="1474"/>
              <w:gridCol w:w="1597"/>
              <w:gridCol w:w="1779"/>
            </w:tblGrid>
            <w:tr w14:paraId="3A8503D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12" w:hRule="atLeast"/>
              </w:trPr>
              <w:tc>
                <w:tcPr>
                  <w:tcW w:w="1657" w:type="pct"/>
                  <w:tcBorders>
                    <w:tl2br w:val="nil"/>
                    <w:tr2bl w:val="nil"/>
                  </w:tcBorders>
                  <w:vAlign w:val="center"/>
                </w:tcPr>
                <w:p w14:paraId="3A8503CF">
                  <w:pPr>
                    <w:jc w:val="center"/>
                    <w:rPr>
                      <w:b/>
                      <w:color w:val="auto"/>
                      <w:kern w:val="0"/>
                    </w:rPr>
                  </w:pPr>
                  <w:r>
                    <w:rPr>
                      <w:b/>
                      <w:color w:val="auto"/>
                      <w:kern w:val="0"/>
                    </w:rPr>
                    <w:t>环境风险潜势</w:t>
                  </w:r>
                </w:p>
              </w:tc>
              <w:tc>
                <w:tcPr>
                  <w:tcW w:w="816" w:type="pct"/>
                  <w:tcBorders>
                    <w:tl2br w:val="nil"/>
                    <w:tr2bl w:val="nil"/>
                  </w:tcBorders>
                  <w:vAlign w:val="center"/>
                </w:tcPr>
                <w:p w14:paraId="3A8503D0">
                  <w:pPr>
                    <w:jc w:val="center"/>
                    <w:rPr>
                      <w:b/>
                      <w:color w:val="auto"/>
                      <w:kern w:val="0"/>
                    </w:rPr>
                  </w:pPr>
                  <w:r>
                    <w:rPr>
                      <w:b/>
                      <w:color w:val="auto"/>
                      <w:kern w:val="0"/>
                    </w:rPr>
                    <w:t>Ⅳ、Ⅳ</w:t>
                  </w:r>
                  <w:r>
                    <w:rPr>
                      <w:b/>
                      <w:color w:val="auto"/>
                      <w:kern w:val="0"/>
                      <w:vertAlign w:val="superscript"/>
                    </w:rPr>
                    <w:t>+</w:t>
                  </w:r>
                </w:p>
              </w:tc>
              <w:tc>
                <w:tcPr>
                  <w:tcW w:w="768" w:type="pct"/>
                  <w:tcBorders>
                    <w:tl2br w:val="nil"/>
                    <w:tr2bl w:val="nil"/>
                  </w:tcBorders>
                  <w:vAlign w:val="center"/>
                </w:tcPr>
                <w:p w14:paraId="3A8503D1">
                  <w:pPr>
                    <w:jc w:val="center"/>
                    <w:rPr>
                      <w:b/>
                      <w:color w:val="auto"/>
                      <w:kern w:val="0"/>
                    </w:rPr>
                  </w:pPr>
                  <w:r>
                    <w:rPr>
                      <w:b/>
                      <w:color w:val="auto"/>
                      <w:kern w:val="0"/>
                    </w:rPr>
                    <w:t>Ⅲ</w:t>
                  </w:r>
                </w:p>
              </w:tc>
              <w:tc>
                <w:tcPr>
                  <w:tcW w:w="832" w:type="pct"/>
                  <w:tcBorders>
                    <w:tl2br w:val="nil"/>
                    <w:tr2bl w:val="nil"/>
                  </w:tcBorders>
                  <w:vAlign w:val="center"/>
                </w:tcPr>
                <w:p w14:paraId="3A8503D2">
                  <w:pPr>
                    <w:jc w:val="center"/>
                    <w:rPr>
                      <w:b/>
                      <w:color w:val="auto"/>
                      <w:kern w:val="0"/>
                    </w:rPr>
                  </w:pPr>
                  <w:r>
                    <w:rPr>
                      <w:b/>
                      <w:color w:val="auto"/>
                      <w:kern w:val="0"/>
                    </w:rPr>
                    <w:t>Ⅱ</w:t>
                  </w:r>
                </w:p>
              </w:tc>
              <w:tc>
                <w:tcPr>
                  <w:tcW w:w="927" w:type="pct"/>
                  <w:tcBorders>
                    <w:tl2br w:val="nil"/>
                    <w:tr2bl w:val="nil"/>
                  </w:tcBorders>
                  <w:vAlign w:val="center"/>
                </w:tcPr>
                <w:p w14:paraId="3A8503D3">
                  <w:pPr>
                    <w:jc w:val="center"/>
                    <w:rPr>
                      <w:b/>
                      <w:color w:val="auto"/>
                      <w:kern w:val="0"/>
                    </w:rPr>
                  </w:pPr>
                  <w:r>
                    <w:rPr>
                      <w:b/>
                      <w:color w:val="auto"/>
                      <w:kern w:val="0"/>
                    </w:rPr>
                    <w:t>Ⅰ</w:t>
                  </w:r>
                </w:p>
              </w:tc>
            </w:tr>
            <w:tr w14:paraId="3A8503D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c>
                <w:tcPr>
                  <w:tcW w:w="1657" w:type="pct"/>
                  <w:tcBorders>
                    <w:tl2br w:val="nil"/>
                    <w:tr2bl w:val="nil"/>
                  </w:tcBorders>
                  <w:shd w:val="clear" w:color="auto" w:fill="auto"/>
                  <w:vAlign w:val="center"/>
                </w:tcPr>
                <w:p w14:paraId="3A8503D5">
                  <w:pPr>
                    <w:jc w:val="center"/>
                    <w:rPr>
                      <w:color w:val="auto"/>
                      <w:kern w:val="0"/>
                    </w:rPr>
                  </w:pPr>
                  <w:r>
                    <w:rPr>
                      <w:color w:val="auto"/>
                      <w:kern w:val="0"/>
                    </w:rPr>
                    <w:t>评价工作等级</w:t>
                  </w:r>
                </w:p>
              </w:tc>
              <w:tc>
                <w:tcPr>
                  <w:tcW w:w="816" w:type="pct"/>
                  <w:tcBorders>
                    <w:tl2br w:val="nil"/>
                    <w:tr2bl w:val="nil"/>
                  </w:tcBorders>
                  <w:shd w:val="clear" w:color="auto" w:fill="auto"/>
                  <w:vAlign w:val="center"/>
                </w:tcPr>
                <w:p w14:paraId="3A8503D6">
                  <w:pPr>
                    <w:jc w:val="center"/>
                    <w:rPr>
                      <w:color w:val="auto"/>
                      <w:kern w:val="0"/>
                    </w:rPr>
                  </w:pPr>
                  <w:r>
                    <w:rPr>
                      <w:color w:val="auto"/>
                      <w:kern w:val="0"/>
                    </w:rPr>
                    <w:t>一</w:t>
                  </w:r>
                </w:p>
              </w:tc>
              <w:tc>
                <w:tcPr>
                  <w:tcW w:w="768" w:type="pct"/>
                  <w:tcBorders>
                    <w:tl2br w:val="nil"/>
                    <w:tr2bl w:val="nil"/>
                  </w:tcBorders>
                  <w:shd w:val="clear" w:color="auto" w:fill="auto"/>
                  <w:vAlign w:val="center"/>
                </w:tcPr>
                <w:p w14:paraId="3A8503D7">
                  <w:pPr>
                    <w:jc w:val="center"/>
                    <w:rPr>
                      <w:color w:val="auto"/>
                      <w:kern w:val="0"/>
                    </w:rPr>
                  </w:pPr>
                  <w:r>
                    <w:rPr>
                      <w:color w:val="auto"/>
                      <w:kern w:val="0"/>
                    </w:rPr>
                    <w:t>二</w:t>
                  </w:r>
                </w:p>
              </w:tc>
              <w:tc>
                <w:tcPr>
                  <w:tcW w:w="832" w:type="pct"/>
                  <w:tcBorders>
                    <w:tl2br w:val="nil"/>
                    <w:tr2bl w:val="nil"/>
                  </w:tcBorders>
                  <w:shd w:val="clear" w:color="auto" w:fill="auto"/>
                  <w:vAlign w:val="center"/>
                </w:tcPr>
                <w:p w14:paraId="3A8503D8">
                  <w:pPr>
                    <w:jc w:val="center"/>
                    <w:rPr>
                      <w:color w:val="auto"/>
                      <w:kern w:val="0"/>
                    </w:rPr>
                  </w:pPr>
                  <w:r>
                    <w:rPr>
                      <w:color w:val="auto"/>
                      <w:kern w:val="0"/>
                    </w:rPr>
                    <w:t>三</w:t>
                  </w:r>
                </w:p>
              </w:tc>
              <w:tc>
                <w:tcPr>
                  <w:tcW w:w="927" w:type="pct"/>
                  <w:tcBorders>
                    <w:tl2br w:val="nil"/>
                    <w:tr2bl w:val="nil"/>
                  </w:tcBorders>
                  <w:shd w:val="clear" w:color="auto" w:fill="FFC000"/>
                  <w:vAlign w:val="center"/>
                </w:tcPr>
                <w:p w14:paraId="3A8503D9">
                  <w:pPr>
                    <w:jc w:val="center"/>
                    <w:rPr>
                      <w:color w:val="auto"/>
                      <w:kern w:val="0"/>
                    </w:rPr>
                  </w:pPr>
                  <w:r>
                    <w:rPr>
                      <w:color w:val="auto"/>
                      <w:kern w:val="0"/>
                    </w:rPr>
                    <w:t>简单分析</w:t>
                  </w:r>
                  <w:r>
                    <w:rPr>
                      <w:color w:val="auto"/>
                      <w:kern w:val="0"/>
                      <w:vertAlign w:val="superscript"/>
                    </w:rPr>
                    <w:t>a</w:t>
                  </w:r>
                </w:p>
              </w:tc>
            </w:tr>
            <w:tr w14:paraId="3A8503D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c>
                <w:tcPr>
                  <w:tcW w:w="5000" w:type="pct"/>
                  <w:gridSpan w:val="5"/>
                  <w:tcBorders>
                    <w:tl2br w:val="nil"/>
                    <w:tr2bl w:val="nil"/>
                  </w:tcBorders>
                  <w:vAlign w:val="center"/>
                </w:tcPr>
                <w:p w14:paraId="3A8503DB">
                  <w:pPr>
                    <w:rPr>
                      <w:color w:val="auto"/>
                      <w:kern w:val="0"/>
                    </w:rPr>
                  </w:pPr>
                  <w:r>
                    <w:rPr>
                      <w:color w:val="auto"/>
                      <w:kern w:val="0"/>
                    </w:rPr>
                    <w:t>a是对于详细评价工作内容而言，在描述危险物质、环境影响途径、环境危害后果、风险防范措施等方面给出定性的说明。见附录A。</w:t>
                  </w:r>
                </w:p>
              </w:tc>
            </w:tr>
          </w:tbl>
          <w:p w14:paraId="3A8503DD">
            <w:pPr>
              <w:adjustRightInd w:val="0"/>
              <w:snapToGrid w:val="0"/>
              <w:spacing w:line="360" w:lineRule="auto"/>
              <w:ind w:firstLine="420" w:firstLineChars="200"/>
              <w:rPr>
                <w:bCs/>
                <w:color w:val="auto"/>
                <w:kern w:val="0"/>
              </w:rPr>
            </w:pPr>
            <w:r>
              <w:rPr>
                <w:rFonts w:hint="eastAsia"/>
                <w:bCs/>
                <w:color w:val="auto"/>
                <w:kern w:val="0"/>
              </w:rPr>
              <w:fldChar w:fldCharType="begin"/>
            </w:r>
            <w:r>
              <w:rPr>
                <w:rFonts w:hint="eastAsia"/>
                <w:bCs/>
                <w:color w:val="auto"/>
                <w:kern w:val="0"/>
              </w:rPr>
              <w:instrText xml:space="preserve"> = 5 \* GB3 \* MERGEFORMAT </w:instrText>
            </w:r>
            <w:r>
              <w:rPr>
                <w:rFonts w:hint="eastAsia"/>
                <w:bCs/>
                <w:color w:val="auto"/>
                <w:kern w:val="0"/>
              </w:rPr>
              <w:fldChar w:fldCharType="separate"/>
            </w:r>
            <w:r>
              <w:rPr>
                <w:color w:val="auto"/>
                <w:kern w:val="0"/>
              </w:rPr>
              <w:t>⑤</w:t>
            </w:r>
            <w:r>
              <w:rPr>
                <w:rFonts w:hint="eastAsia"/>
                <w:bCs/>
                <w:color w:val="auto"/>
                <w:kern w:val="0"/>
              </w:rPr>
              <w:fldChar w:fldCharType="end"/>
            </w:r>
            <w:r>
              <w:rPr>
                <w:rFonts w:hint="eastAsia"/>
                <w:bCs/>
                <w:color w:val="auto"/>
                <w:kern w:val="0"/>
              </w:rPr>
              <w:t>突发环境事件情景源强分析</w:t>
            </w:r>
          </w:p>
          <w:p w14:paraId="001B744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lang w:val="en-US" w:eastAsia="zh-CN"/>
              </w:rPr>
            </w:pPr>
            <w:r>
              <w:rPr>
                <w:rFonts w:hint="eastAsia"/>
                <w:color w:val="auto"/>
                <w:sz w:val="21"/>
                <w:szCs w:val="21"/>
                <w:lang w:val="en-US" w:eastAsia="zh-CN"/>
              </w:rPr>
              <w:t>由于本项目304车间为独立生产单元，基本不会形成全厂连锁反应，因此本次环境影响评价仅对本项目情况识别分析。</w:t>
            </w:r>
          </w:p>
          <w:p w14:paraId="3A8503E1">
            <w:pPr>
              <w:pStyle w:val="23"/>
              <w:widowControl w:val="0"/>
              <w:autoSpaceDE w:val="0"/>
              <w:autoSpaceDN w:val="0"/>
              <w:ind w:firstLine="420" w:firstLineChars="200"/>
              <w:rPr>
                <w:color w:val="auto"/>
                <w:sz w:val="21"/>
                <w:szCs w:val="21"/>
              </w:rPr>
            </w:pPr>
            <w:r>
              <w:rPr>
                <w:color w:val="auto"/>
                <w:sz w:val="21"/>
                <w:szCs w:val="21"/>
              </w:rPr>
              <w:t>火灾爆炸事故源强</w:t>
            </w:r>
          </w:p>
          <w:p w14:paraId="3A8503E2">
            <w:pPr>
              <w:adjustRightInd w:val="0"/>
              <w:snapToGrid w:val="0"/>
              <w:spacing w:line="360" w:lineRule="auto"/>
              <w:ind w:firstLine="420" w:firstLineChars="200"/>
              <w:rPr>
                <w:color w:val="auto"/>
                <w:kern w:val="0"/>
              </w:rPr>
            </w:pPr>
            <w:r>
              <w:rPr>
                <w:color w:val="auto"/>
                <w:kern w:val="0"/>
              </w:rPr>
              <w:t>火灾、爆炸会产生次生或次生灾害，本次评估主要考虑火灾爆炸后衍生的废气污染物及消防尾水的环境影响。</w:t>
            </w:r>
          </w:p>
          <w:p w14:paraId="3A8503E3">
            <w:pPr>
              <w:pStyle w:val="23"/>
              <w:widowControl w:val="0"/>
              <w:autoSpaceDE w:val="0"/>
              <w:autoSpaceDN w:val="0"/>
              <w:ind w:firstLine="420" w:firstLineChars="200"/>
              <w:rPr>
                <w:color w:val="auto"/>
                <w:sz w:val="21"/>
                <w:szCs w:val="21"/>
              </w:rPr>
            </w:pPr>
            <w:r>
              <w:rPr>
                <w:rFonts w:hint="eastAsia"/>
                <w:color w:val="auto"/>
                <w:sz w:val="21"/>
                <w:szCs w:val="21"/>
              </w:rPr>
              <w:t>A、</w:t>
            </w:r>
            <w:r>
              <w:rPr>
                <w:color w:val="auto"/>
                <w:sz w:val="21"/>
                <w:szCs w:val="21"/>
              </w:rPr>
              <w:t>火灾爆炸伴生/次生的废气污染物</w:t>
            </w:r>
          </w:p>
          <w:p w14:paraId="3A8503E4">
            <w:pPr>
              <w:pStyle w:val="23"/>
              <w:widowControl w:val="0"/>
              <w:ind w:firstLine="420" w:firstLineChars="200"/>
              <w:rPr>
                <w:color w:val="auto"/>
                <w:sz w:val="21"/>
                <w:szCs w:val="21"/>
              </w:rPr>
            </w:pPr>
            <w:r>
              <w:rPr>
                <w:rFonts w:hint="eastAsia"/>
                <w:color w:val="auto"/>
                <w:sz w:val="21"/>
                <w:szCs w:val="21"/>
                <w:lang w:val="en-US" w:eastAsia="zh-CN"/>
              </w:rPr>
              <w:t>本项目</w:t>
            </w:r>
            <w:r>
              <w:rPr>
                <w:color w:val="auto"/>
                <w:sz w:val="21"/>
                <w:szCs w:val="21"/>
              </w:rPr>
              <w:t>可能发生的火灾爆炸环境事件主要是</w:t>
            </w:r>
            <w:r>
              <w:rPr>
                <w:rFonts w:hint="eastAsia"/>
                <w:color w:val="auto"/>
                <w:sz w:val="21"/>
                <w:szCs w:val="21"/>
                <w:lang w:val="en-US" w:eastAsia="zh-CN"/>
              </w:rPr>
              <w:t>产气药</w:t>
            </w:r>
            <w:r>
              <w:rPr>
                <w:color w:val="auto"/>
                <w:sz w:val="21"/>
                <w:szCs w:val="21"/>
              </w:rPr>
              <w:t>遇到明火或者高温后引发的火灾事故及次生的大气污染。</w:t>
            </w:r>
            <w:r>
              <w:rPr>
                <w:rFonts w:hint="eastAsia"/>
                <w:color w:val="auto"/>
                <w:sz w:val="21"/>
                <w:szCs w:val="21"/>
              </w:rPr>
              <w:t>项目</w:t>
            </w:r>
            <w:r>
              <w:rPr>
                <w:rFonts w:hint="eastAsia"/>
                <w:color w:val="auto"/>
                <w:sz w:val="21"/>
                <w:szCs w:val="21"/>
                <w:lang w:val="en-US" w:eastAsia="zh-CN"/>
              </w:rPr>
              <w:t>产气药</w:t>
            </w:r>
            <w:r>
              <w:rPr>
                <w:rFonts w:hint="eastAsia"/>
                <w:color w:val="auto"/>
                <w:sz w:val="21"/>
                <w:szCs w:val="21"/>
              </w:rPr>
              <w:t>暂存于仓库中，</w:t>
            </w:r>
            <w:r>
              <w:rPr>
                <w:color w:val="auto"/>
                <w:sz w:val="21"/>
                <w:szCs w:val="21"/>
              </w:rPr>
              <w:t>与其他功能区隔断，并严禁烟火，加强日常监控及管理，因此发生火灾爆炸的概率较低。</w:t>
            </w:r>
          </w:p>
          <w:p w14:paraId="3A8503E5">
            <w:pPr>
              <w:pStyle w:val="27"/>
              <w:spacing w:line="360" w:lineRule="auto"/>
              <w:ind w:left="0" w:leftChars="0" w:right="0" w:rightChars="0" w:firstLine="422"/>
              <w:rPr>
                <w:b/>
                <w:bCs/>
                <w:color w:val="auto"/>
                <w:kern w:val="0"/>
                <w:sz w:val="21"/>
              </w:rPr>
            </w:pPr>
            <w:r>
              <w:rPr>
                <w:b/>
                <w:bCs/>
                <w:color w:val="auto"/>
                <w:kern w:val="0"/>
                <w:sz w:val="21"/>
              </w:rPr>
              <w:t>（2）环境风险防范措施及应急要求</w:t>
            </w:r>
          </w:p>
          <w:p w14:paraId="3A8503E6">
            <w:pPr>
              <w:pStyle w:val="27"/>
              <w:spacing w:line="360" w:lineRule="auto"/>
              <w:ind w:left="0" w:leftChars="0" w:right="0" w:rightChars="0" w:firstLine="422"/>
              <w:jc w:val="left"/>
              <w:rPr>
                <w:b/>
                <w:bCs/>
                <w:color w:val="auto"/>
                <w:kern w:val="0"/>
                <w:sz w:val="21"/>
              </w:rPr>
            </w:pPr>
            <w:r>
              <w:rPr>
                <w:rFonts w:hint="eastAsia"/>
                <w:b/>
                <w:bCs/>
                <w:color w:val="auto"/>
                <w:kern w:val="0"/>
                <w:sz w:val="21"/>
              </w:rPr>
              <w:fldChar w:fldCharType="begin"/>
            </w:r>
            <w:r>
              <w:rPr>
                <w:rFonts w:hint="eastAsia"/>
                <w:b/>
                <w:bCs/>
                <w:color w:val="auto"/>
                <w:kern w:val="0"/>
                <w:sz w:val="21"/>
              </w:rPr>
              <w:instrText xml:space="preserve"> = 1 \* GB3 \* MERGEFORMAT </w:instrText>
            </w:r>
            <w:r>
              <w:rPr>
                <w:rFonts w:hint="eastAsia"/>
                <w:b/>
                <w:bCs/>
                <w:color w:val="auto"/>
                <w:kern w:val="0"/>
                <w:sz w:val="21"/>
              </w:rPr>
              <w:fldChar w:fldCharType="separate"/>
            </w:r>
            <w:r>
              <w:rPr>
                <w:b/>
                <w:bCs/>
                <w:color w:val="auto"/>
                <w:kern w:val="0"/>
                <w:sz w:val="21"/>
              </w:rPr>
              <w:t>①</w:t>
            </w:r>
            <w:r>
              <w:rPr>
                <w:rFonts w:hint="eastAsia"/>
                <w:b/>
                <w:bCs/>
                <w:color w:val="auto"/>
                <w:kern w:val="0"/>
                <w:sz w:val="21"/>
              </w:rPr>
              <w:fldChar w:fldCharType="end"/>
            </w:r>
            <w:r>
              <w:rPr>
                <w:b/>
                <w:bCs/>
                <w:color w:val="auto"/>
                <w:kern w:val="0"/>
                <w:sz w:val="21"/>
              </w:rPr>
              <w:t>环境风险防范措施</w:t>
            </w:r>
          </w:p>
          <w:p w14:paraId="3A8503E9">
            <w:pPr>
              <w:widowControl/>
              <w:adjustRightInd w:val="0"/>
              <w:snapToGrid w:val="0"/>
              <w:spacing w:line="360" w:lineRule="auto"/>
              <w:ind w:firstLine="422" w:firstLineChars="200"/>
              <w:rPr>
                <w:b/>
                <w:bCs/>
                <w:color w:val="auto"/>
                <w:kern w:val="0"/>
              </w:rPr>
            </w:pPr>
            <w:r>
              <w:rPr>
                <w:rFonts w:hint="eastAsia"/>
                <w:b/>
                <w:bCs/>
                <w:color w:val="auto"/>
                <w:kern w:val="0"/>
                <w:lang w:val="en-US" w:eastAsia="zh-CN"/>
              </w:rPr>
              <w:t>1</w:t>
            </w:r>
            <w:r>
              <w:rPr>
                <w:rFonts w:hint="eastAsia"/>
                <w:b/>
                <w:bCs/>
                <w:color w:val="auto"/>
                <w:kern w:val="0"/>
              </w:rPr>
              <w:t>）</w:t>
            </w:r>
            <w:r>
              <w:rPr>
                <w:b/>
                <w:bCs/>
                <w:color w:val="auto"/>
                <w:kern w:val="0"/>
              </w:rPr>
              <w:t>火灾爆炸事故风险防范措施</w:t>
            </w:r>
          </w:p>
          <w:p w14:paraId="3A8503EA">
            <w:pPr>
              <w:pStyle w:val="23"/>
              <w:widowControl w:val="0"/>
              <w:ind w:firstLine="420" w:firstLineChars="200"/>
              <w:rPr>
                <w:color w:val="auto"/>
                <w:sz w:val="21"/>
                <w:szCs w:val="21"/>
              </w:rPr>
            </w:pPr>
            <w:r>
              <w:rPr>
                <w:color w:val="auto"/>
                <w:sz w:val="21"/>
                <w:szCs w:val="21"/>
              </w:rPr>
              <w:t>本项目</w:t>
            </w:r>
            <w:r>
              <w:rPr>
                <w:rFonts w:hint="eastAsia"/>
                <w:color w:val="auto"/>
                <w:sz w:val="21"/>
                <w:szCs w:val="21"/>
                <w:lang w:val="en-US" w:eastAsia="zh-CN"/>
              </w:rPr>
              <w:t>产气药</w:t>
            </w:r>
            <w:r>
              <w:rPr>
                <w:color w:val="auto"/>
                <w:sz w:val="21"/>
                <w:szCs w:val="21"/>
              </w:rPr>
              <w:t>具备可燃性。因此建设单位应当做好防范措施。为减少事故的发生和影响建设单位应采取以下措施。</w:t>
            </w:r>
          </w:p>
          <w:p w14:paraId="3A8503EB">
            <w:pPr>
              <w:pStyle w:val="23"/>
              <w:widowControl w:val="0"/>
              <w:ind w:firstLine="420" w:firstLineChars="200"/>
              <w:rPr>
                <w:color w:val="auto"/>
                <w:sz w:val="21"/>
                <w:szCs w:val="21"/>
              </w:rPr>
            </w:pPr>
            <w:r>
              <w:rPr>
                <w:color w:val="auto"/>
                <w:sz w:val="21"/>
                <w:szCs w:val="21"/>
              </w:rPr>
              <w:t>建设单位需建立健全安全操作规程及值勤制度，设置通讯、报警装置，并确保其处于完好状态；厂区配置合格的消防器材，并确保其处于完好状态。</w:t>
            </w:r>
          </w:p>
          <w:p w14:paraId="3A8503EC">
            <w:pPr>
              <w:pStyle w:val="23"/>
              <w:widowControl w:val="0"/>
              <w:ind w:firstLine="420" w:firstLineChars="200"/>
              <w:rPr>
                <w:color w:val="auto"/>
                <w:sz w:val="21"/>
                <w:szCs w:val="21"/>
              </w:rPr>
            </w:pPr>
            <w:r>
              <w:rPr>
                <w:color w:val="auto"/>
                <w:sz w:val="21"/>
                <w:szCs w:val="21"/>
              </w:rPr>
              <w:t>加强火源的管理，严禁烟火带入，对设备需进行维修焊接，应经安全部门确认、准许，并有记录。机动车在厂内行驶，须安装阻火器，必要设备安装防火、防爆装置。</w:t>
            </w:r>
          </w:p>
          <w:p w14:paraId="3A8503ED">
            <w:pPr>
              <w:pStyle w:val="23"/>
              <w:widowControl w:val="0"/>
              <w:ind w:firstLine="420" w:firstLineChars="200"/>
              <w:rPr>
                <w:color w:val="auto"/>
                <w:sz w:val="21"/>
                <w:szCs w:val="21"/>
              </w:rPr>
            </w:pPr>
            <w:r>
              <w:rPr>
                <w:color w:val="auto"/>
                <w:sz w:val="21"/>
                <w:szCs w:val="21"/>
              </w:rPr>
              <w:t>设备的安全管理：定期对设备进行安全检测，检测内容、时间、人员应有记录保存。安全检测应根据设备的安全性、危险性设定检测频次。</w:t>
            </w:r>
          </w:p>
          <w:p w14:paraId="3A8503EE">
            <w:pPr>
              <w:adjustRightInd w:val="0"/>
              <w:snapToGrid w:val="0"/>
              <w:spacing w:line="360" w:lineRule="auto"/>
              <w:ind w:firstLine="422" w:firstLineChars="200"/>
              <w:rPr>
                <w:color w:val="auto"/>
                <w:kern w:val="0"/>
              </w:rPr>
            </w:pPr>
            <w:r>
              <w:rPr>
                <w:rFonts w:hint="eastAsia"/>
                <w:b/>
                <w:bCs/>
                <w:color w:val="auto"/>
                <w:kern w:val="0"/>
                <w:lang w:val="en-US" w:eastAsia="zh-CN"/>
              </w:rPr>
              <w:t>2</w:t>
            </w:r>
            <w:r>
              <w:rPr>
                <w:rFonts w:hint="eastAsia"/>
                <w:b/>
                <w:bCs/>
                <w:color w:val="auto"/>
                <w:kern w:val="0"/>
              </w:rPr>
              <w:t>）</w:t>
            </w:r>
            <w:r>
              <w:rPr>
                <w:b/>
                <w:bCs/>
                <w:color w:val="auto"/>
                <w:kern w:val="0"/>
              </w:rPr>
              <w:t>危废仓库风险防范措施</w:t>
            </w:r>
          </w:p>
          <w:p w14:paraId="3A8503EF">
            <w:pPr>
              <w:adjustRightInd w:val="0"/>
              <w:snapToGrid w:val="0"/>
              <w:spacing w:line="360" w:lineRule="auto"/>
              <w:ind w:firstLine="420" w:firstLineChars="200"/>
              <w:rPr>
                <w:color w:val="auto"/>
                <w:kern w:val="0"/>
              </w:rPr>
            </w:pPr>
            <w:r>
              <w:rPr>
                <w:color w:val="auto"/>
                <w:kern w:val="0"/>
              </w:rPr>
              <w:t>危废暂存场地必须按《危险废物贮存污染控制标准》（GB18597-2023）的要求进行设置。危险废物分类存放到危废仓库，做好进出库管理，及时登记，账物相符，并做好贮存场所和危废包装的标识工作。危废堆场要</w:t>
            </w:r>
            <w:r>
              <w:rPr>
                <w:rFonts w:hint="eastAsia"/>
                <w:color w:val="auto"/>
                <w:kern w:val="0"/>
              </w:rPr>
              <w:t>采取必要的防风、防晒、防雨、防漏、防渗、防腐以及其他环境污染防治措施</w:t>
            </w:r>
            <w:r>
              <w:rPr>
                <w:color w:val="auto"/>
                <w:kern w:val="0"/>
              </w:rPr>
              <w:t>；地面与裙脚要用坚固、防渗的材料建造，建筑材料必须与危险废物相容。通道、出入口和通向消防设施的道路保持畅通，同时配置合格的消防器材，并确保其处于完好状态。</w:t>
            </w:r>
          </w:p>
          <w:p w14:paraId="3A8503F0">
            <w:pPr>
              <w:adjustRightInd w:val="0"/>
              <w:snapToGrid w:val="0"/>
              <w:spacing w:line="360" w:lineRule="auto"/>
              <w:ind w:firstLine="422" w:firstLineChars="200"/>
              <w:rPr>
                <w:color w:val="auto"/>
                <w:kern w:val="0"/>
              </w:rPr>
            </w:pPr>
            <w:r>
              <w:rPr>
                <w:rFonts w:hint="eastAsia"/>
                <w:b/>
                <w:bCs/>
                <w:color w:val="auto"/>
                <w:kern w:val="0"/>
                <w:lang w:val="en-US" w:eastAsia="zh-CN"/>
              </w:rPr>
              <w:t>3</w:t>
            </w:r>
            <w:r>
              <w:rPr>
                <w:rFonts w:hint="eastAsia"/>
                <w:b/>
                <w:bCs/>
                <w:color w:val="auto"/>
                <w:kern w:val="0"/>
              </w:rPr>
              <w:t>）</w:t>
            </w:r>
            <w:r>
              <w:rPr>
                <w:b/>
                <w:bCs/>
                <w:color w:val="auto"/>
                <w:kern w:val="0"/>
              </w:rPr>
              <w:t>废气处理装置设备事故风险防范措施</w:t>
            </w:r>
          </w:p>
          <w:p w14:paraId="3A8503F1">
            <w:pPr>
              <w:pStyle w:val="5"/>
              <w:adjustRightInd w:val="0"/>
              <w:snapToGrid w:val="0"/>
              <w:spacing w:line="360" w:lineRule="auto"/>
              <w:ind w:firstLineChars="200"/>
              <w:rPr>
                <w:bCs/>
                <w:color w:val="auto"/>
                <w:kern w:val="0"/>
                <w:szCs w:val="21"/>
              </w:rPr>
            </w:pPr>
            <w:r>
              <w:rPr>
                <w:bCs/>
                <w:color w:val="auto"/>
                <w:kern w:val="0"/>
                <w:szCs w:val="21"/>
              </w:rPr>
              <w:t>为减少事故的发生和影响建设单位应采取以下措施。</w:t>
            </w:r>
          </w:p>
          <w:p w14:paraId="3A8503F2">
            <w:pPr>
              <w:pStyle w:val="5"/>
              <w:adjustRightInd w:val="0"/>
              <w:snapToGrid w:val="0"/>
              <w:spacing w:line="360" w:lineRule="auto"/>
              <w:ind w:firstLineChars="200"/>
              <w:rPr>
                <w:bCs/>
                <w:color w:val="auto"/>
                <w:kern w:val="0"/>
                <w:szCs w:val="21"/>
              </w:rPr>
            </w:pPr>
            <w:r>
              <w:rPr>
                <w:rFonts w:hint="eastAsia"/>
                <w:bCs/>
                <w:color w:val="auto"/>
                <w:kern w:val="0"/>
                <w:szCs w:val="21"/>
              </w:rPr>
              <w:t>A、</w:t>
            </w:r>
            <w:r>
              <w:rPr>
                <w:bCs/>
                <w:color w:val="auto"/>
                <w:kern w:val="0"/>
                <w:szCs w:val="21"/>
              </w:rPr>
              <w:t>建立严格的操作规程，实行目标责任制，保证环境保护设施的正常运行。</w:t>
            </w:r>
          </w:p>
          <w:p w14:paraId="3A8503F3">
            <w:pPr>
              <w:pStyle w:val="5"/>
              <w:adjustRightInd w:val="0"/>
              <w:snapToGrid w:val="0"/>
              <w:spacing w:line="360" w:lineRule="auto"/>
              <w:ind w:firstLineChars="200"/>
              <w:rPr>
                <w:bCs/>
                <w:color w:val="auto"/>
                <w:kern w:val="0"/>
                <w:szCs w:val="21"/>
              </w:rPr>
            </w:pPr>
            <w:r>
              <w:rPr>
                <w:rFonts w:hint="eastAsia"/>
                <w:bCs/>
                <w:color w:val="auto"/>
                <w:kern w:val="0"/>
                <w:szCs w:val="21"/>
              </w:rPr>
              <w:t>B、</w:t>
            </w:r>
            <w:r>
              <w:rPr>
                <w:bCs/>
                <w:color w:val="auto"/>
                <w:kern w:val="0"/>
                <w:szCs w:val="21"/>
              </w:rPr>
              <w:t>对废气处理系统进行定期的监测和检修，如发生腐蚀、设备运行不稳定的情况，需对设备进行更换和修理，确保废气处理装置的正常运行。</w:t>
            </w:r>
          </w:p>
          <w:p w14:paraId="3A8503F4">
            <w:pPr>
              <w:pStyle w:val="5"/>
              <w:adjustRightInd w:val="0"/>
              <w:snapToGrid w:val="0"/>
              <w:spacing w:line="360" w:lineRule="auto"/>
              <w:ind w:firstLineChars="200"/>
              <w:rPr>
                <w:bCs/>
                <w:color w:val="auto"/>
                <w:kern w:val="0"/>
                <w:szCs w:val="21"/>
              </w:rPr>
            </w:pPr>
            <w:r>
              <w:rPr>
                <w:rFonts w:hint="eastAsia"/>
                <w:bCs/>
                <w:color w:val="auto"/>
                <w:kern w:val="0"/>
                <w:szCs w:val="21"/>
              </w:rPr>
              <w:t>C、</w:t>
            </w:r>
            <w:r>
              <w:rPr>
                <w:bCs/>
                <w:color w:val="auto"/>
                <w:kern w:val="0"/>
                <w:szCs w:val="21"/>
              </w:rPr>
              <w:t>二级活性炭吸附装置对废气进行处理后，应定期对二级活性炭进行更换，以便于废气的有效处理。</w:t>
            </w:r>
          </w:p>
          <w:p w14:paraId="3A8503F5">
            <w:pPr>
              <w:pStyle w:val="5"/>
              <w:adjustRightInd w:val="0"/>
              <w:snapToGrid w:val="0"/>
              <w:spacing w:line="360" w:lineRule="auto"/>
              <w:ind w:firstLineChars="200"/>
              <w:rPr>
                <w:bCs/>
                <w:color w:val="auto"/>
                <w:kern w:val="0"/>
                <w:szCs w:val="21"/>
              </w:rPr>
            </w:pPr>
            <w:r>
              <w:rPr>
                <w:rFonts w:hint="eastAsia"/>
                <w:bCs/>
                <w:color w:val="auto"/>
                <w:kern w:val="0"/>
                <w:szCs w:val="21"/>
              </w:rPr>
              <w:t>D、</w:t>
            </w:r>
            <w:r>
              <w:rPr>
                <w:bCs/>
                <w:color w:val="auto"/>
                <w:kern w:val="0"/>
                <w:szCs w:val="21"/>
              </w:rPr>
              <w:t>废气处理装置一旦出现故障，应立即关闭生产设备，避免废气未经处理进入大气环境。</w:t>
            </w:r>
          </w:p>
          <w:p w14:paraId="3A8503F6">
            <w:pPr>
              <w:pStyle w:val="5"/>
              <w:adjustRightInd w:val="0"/>
              <w:snapToGrid w:val="0"/>
              <w:spacing w:line="360" w:lineRule="auto"/>
              <w:ind w:firstLineChars="200"/>
              <w:rPr>
                <w:bCs/>
                <w:color w:val="auto"/>
                <w:kern w:val="0"/>
                <w:szCs w:val="21"/>
              </w:rPr>
            </w:pPr>
            <w:r>
              <w:rPr>
                <w:rFonts w:hint="eastAsia"/>
                <w:bCs/>
                <w:color w:val="auto"/>
                <w:kern w:val="0"/>
                <w:szCs w:val="21"/>
              </w:rPr>
              <w:t>E、</w:t>
            </w:r>
            <w:r>
              <w:rPr>
                <w:bCs/>
                <w:color w:val="auto"/>
                <w:kern w:val="0"/>
                <w:szCs w:val="21"/>
              </w:rPr>
              <w:t>二级活性炭吸附装置产生的废活性炭应妥善保存，避免过滤介质、二级活性炭接触明火和高温设备而引发的火灾及其次伴生环境风险事故。</w:t>
            </w:r>
          </w:p>
          <w:p w14:paraId="3A8503F7">
            <w:pPr>
              <w:adjustRightInd w:val="0"/>
              <w:snapToGrid w:val="0"/>
              <w:spacing w:line="360" w:lineRule="auto"/>
              <w:ind w:firstLine="420" w:firstLineChars="200"/>
              <w:rPr>
                <w:bCs/>
                <w:color w:val="auto"/>
                <w:kern w:val="0"/>
              </w:rPr>
            </w:pPr>
            <w:r>
              <w:rPr>
                <w:rFonts w:hint="eastAsia"/>
                <w:color w:val="auto"/>
                <w:kern w:val="0"/>
              </w:rPr>
              <w:t>F、</w:t>
            </w:r>
            <w:r>
              <w:rPr>
                <w:bCs/>
                <w:color w:val="auto"/>
                <w:kern w:val="0"/>
              </w:rPr>
              <w:t>每年定期组织一次污染治理设施意外事故的应急措施落实情况和应急设备（备用设备）完好情况的检查。</w:t>
            </w:r>
          </w:p>
          <w:p w14:paraId="3A8503F8">
            <w:pPr>
              <w:pStyle w:val="23"/>
              <w:ind w:firstLine="422" w:firstLineChars="200"/>
              <w:rPr>
                <w:b/>
                <w:bCs/>
                <w:color w:val="auto"/>
                <w:sz w:val="21"/>
                <w:szCs w:val="21"/>
              </w:rPr>
            </w:pPr>
            <w:r>
              <w:rPr>
                <w:b/>
                <w:bCs/>
                <w:color w:val="auto"/>
                <w:sz w:val="21"/>
                <w:szCs w:val="21"/>
              </w:rPr>
              <w:fldChar w:fldCharType="begin"/>
            </w:r>
            <w:r>
              <w:rPr>
                <w:b/>
                <w:bCs/>
                <w:color w:val="auto"/>
                <w:sz w:val="21"/>
                <w:szCs w:val="21"/>
              </w:rPr>
              <w:instrText xml:space="preserve"> = 2 \* GB3 \* MERGEFORMAT </w:instrText>
            </w:r>
            <w:r>
              <w:rPr>
                <w:b/>
                <w:bCs/>
                <w:color w:val="auto"/>
                <w:sz w:val="21"/>
                <w:szCs w:val="21"/>
              </w:rPr>
              <w:fldChar w:fldCharType="separate"/>
            </w:r>
            <w:r>
              <w:rPr>
                <w:b/>
                <w:bCs/>
                <w:color w:val="auto"/>
                <w:sz w:val="21"/>
                <w:szCs w:val="21"/>
              </w:rPr>
              <w:t>②</w:t>
            </w:r>
            <w:r>
              <w:rPr>
                <w:b/>
                <w:bCs/>
                <w:color w:val="auto"/>
                <w:sz w:val="21"/>
                <w:szCs w:val="21"/>
              </w:rPr>
              <w:fldChar w:fldCharType="end"/>
            </w:r>
            <w:r>
              <w:rPr>
                <w:b/>
                <w:bCs/>
                <w:color w:val="auto"/>
                <w:sz w:val="21"/>
                <w:szCs w:val="21"/>
              </w:rPr>
              <w:t>环境风</w:t>
            </w:r>
            <w:r>
              <w:rPr>
                <w:rFonts w:hint="eastAsia"/>
                <w:b/>
                <w:bCs/>
                <w:color w:val="auto"/>
                <w:sz w:val="21"/>
                <w:szCs w:val="21"/>
              </w:rPr>
              <w:t>险应急措施</w:t>
            </w:r>
          </w:p>
          <w:p w14:paraId="3A8503F9">
            <w:pPr>
              <w:pStyle w:val="23"/>
              <w:ind w:firstLine="422" w:firstLineChars="200"/>
              <w:rPr>
                <w:b/>
                <w:bCs/>
                <w:color w:val="auto"/>
                <w:sz w:val="21"/>
                <w:szCs w:val="21"/>
              </w:rPr>
            </w:pPr>
            <w:r>
              <w:rPr>
                <w:rFonts w:hint="eastAsia"/>
                <w:b/>
                <w:bCs/>
                <w:color w:val="auto"/>
                <w:sz w:val="21"/>
                <w:szCs w:val="21"/>
              </w:rPr>
              <w:t>1）火灾和爆炸事故应急措施</w:t>
            </w:r>
          </w:p>
          <w:p w14:paraId="3A8503FA">
            <w:pPr>
              <w:pStyle w:val="23"/>
              <w:ind w:firstLine="420" w:firstLineChars="200"/>
              <w:rPr>
                <w:color w:val="auto"/>
                <w:sz w:val="21"/>
                <w:szCs w:val="21"/>
              </w:rPr>
            </w:pPr>
            <w:r>
              <w:rPr>
                <w:rFonts w:hint="eastAsia"/>
                <w:color w:val="auto"/>
                <w:sz w:val="21"/>
                <w:szCs w:val="21"/>
              </w:rPr>
              <w:t>现场人员一旦发现火灾爆炸事故，应立即逐级报告，汇报时应明确发生的时间、地点、简要经过、人员伤亡情况等，并运用各种应急设施和器具急救，防止事故扩大。配电室或电器设备着火，应立即切断电源，采用二氧化碳或干粉灭火器进行灭火，不得使用水灭火。如火势较大影响自身安全时，应迅速组织人员疏散，发现火情人迅速向应急救援总指挥报告，请求支援。全警戒通讯组在引导人员紧急疏散时，要用湿毛巾或用其他棉织物捂住嘴、鼻逃离，要求人员低首俯身，贴近地面，以避开处于空气上方的毒烟，疏散到空旷的安全地带。</w:t>
            </w:r>
          </w:p>
          <w:p w14:paraId="3A8503FB">
            <w:pPr>
              <w:pStyle w:val="23"/>
              <w:ind w:firstLine="420" w:firstLineChars="200"/>
              <w:rPr>
                <w:b/>
                <w:bCs/>
                <w:color w:val="auto"/>
                <w:sz w:val="21"/>
                <w:szCs w:val="21"/>
              </w:rPr>
            </w:pPr>
            <w:r>
              <w:rPr>
                <w:color w:val="auto"/>
                <w:sz w:val="21"/>
                <w:szCs w:val="21"/>
              </w:rPr>
              <w:t>火灾爆炸衍生的消防尾水</w:t>
            </w:r>
            <w:r>
              <w:rPr>
                <w:rFonts w:hint="eastAsia"/>
                <w:color w:val="auto"/>
                <w:sz w:val="21"/>
                <w:szCs w:val="21"/>
              </w:rPr>
              <w:t>：</w:t>
            </w:r>
          </w:p>
          <w:p w14:paraId="3A8503FC">
            <w:pPr>
              <w:adjustRightInd w:val="0"/>
              <w:snapToGrid w:val="0"/>
              <w:spacing w:line="360" w:lineRule="auto"/>
              <w:ind w:firstLine="420" w:firstLineChars="200"/>
              <w:rPr>
                <w:color w:val="auto"/>
                <w:kern w:val="0"/>
              </w:rPr>
            </w:pPr>
            <w:r>
              <w:rPr>
                <w:color w:val="auto"/>
                <w:kern w:val="0"/>
              </w:rPr>
              <w:t>本次评估依据《事故状态下水体污染的预防与控制规范》（Q/SY08190-2019）计算事故排水量，包括事故时最大泄漏量、消防水量、生产废水量。事故水池容积确定拟参照Q/SY08190-2019确定，计算公式如下：</w:t>
            </w:r>
          </w:p>
          <w:p w14:paraId="3A8503FD">
            <w:pPr>
              <w:snapToGrid w:val="0"/>
              <w:spacing w:line="360" w:lineRule="auto"/>
              <w:jc w:val="center"/>
              <w:rPr>
                <w:color w:val="auto"/>
                <w:kern w:val="0"/>
                <w:vertAlign w:val="subscript"/>
              </w:rPr>
            </w:pPr>
            <w:r>
              <w:rPr>
                <w:color w:val="auto"/>
                <w:kern w:val="0"/>
              </w:rPr>
              <w:t>V</w:t>
            </w:r>
            <w:r>
              <w:rPr>
                <w:color w:val="auto"/>
                <w:kern w:val="0"/>
                <w:vertAlign w:val="subscript"/>
              </w:rPr>
              <w:t>总</w:t>
            </w:r>
            <w:r>
              <w:rPr>
                <w:color w:val="auto"/>
                <w:kern w:val="0"/>
              </w:rPr>
              <w:t>=（V</w:t>
            </w:r>
            <w:r>
              <w:rPr>
                <w:color w:val="auto"/>
                <w:kern w:val="0"/>
                <w:vertAlign w:val="subscript"/>
              </w:rPr>
              <w:t>1</w:t>
            </w:r>
            <w:r>
              <w:rPr>
                <w:color w:val="auto"/>
                <w:kern w:val="0"/>
              </w:rPr>
              <w:t>+V</w:t>
            </w:r>
            <w:r>
              <w:rPr>
                <w:color w:val="auto"/>
                <w:kern w:val="0"/>
                <w:vertAlign w:val="subscript"/>
              </w:rPr>
              <w:t>2</w:t>
            </w:r>
            <w:r>
              <w:rPr>
                <w:color w:val="auto"/>
                <w:kern w:val="0"/>
              </w:rPr>
              <w:t>-V</w:t>
            </w:r>
            <w:r>
              <w:rPr>
                <w:color w:val="auto"/>
                <w:kern w:val="0"/>
                <w:vertAlign w:val="subscript"/>
              </w:rPr>
              <w:t>3</w:t>
            </w:r>
            <w:r>
              <w:rPr>
                <w:color w:val="auto"/>
                <w:kern w:val="0"/>
              </w:rPr>
              <w:t>）</w:t>
            </w:r>
            <w:r>
              <w:rPr>
                <w:color w:val="auto"/>
                <w:kern w:val="0"/>
                <w:vertAlign w:val="subscript"/>
              </w:rPr>
              <w:t>max</w:t>
            </w:r>
            <w:r>
              <w:rPr>
                <w:color w:val="auto"/>
                <w:kern w:val="0"/>
              </w:rPr>
              <w:t>+V</w:t>
            </w:r>
            <w:r>
              <w:rPr>
                <w:color w:val="auto"/>
                <w:kern w:val="0"/>
                <w:vertAlign w:val="subscript"/>
              </w:rPr>
              <w:t>4</w:t>
            </w:r>
            <w:r>
              <w:rPr>
                <w:color w:val="auto"/>
                <w:kern w:val="0"/>
              </w:rPr>
              <w:t>+V</w:t>
            </w:r>
            <w:r>
              <w:rPr>
                <w:color w:val="auto"/>
                <w:kern w:val="0"/>
                <w:vertAlign w:val="subscript"/>
              </w:rPr>
              <w:t>5</w:t>
            </w:r>
          </w:p>
          <w:p w14:paraId="3A8503FE">
            <w:pPr>
              <w:snapToGrid w:val="0"/>
              <w:spacing w:line="360" w:lineRule="auto"/>
              <w:jc w:val="center"/>
              <w:rPr>
                <w:color w:val="auto"/>
                <w:kern w:val="0"/>
                <w:vertAlign w:val="subscript"/>
              </w:rPr>
            </w:pPr>
            <w:r>
              <w:rPr>
                <w:color w:val="auto"/>
                <w:kern w:val="0"/>
              </w:rPr>
              <w:t>V</w:t>
            </w:r>
            <w:r>
              <w:rPr>
                <w:color w:val="auto"/>
                <w:kern w:val="0"/>
                <w:vertAlign w:val="subscript"/>
              </w:rPr>
              <w:t>2</w:t>
            </w:r>
            <w:r>
              <w:rPr>
                <w:color w:val="auto"/>
                <w:kern w:val="0"/>
              </w:rPr>
              <w:t>=∑Q</w:t>
            </w:r>
            <w:r>
              <w:rPr>
                <w:color w:val="auto"/>
                <w:kern w:val="0"/>
                <w:vertAlign w:val="subscript"/>
              </w:rPr>
              <w:t>消</w:t>
            </w:r>
            <w:r>
              <w:rPr>
                <w:color w:val="auto"/>
                <w:kern w:val="0"/>
              </w:rPr>
              <w:t>×t</w:t>
            </w:r>
            <w:r>
              <w:rPr>
                <w:color w:val="auto"/>
                <w:kern w:val="0"/>
                <w:vertAlign w:val="subscript"/>
              </w:rPr>
              <w:t>消</w:t>
            </w:r>
          </w:p>
          <w:p w14:paraId="3A8503FF">
            <w:pPr>
              <w:snapToGrid w:val="0"/>
              <w:spacing w:line="360" w:lineRule="auto"/>
              <w:jc w:val="center"/>
              <w:rPr>
                <w:color w:val="auto"/>
                <w:kern w:val="0"/>
              </w:rPr>
            </w:pPr>
            <w:r>
              <w:rPr>
                <w:color w:val="auto"/>
                <w:kern w:val="0"/>
              </w:rPr>
              <w:t>V</w:t>
            </w:r>
            <w:r>
              <w:rPr>
                <w:color w:val="auto"/>
                <w:kern w:val="0"/>
                <w:vertAlign w:val="subscript"/>
              </w:rPr>
              <w:t>5</w:t>
            </w:r>
            <w:r>
              <w:rPr>
                <w:color w:val="auto"/>
                <w:kern w:val="0"/>
              </w:rPr>
              <w:t>=10qf</w:t>
            </w:r>
          </w:p>
          <w:p w14:paraId="3A850400">
            <w:pPr>
              <w:pStyle w:val="701"/>
              <w:spacing w:line="360" w:lineRule="auto"/>
              <w:jc w:val="center"/>
              <w:rPr>
                <w:rFonts w:hint="default"/>
                <w:color w:val="auto"/>
                <w:kern w:val="0"/>
                <w:sz w:val="21"/>
              </w:rPr>
            </w:pPr>
            <w:r>
              <w:rPr>
                <w:rFonts w:hint="default"/>
                <w:color w:val="auto"/>
                <w:kern w:val="0"/>
                <w:sz w:val="21"/>
              </w:rPr>
              <w:t>q=q</w:t>
            </w:r>
            <w:r>
              <w:rPr>
                <w:rFonts w:hint="default"/>
                <w:color w:val="auto"/>
                <w:kern w:val="0"/>
                <w:sz w:val="21"/>
                <w:vertAlign w:val="subscript"/>
              </w:rPr>
              <w:t>a</w:t>
            </w:r>
            <w:r>
              <w:rPr>
                <w:rFonts w:hint="default"/>
                <w:color w:val="auto"/>
                <w:kern w:val="0"/>
                <w:sz w:val="21"/>
              </w:rPr>
              <w:t>/n</w:t>
            </w:r>
          </w:p>
          <w:p w14:paraId="3A850401">
            <w:pPr>
              <w:adjustRightInd w:val="0"/>
              <w:snapToGrid w:val="0"/>
              <w:spacing w:line="360" w:lineRule="auto"/>
              <w:ind w:firstLine="420" w:firstLineChars="200"/>
              <w:rPr>
                <w:color w:val="auto"/>
                <w:kern w:val="0"/>
              </w:rPr>
            </w:pPr>
            <w:r>
              <w:rPr>
                <w:color w:val="auto"/>
                <w:kern w:val="0"/>
              </w:rPr>
              <w:t>式中V</w:t>
            </w:r>
            <w:r>
              <w:rPr>
                <w:color w:val="auto"/>
                <w:kern w:val="0"/>
                <w:vertAlign w:val="subscript"/>
              </w:rPr>
              <w:t>总</w:t>
            </w:r>
            <w:r>
              <w:rPr>
                <w:color w:val="auto"/>
                <w:kern w:val="0"/>
              </w:rPr>
              <w:t>—事故缓冲设施总有效容积，单位为立方米（m</w:t>
            </w:r>
            <w:r>
              <w:rPr>
                <w:color w:val="auto"/>
                <w:kern w:val="0"/>
                <w:vertAlign w:val="superscript"/>
              </w:rPr>
              <w:t>3</w:t>
            </w:r>
            <w:r>
              <w:rPr>
                <w:color w:val="auto"/>
                <w:kern w:val="0"/>
              </w:rPr>
              <w:t>）；</w:t>
            </w:r>
          </w:p>
          <w:p w14:paraId="3A850402">
            <w:pPr>
              <w:pStyle w:val="702"/>
              <w:autoSpaceDE w:val="0"/>
              <w:autoSpaceDN w:val="0"/>
              <w:spacing w:line="360" w:lineRule="auto"/>
              <w:ind w:firstLine="420" w:firstLineChars="200"/>
              <w:rPr>
                <w:rFonts w:eastAsia="宋体"/>
                <w:color w:val="auto"/>
                <w:kern w:val="0"/>
                <w:sz w:val="21"/>
                <w:szCs w:val="21"/>
              </w:rPr>
            </w:pPr>
            <w:r>
              <w:rPr>
                <w:rStyle w:val="218"/>
                <w:rFonts w:eastAsia="宋体"/>
                <w:b w:val="0"/>
                <w:color w:val="auto"/>
                <w:kern w:val="0"/>
                <w:sz w:val="21"/>
                <w:szCs w:val="21"/>
              </w:rPr>
              <w:t>V</w:t>
            </w:r>
            <w:r>
              <w:rPr>
                <w:rStyle w:val="218"/>
                <w:rFonts w:eastAsia="宋体"/>
                <w:b w:val="0"/>
                <w:color w:val="auto"/>
                <w:kern w:val="0"/>
                <w:sz w:val="21"/>
                <w:szCs w:val="21"/>
                <w:vertAlign w:val="subscript"/>
              </w:rPr>
              <w:t>1</w:t>
            </w:r>
            <w:r>
              <w:rPr>
                <w:rStyle w:val="218"/>
                <w:rFonts w:eastAsia="宋体"/>
                <w:b w:val="0"/>
                <w:color w:val="auto"/>
                <w:kern w:val="0"/>
                <w:sz w:val="21"/>
                <w:szCs w:val="21"/>
              </w:rPr>
              <w:t>—收集系统范围内发生事故的一个罐组或一套装置的物料量，项目无储罐或装置，</w:t>
            </w:r>
            <w:r>
              <w:rPr>
                <w:rFonts w:eastAsia="宋体"/>
                <w:b w:val="0"/>
                <w:bCs/>
                <w:color w:val="auto"/>
                <w:kern w:val="0"/>
                <w:sz w:val="21"/>
                <w:szCs w:val="21"/>
              </w:rPr>
              <w:t>因此</w:t>
            </w:r>
            <w:r>
              <w:rPr>
                <w:rFonts w:eastAsia="宋体"/>
                <w:bCs/>
                <w:color w:val="auto"/>
                <w:kern w:val="0"/>
                <w:sz w:val="21"/>
                <w:szCs w:val="21"/>
              </w:rPr>
              <w:t>V</w:t>
            </w:r>
            <w:r>
              <w:rPr>
                <w:rFonts w:eastAsia="宋体"/>
                <w:bCs/>
                <w:color w:val="auto"/>
                <w:kern w:val="0"/>
                <w:sz w:val="21"/>
                <w:szCs w:val="21"/>
                <w:vertAlign w:val="subscript"/>
              </w:rPr>
              <w:t>1</w:t>
            </w:r>
            <w:r>
              <w:rPr>
                <w:rFonts w:eastAsia="宋体"/>
                <w:bCs/>
                <w:color w:val="auto"/>
                <w:kern w:val="0"/>
                <w:sz w:val="21"/>
                <w:szCs w:val="21"/>
              </w:rPr>
              <w:t>=0m</w:t>
            </w:r>
            <w:r>
              <w:rPr>
                <w:rFonts w:eastAsia="宋体"/>
                <w:bCs/>
                <w:color w:val="auto"/>
                <w:kern w:val="0"/>
                <w:sz w:val="21"/>
                <w:szCs w:val="21"/>
                <w:vertAlign w:val="superscript"/>
              </w:rPr>
              <w:t>3</w:t>
            </w:r>
            <w:r>
              <w:rPr>
                <w:rFonts w:eastAsia="宋体"/>
                <w:color w:val="auto"/>
                <w:kern w:val="0"/>
                <w:sz w:val="21"/>
                <w:szCs w:val="21"/>
              </w:rPr>
              <w:t>；</w:t>
            </w:r>
          </w:p>
          <w:p w14:paraId="3A850403">
            <w:pPr>
              <w:snapToGrid w:val="0"/>
              <w:spacing w:line="360" w:lineRule="auto"/>
              <w:ind w:firstLine="420" w:firstLineChars="200"/>
              <w:rPr>
                <w:color w:val="auto"/>
                <w:kern w:val="0"/>
              </w:rPr>
            </w:pPr>
            <w:r>
              <w:rPr>
                <w:color w:val="auto"/>
                <w:kern w:val="0"/>
              </w:rPr>
              <w:t>V</w:t>
            </w:r>
            <w:r>
              <w:rPr>
                <w:color w:val="auto"/>
                <w:kern w:val="0"/>
                <w:vertAlign w:val="subscript"/>
              </w:rPr>
              <w:t>2</w:t>
            </w:r>
            <w:r>
              <w:rPr>
                <w:color w:val="auto"/>
                <w:kern w:val="0"/>
              </w:rPr>
              <w:t>—发生事故的储罐、装置或铁路、汽车装卸区的消防水量，单位为立方米（m</w:t>
            </w:r>
            <w:r>
              <w:rPr>
                <w:color w:val="auto"/>
                <w:kern w:val="0"/>
                <w:vertAlign w:val="superscript"/>
              </w:rPr>
              <w:t>3</w:t>
            </w:r>
            <w:r>
              <w:rPr>
                <w:color w:val="auto"/>
                <w:kern w:val="0"/>
              </w:rPr>
              <w:t>）；</w:t>
            </w:r>
          </w:p>
          <w:p w14:paraId="3A850404">
            <w:pPr>
              <w:snapToGrid w:val="0"/>
              <w:spacing w:line="360" w:lineRule="auto"/>
              <w:ind w:firstLine="420" w:firstLineChars="200"/>
              <w:rPr>
                <w:color w:val="auto"/>
                <w:kern w:val="0"/>
              </w:rPr>
            </w:pPr>
            <w:r>
              <w:rPr>
                <w:color w:val="auto"/>
                <w:kern w:val="0"/>
              </w:rPr>
              <w:t>Q</w:t>
            </w:r>
            <w:r>
              <w:rPr>
                <w:color w:val="auto"/>
                <w:kern w:val="0"/>
                <w:vertAlign w:val="subscript"/>
              </w:rPr>
              <w:t>消</w:t>
            </w:r>
            <w:r>
              <w:rPr>
                <w:color w:val="auto"/>
                <w:kern w:val="0"/>
              </w:rPr>
              <w:t>—发生事故的储罐、装置或铁路、汽车装卸区同时使用的消防设施给水流量，单位为立方米每小时（m</w:t>
            </w:r>
            <w:r>
              <w:rPr>
                <w:color w:val="auto"/>
                <w:kern w:val="0"/>
                <w:vertAlign w:val="superscript"/>
              </w:rPr>
              <w:t>3</w:t>
            </w:r>
            <w:r>
              <w:rPr>
                <w:color w:val="auto"/>
                <w:kern w:val="0"/>
              </w:rPr>
              <w:t>/h）；</w:t>
            </w:r>
          </w:p>
          <w:p w14:paraId="3A850405">
            <w:pPr>
              <w:snapToGrid w:val="0"/>
              <w:spacing w:line="360" w:lineRule="auto"/>
              <w:ind w:firstLine="420" w:firstLineChars="200"/>
              <w:rPr>
                <w:color w:val="auto"/>
                <w:kern w:val="0"/>
              </w:rPr>
            </w:pPr>
            <w:r>
              <w:rPr>
                <w:color w:val="auto"/>
                <w:kern w:val="0"/>
              </w:rPr>
              <w:t>t</w:t>
            </w:r>
            <w:r>
              <w:rPr>
                <w:color w:val="auto"/>
                <w:kern w:val="0"/>
                <w:vertAlign w:val="subscript"/>
              </w:rPr>
              <w:t>消</w:t>
            </w:r>
            <w:r>
              <w:rPr>
                <w:color w:val="auto"/>
                <w:kern w:val="0"/>
              </w:rPr>
              <w:t>—消防设施对应的设计消防历时，单位为小时（h）；</w:t>
            </w:r>
          </w:p>
          <w:p w14:paraId="3A850406">
            <w:pPr>
              <w:snapToGrid w:val="0"/>
              <w:spacing w:line="360" w:lineRule="auto"/>
              <w:ind w:firstLine="420" w:firstLineChars="200"/>
              <w:rPr>
                <w:color w:val="auto"/>
                <w:kern w:val="0"/>
              </w:rPr>
            </w:pPr>
            <w:r>
              <w:rPr>
                <w:color w:val="auto"/>
                <w:kern w:val="0"/>
              </w:rPr>
              <w:t>企业消防水量按</w:t>
            </w:r>
            <w:r>
              <w:rPr>
                <w:rFonts w:hint="eastAsia"/>
                <w:color w:val="auto"/>
                <w:kern w:val="0"/>
              </w:rPr>
              <w:t>20</w:t>
            </w:r>
            <w:r>
              <w:rPr>
                <w:color w:val="auto"/>
                <w:kern w:val="0"/>
              </w:rPr>
              <w:t>L/s考虑，</w:t>
            </w:r>
            <w:r>
              <w:rPr>
                <w:rFonts w:hint="eastAsia"/>
                <w:color w:val="auto"/>
                <w:kern w:val="0"/>
              </w:rPr>
              <w:t>火灾持续时间按</w:t>
            </w:r>
            <w:r>
              <w:rPr>
                <w:rFonts w:hint="eastAsia"/>
                <w:color w:val="auto"/>
                <w:kern w:val="0"/>
                <w:lang w:val="en-US" w:eastAsia="zh-CN"/>
              </w:rPr>
              <w:t>2</w:t>
            </w:r>
            <w:r>
              <w:rPr>
                <w:rFonts w:hint="eastAsia"/>
                <w:color w:val="auto"/>
                <w:kern w:val="0"/>
              </w:rPr>
              <w:t>h计</w:t>
            </w:r>
            <w:r>
              <w:rPr>
                <w:color w:val="auto"/>
                <w:kern w:val="0"/>
              </w:rPr>
              <w:t>，则最大消防用水量为</w:t>
            </w:r>
            <w:r>
              <w:rPr>
                <w:rFonts w:hint="eastAsia"/>
                <w:color w:val="auto"/>
                <w:kern w:val="0"/>
                <w:lang w:val="en-US" w:eastAsia="zh-CN"/>
              </w:rPr>
              <w:t>144</w:t>
            </w:r>
            <w:r>
              <w:rPr>
                <w:color w:val="auto"/>
                <w:kern w:val="0"/>
              </w:rPr>
              <w:t>m</w:t>
            </w:r>
            <w:r>
              <w:rPr>
                <w:color w:val="auto"/>
                <w:kern w:val="0"/>
                <w:vertAlign w:val="superscript"/>
              </w:rPr>
              <w:t>3</w:t>
            </w:r>
            <w:r>
              <w:rPr>
                <w:color w:val="auto"/>
                <w:kern w:val="0"/>
              </w:rPr>
              <w:t>，因此</w:t>
            </w:r>
            <w:r>
              <w:rPr>
                <w:b/>
                <w:bCs/>
                <w:color w:val="auto"/>
                <w:kern w:val="0"/>
              </w:rPr>
              <w:t>V</w:t>
            </w:r>
            <w:r>
              <w:rPr>
                <w:b/>
                <w:bCs/>
                <w:color w:val="auto"/>
                <w:kern w:val="0"/>
                <w:vertAlign w:val="subscript"/>
              </w:rPr>
              <w:t>2</w:t>
            </w:r>
            <w:r>
              <w:rPr>
                <w:b/>
                <w:bCs/>
                <w:color w:val="auto"/>
                <w:kern w:val="0"/>
              </w:rPr>
              <w:t>=</w:t>
            </w:r>
            <w:r>
              <w:rPr>
                <w:rFonts w:hint="eastAsia"/>
                <w:b/>
                <w:bCs/>
                <w:color w:val="auto"/>
                <w:kern w:val="0"/>
                <w:lang w:val="en-US" w:eastAsia="zh-CN"/>
              </w:rPr>
              <w:t>144</w:t>
            </w:r>
            <w:r>
              <w:rPr>
                <w:b/>
                <w:bCs/>
                <w:color w:val="auto"/>
                <w:kern w:val="0"/>
              </w:rPr>
              <w:t>m</w:t>
            </w:r>
            <w:r>
              <w:rPr>
                <w:b/>
                <w:bCs/>
                <w:color w:val="auto"/>
                <w:kern w:val="0"/>
                <w:vertAlign w:val="superscript"/>
              </w:rPr>
              <w:t>3</w:t>
            </w:r>
            <w:r>
              <w:rPr>
                <w:color w:val="auto"/>
                <w:kern w:val="0"/>
              </w:rPr>
              <w:t>；</w:t>
            </w:r>
          </w:p>
          <w:p w14:paraId="3A850407">
            <w:pPr>
              <w:snapToGrid w:val="0"/>
              <w:spacing w:line="360" w:lineRule="auto"/>
              <w:ind w:firstLine="420" w:firstLineChars="200"/>
              <w:rPr>
                <w:color w:val="auto"/>
                <w:kern w:val="0"/>
              </w:rPr>
            </w:pPr>
            <w:r>
              <w:rPr>
                <w:color w:val="auto"/>
                <w:kern w:val="0"/>
              </w:rPr>
              <w:t>V</w:t>
            </w:r>
            <w:r>
              <w:rPr>
                <w:color w:val="auto"/>
                <w:kern w:val="0"/>
                <w:vertAlign w:val="subscript"/>
              </w:rPr>
              <w:t>3</w:t>
            </w:r>
            <w:r>
              <w:rPr>
                <w:color w:val="auto"/>
                <w:kern w:val="0"/>
              </w:rPr>
              <w:t>—发生事故时可以转输到其他储存或处理设施的物料量，单位为立方米（m</w:t>
            </w:r>
            <w:r>
              <w:rPr>
                <w:color w:val="auto"/>
                <w:kern w:val="0"/>
                <w:vertAlign w:val="superscript"/>
              </w:rPr>
              <w:t>3</w:t>
            </w:r>
            <w:r>
              <w:rPr>
                <w:color w:val="auto"/>
                <w:kern w:val="0"/>
              </w:rPr>
              <w:t>）；</w:t>
            </w:r>
          </w:p>
          <w:p w14:paraId="3A850408">
            <w:pPr>
              <w:pStyle w:val="702"/>
              <w:adjustRightInd/>
              <w:snapToGrid/>
              <w:spacing w:line="360" w:lineRule="auto"/>
              <w:ind w:left="31" w:leftChars="15" w:right="31" w:rightChars="15" w:firstLine="420" w:firstLineChars="200"/>
              <w:rPr>
                <w:rStyle w:val="218"/>
                <w:rFonts w:eastAsia="宋体"/>
                <w:b w:val="0"/>
                <w:color w:val="auto"/>
                <w:kern w:val="0"/>
                <w:sz w:val="21"/>
                <w:szCs w:val="21"/>
              </w:rPr>
            </w:pPr>
            <w:r>
              <w:rPr>
                <w:rStyle w:val="218"/>
                <w:rFonts w:hint="eastAsia" w:eastAsia="宋体"/>
                <w:b w:val="0"/>
                <w:color w:val="auto"/>
                <w:kern w:val="0"/>
                <w:sz w:val="21"/>
                <w:szCs w:val="21"/>
              </w:rPr>
              <w:t>企业无</w:t>
            </w:r>
            <w:r>
              <w:rPr>
                <w:rFonts w:eastAsia="宋体"/>
                <w:b w:val="0"/>
                <w:bCs/>
                <w:color w:val="auto"/>
                <w:kern w:val="0"/>
                <w:sz w:val="21"/>
                <w:szCs w:val="21"/>
              </w:rPr>
              <w:t>其他储存或处理设施</w:t>
            </w:r>
            <w:r>
              <w:rPr>
                <w:rFonts w:hint="eastAsia" w:eastAsia="宋体"/>
                <w:b w:val="0"/>
                <w:bCs/>
                <w:color w:val="auto"/>
                <w:kern w:val="0"/>
                <w:sz w:val="21"/>
                <w:szCs w:val="21"/>
              </w:rPr>
              <w:t>，</w:t>
            </w:r>
            <w:r>
              <w:rPr>
                <w:rStyle w:val="218"/>
                <w:rFonts w:hint="eastAsia" w:eastAsia="宋体"/>
                <w:b w:val="0"/>
                <w:color w:val="auto"/>
                <w:kern w:val="0"/>
                <w:sz w:val="21"/>
                <w:szCs w:val="21"/>
              </w:rPr>
              <w:t>故</w:t>
            </w:r>
            <w:r>
              <w:rPr>
                <w:rStyle w:val="218"/>
                <w:rFonts w:hint="eastAsia" w:eastAsia="宋体"/>
                <w:bCs/>
                <w:color w:val="auto"/>
                <w:kern w:val="0"/>
                <w:sz w:val="21"/>
                <w:szCs w:val="21"/>
              </w:rPr>
              <w:t>V</w:t>
            </w:r>
            <w:r>
              <w:rPr>
                <w:rStyle w:val="218"/>
                <w:rFonts w:hint="eastAsia" w:eastAsia="宋体"/>
                <w:bCs/>
                <w:color w:val="auto"/>
                <w:kern w:val="0"/>
                <w:sz w:val="21"/>
                <w:szCs w:val="21"/>
                <w:vertAlign w:val="subscript"/>
              </w:rPr>
              <w:t>3</w:t>
            </w:r>
            <w:r>
              <w:rPr>
                <w:rStyle w:val="218"/>
                <w:rFonts w:hint="eastAsia" w:eastAsia="宋体"/>
                <w:bCs/>
                <w:color w:val="auto"/>
                <w:kern w:val="0"/>
                <w:sz w:val="21"/>
                <w:szCs w:val="21"/>
              </w:rPr>
              <w:t>=0m</w:t>
            </w:r>
            <w:r>
              <w:rPr>
                <w:rStyle w:val="218"/>
                <w:rFonts w:hint="eastAsia" w:eastAsia="宋体"/>
                <w:bCs/>
                <w:color w:val="auto"/>
                <w:kern w:val="0"/>
                <w:sz w:val="21"/>
                <w:szCs w:val="21"/>
                <w:vertAlign w:val="superscript"/>
              </w:rPr>
              <w:t>3</w:t>
            </w:r>
            <w:r>
              <w:rPr>
                <w:rStyle w:val="218"/>
                <w:rFonts w:hint="eastAsia" w:eastAsia="宋体"/>
                <w:b w:val="0"/>
                <w:color w:val="auto"/>
                <w:kern w:val="0"/>
                <w:sz w:val="21"/>
                <w:szCs w:val="21"/>
              </w:rPr>
              <w:t>。</w:t>
            </w:r>
          </w:p>
          <w:p w14:paraId="3A850409">
            <w:pPr>
              <w:snapToGrid w:val="0"/>
              <w:spacing w:line="360" w:lineRule="auto"/>
              <w:ind w:left="479" w:leftChars="228"/>
              <w:rPr>
                <w:color w:val="auto"/>
                <w:kern w:val="0"/>
              </w:rPr>
            </w:pPr>
            <w:r>
              <w:rPr>
                <w:color w:val="auto"/>
                <w:kern w:val="0"/>
              </w:rPr>
              <w:t>V</w:t>
            </w:r>
            <w:r>
              <w:rPr>
                <w:color w:val="auto"/>
                <w:kern w:val="0"/>
                <w:vertAlign w:val="subscript"/>
              </w:rPr>
              <w:t>4</w:t>
            </w:r>
            <w:r>
              <w:rPr>
                <w:color w:val="auto"/>
                <w:kern w:val="0"/>
              </w:rPr>
              <w:t>—发生事故时仍必须进入该收集系统的生产废水量，单位为立方（m</w:t>
            </w:r>
            <w:r>
              <w:rPr>
                <w:color w:val="auto"/>
                <w:kern w:val="0"/>
                <w:vertAlign w:val="superscript"/>
              </w:rPr>
              <w:t>3</w:t>
            </w:r>
            <w:r>
              <w:rPr>
                <w:color w:val="auto"/>
                <w:kern w:val="0"/>
              </w:rPr>
              <w:t>）；</w:t>
            </w:r>
          </w:p>
          <w:p w14:paraId="3A85040A">
            <w:pPr>
              <w:snapToGrid w:val="0"/>
              <w:spacing w:line="360" w:lineRule="auto"/>
              <w:ind w:firstLine="420" w:firstLineChars="200"/>
              <w:rPr>
                <w:color w:val="auto"/>
                <w:kern w:val="0"/>
              </w:rPr>
            </w:pPr>
            <w:r>
              <w:rPr>
                <w:rFonts w:hint="eastAsia"/>
                <w:color w:val="auto"/>
                <w:kern w:val="0"/>
              </w:rPr>
              <w:t>全厂</w:t>
            </w:r>
            <w:r>
              <w:rPr>
                <w:color w:val="auto"/>
                <w:kern w:val="0"/>
              </w:rPr>
              <w:t>无生产废水外排，</w:t>
            </w:r>
            <w:r>
              <w:rPr>
                <w:b/>
                <w:bCs/>
                <w:color w:val="auto"/>
                <w:kern w:val="0"/>
              </w:rPr>
              <w:t>V</w:t>
            </w:r>
            <w:r>
              <w:rPr>
                <w:b/>
                <w:bCs/>
                <w:color w:val="auto"/>
                <w:kern w:val="0"/>
                <w:vertAlign w:val="subscript"/>
              </w:rPr>
              <w:t>4</w:t>
            </w:r>
            <w:r>
              <w:rPr>
                <w:b/>
                <w:bCs/>
                <w:color w:val="auto"/>
                <w:kern w:val="0"/>
              </w:rPr>
              <w:t>=0m</w:t>
            </w:r>
            <w:r>
              <w:rPr>
                <w:b/>
                <w:bCs/>
                <w:color w:val="auto"/>
                <w:kern w:val="0"/>
                <w:vertAlign w:val="superscript"/>
              </w:rPr>
              <w:t>3</w:t>
            </w:r>
            <w:r>
              <w:rPr>
                <w:color w:val="auto"/>
                <w:kern w:val="0"/>
              </w:rPr>
              <w:t>；</w:t>
            </w:r>
          </w:p>
          <w:p w14:paraId="3A85040B">
            <w:pPr>
              <w:snapToGrid w:val="0"/>
              <w:spacing w:line="360" w:lineRule="auto"/>
              <w:ind w:left="479" w:leftChars="228"/>
              <w:rPr>
                <w:color w:val="auto"/>
                <w:kern w:val="0"/>
              </w:rPr>
            </w:pPr>
            <w:r>
              <w:rPr>
                <w:color w:val="auto"/>
                <w:kern w:val="0"/>
              </w:rPr>
              <w:t>V</w:t>
            </w:r>
            <w:r>
              <w:rPr>
                <w:color w:val="auto"/>
                <w:kern w:val="0"/>
                <w:vertAlign w:val="subscript"/>
              </w:rPr>
              <w:t>5</w:t>
            </w:r>
            <w:r>
              <w:rPr>
                <w:color w:val="auto"/>
                <w:kern w:val="0"/>
              </w:rPr>
              <w:t>—发生事故时可能进入该收集系统的降雨量，单位为立方米（m</w:t>
            </w:r>
            <w:r>
              <w:rPr>
                <w:color w:val="auto"/>
                <w:kern w:val="0"/>
                <w:vertAlign w:val="superscript"/>
              </w:rPr>
              <w:t>3</w:t>
            </w:r>
            <w:r>
              <w:rPr>
                <w:color w:val="auto"/>
                <w:kern w:val="0"/>
              </w:rPr>
              <w:t>）；</w:t>
            </w:r>
          </w:p>
          <w:p w14:paraId="3A85040C">
            <w:pPr>
              <w:snapToGrid w:val="0"/>
              <w:spacing w:line="360" w:lineRule="auto"/>
              <w:ind w:firstLine="420" w:firstLineChars="200"/>
              <w:rPr>
                <w:color w:val="auto"/>
                <w:kern w:val="0"/>
              </w:rPr>
            </w:pPr>
            <w:r>
              <w:rPr>
                <w:color w:val="auto"/>
                <w:kern w:val="0"/>
              </w:rPr>
              <w:t>q—降雨强度，按平均日降雨量，单位为毫米（mm）；</w:t>
            </w:r>
          </w:p>
          <w:p w14:paraId="3A85040D">
            <w:pPr>
              <w:snapToGrid w:val="0"/>
              <w:spacing w:line="360" w:lineRule="auto"/>
              <w:ind w:firstLine="420" w:firstLineChars="200"/>
              <w:rPr>
                <w:color w:val="auto"/>
                <w:kern w:val="0"/>
              </w:rPr>
            </w:pPr>
            <w:r>
              <w:rPr>
                <w:color w:val="auto"/>
                <w:kern w:val="0"/>
              </w:rPr>
              <w:t>q</w:t>
            </w:r>
            <w:r>
              <w:rPr>
                <w:color w:val="auto"/>
                <w:kern w:val="0"/>
                <w:vertAlign w:val="subscript"/>
              </w:rPr>
              <w:t>a</w:t>
            </w:r>
            <w:r>
              <w:rPr>
                <w:color w:val="auto"/>
                <w:kern w:val="0"/>
              </w:rPr>
              <w:t>—年平均降雨量，单位为毫米（mm）；</w:t>
            </w:r>
          </w:p>
          <w:p w14:paraId="3A85040E">
            <w:pPr>
              <w:snapToGrid w:val="0"/>
              <w:spacing w:line="360" w:lineRule="auto"/>
              <w:ind w:firstLine="420" w:firstLineChars="200"/>
              <w:rPr>
                <w:color w:val="auto"/>
                <w:kern w:val="0"/>
              </w:rPr>
            </w:pPr>
            <w:r>
              <w:rPr>
                <w:color w:val="auto"/>
                <w:kern w:val="0"/>
              </w:rPr>
              <w:t>n—年平均降雨日数，单位为天（d）；</w:t>
            </w:r>
          </w:p>
          <w:p w14:paraId="3A85040F">
            <w:pPr>
              <w:snapToGrid w:val="0"/>
              <w:spacing w:line="360" w:lineRule="auto"/>
              <w:ind w:firstLine="420" w:firstLineChars="200"/>
              <w:rPr>
                <w:color w:val="auto"/>
                <w:kern w:val="0"/>
              </w:rPr>
            </w:pPr>
            <w:r>
              <w:rPr>
                <w:color w:val="auto"/>
                <w:kern w:val="0"/>
              </w:rPr>
              <w:t>f—必须进入事故废水收集系统的雨水汇水面积，单位为公顷（ha）；</w:t>
            </w:r>
          </w:p>
          <w:p w14:paraId="3A850410">
            <w:pPr>
              <w:snapToGrid w:val="0"/>
              <w:spacing w:line="360" w:lineRule="auto"/>
              <w:ind w:firstLine="420" w:firstLineChars="200"/>
              <w:rPr>
                <w:color w:val="auto"/>
                <w:kern w:val="0"/>
              </w:rPr>
            </w:pPr>
            <w:r>
              <w:rPr>
                <w:color w:val="auto"/>
                <w:kern w:val="0"/>
              </w:rPr>
              <w:t>企业无露天生产装置，无露天储罐，故初期雨水不需要收集进入事故池。</w:t>
            </w:r>
            <w:r>
              <w:rPr>
                <w:b/>
                <w:bCs/>
                <w:color w:val="auto"/>
                <w:kern w:val="0"/>
              </w:rPr>
              <w:t>V5=0m</w:t>
            </w:r>
            <w:r>
              <w:rPr>
                <w:b/>
                <w:bCs/>
                <w:color w:val="auto"/>
                <w:kern w:val="0"/>
                <w:vertAlign w:val="superscript"/>
              </w:rPr>
              <w:t>3</w:t>
            </w:r>
            <w:r>
              <w:rPr>
                <w:color w:val="auto"/>
                <w:kern w:val="0"/>
              </w:rPr>
              <w:t>。</w:t>
            </w:r>
          </w:p>
          <w:p w14:paraId="3A850411">
            <w:pPr>
              <w:adjustRightInd w:val="0"/>
              <w:snapToGrid w:val="0"/>
              <w:spacing w:line="360" w:lineRule="auto"/>
              <w:ind w:firstLine="420" w:firstLineChars="200"/>
              <w:rPr>
                <w:color w:val="auto"/>
                <w:kern w:val="0"/>
              </w:rPr>
            </w:pPr>
            <w:r>
              <w:rPr>
                <w:color w:val="auto"/>
                <w:kern w:val="0"/>
              </w:rPr>
              <w:t>计算过程：</w:t>
            </w:r>
          </w:p>
          <w:p w14:paraId="3A850412">
            <w:pPr>
              <w:spacing w:line="360" w:lineRule="auto"/>
              <w:ind w:firstLine="420" w:firstLineChars="200"/>
              <w:rPr>
                <w:color w:val="auto"/>
                <w:kern w:val="0"/>
              </w:rPr>
            </w:pPr>
            <w:r>
              <w:rPr>
                <w:color w:val="auto"/>
                <w:kern w:val="0"/>
              </w:rPr>
              <w:t>V</w:t>
            </w:r>
            <w:r>
              <w:rPr>
                <w:color w:val="auto"/>
                <w:kern w:val="0"/>
                <w:vertAlign w:val="subscript"/>
              </w:rPr>
              <w:t>总</w:t>
            </w:r>
            <w:r>
              <w:rPr>
                <w:color w:val="auto"/>
                <w:kern w:val="0"/>
              </w:rPr>
              <w:t>=（V</w:t>
            </w:r>
            <w:r>
              <w:rPr>
                <w:color w:val="auto"/>
                <w:kern w:val="0"/>
                <w:vertAlign w:val="subscript"/>
              </w:rPr>
              <w:t>1</w:t>
            </w:r>
            <w:r>
              <w:rPr>
                <w:color w:val="auto"/>
                <w:kern w:val="0"/>
              </w:rPr>
              <w:t>+V</w:t>
            </w:r>
            <w:r>
              <w:rPr>
                <w:color w:val="auto"/>
                <w:kern w:val="0"/>
                <w:vertAlign w:val="subscript"/>
              </w:rPr>
              <w:t>2</w:t>
            </w:r>
            <w:r>
              <w:rPr>
                <w:color w:val="auto"/>
                <w:kern w:val="0"/>
              </w:rPr>
              <w:t>-V</w:t>
            </w:r>
            <w:r>
              <w:rPr>
                <w:color w:val="auto"/>
                <w:kern w:val="0"/>
                <w:vertAlign w:val="subscript"/>
              </w:rPr>
              <w:t>3</w:t>
            </w:r>
            <w:r>
              <w:rPr>
                <w:color w:val="auto"/>
                <w:kern w:val="0"/>
              </w:rPr>
              <w:t>）</w:t>
            </w:r>
            <w:r>
              <w:rPr>
                <w:color w:val="auto"/>
                <w:kern w:val="0"/>
                <w:vertAlign w:val="subscript"/>
              </w:rPr>
              <w:t>max</w:t>
            </w:r>
            <w:r>
              <w:rPr>
                <w:color w:val="auto"/>
                <w:kern w:val="0"/>
              </w:rPr>
              <w:t>+V</w:t>
            </w:r>
            <w:r>
              <w:rPr>
                <w:color w:val="auto"/>
                <w:kern w:val="0"/>
                <w:vertAlign w:val="subscript"/>
              </w:rPr>
              <w:t>4</w:t>
            </w:r>
            <w:r>
              <w:rPr>
                <w:color w:val="auto"/>
                <w:kern w:val="0"/>
              </w:rPr>
              <w:t>+V</w:t>
            </w:r>
            <w:r>
              <w:rPr>
                <w:color w:val="auto"/>
                <w:kern w:val="0"/>
                <w:vertAlign w:val="subscript"/>
              </w:rPr>
              <w:t>5</w:t>
            </w:r>
            <w:r>
              <w:rPr>
                <w:color w:val="auto"/>
                <w:kern w:val="0"/>
              </w:rPr>
              <w:t>=（0＋</w:t>
            </w:r>
            <w:r>
              <w:rPr>
                <w:rFonts w:hint="eastAsia"/>
                <w:color w:val="auto"/>
                <w:kern w:val="0"/>
              </w:rPr>
              <w:t>3</w:t>
            </w:r>
            <w:r>
              <w:rPr>
                <w:rFonts w:hint="eastAsia"/>
                <w:color w:val="auto"/>
                <w:kern w:val="0"/>
                <w:lang w:val="en-US" w:eastAsia="zh-CN"/>
              </w:rPr>
              <w:t>144</w:t>
            </w:r>
            <w:r>
              <w:rPr>
                <w:color w:val="auto"/>
                <w:kern w:val="0"/>
              </w:rPr>
              <w:t>－</w:t>
            </w:r>
            <w:r>
              <w:rPr>
                <w:rFonts w:hint="eastAsia"/>
                <w:color w:val="auto"/>
                <w:kern w:val="0"/>
              </w:rPr>
              <w:t>0</w:t>
            </w:r>
            <w:r>
              <w:rPr>
                <w:color w:val="auto"/>
                <w:kern w:val="0"/>
              </w:rPr>
              <w:t>）＋0＋0=</w:t>
            </w:r>
            <w:r>
              <w:rPr>
                <w:rFonts w:hint="eastAsia"/>
                <w:color w:val="auto"/>
                <w:kern w:val="0"/>
                <w:lang w:val="en-US" w:eastAsia="zh-CN"/>
              </w:rPr>
              <w:t>144</w:t>
            </w:r>
            <w:r>
              <w:rPr>
                <w:color w:val="auto"/>
                <w:kern w:val="0"/>
              </w:rPr>
              <w:t>m</w:t>
            </w:r>
            <w:r>
              <w:rPr>
                <w:color w:val="auto"/>
                <w:kern w:val="0"/>
                <w:vertAlign w:val="superscript"/>
              </w:rPr>
              <w:t>3</w:t>
            </w:r>
          </w:p>
          <w:p w14:paraId="3A850413">
            <w:pPr>
              <w:pStyle w:val="702"/>
              <w:adjustRightInd/>
              <w:snapToGrid/>
              <w:spacing w:line="360" w:lineRule="auto"/>
              <w:ind w:right="31" w:rightChars="15" w:firstLine="420" w:firstLineChars="200"/>
              <w:rPr>
                <w:rFonts w:eastAsia="宋体"/>
                <w:color w:val="auto"/>
                <w:kern w:val="0"/>
                <w:sz w:val="21"/>
                <w:szCs w:val="21"/>
              </w:rPr>
            </w:pPr>
            <w:r>
              <w:rPr>
                <w:rFonts w:eastAsia="宋体"/>
                <w:b w:val="0"/>
                <w:color w:val="auto"/>
                <w:kern w:val="0"/>
                <w:sz w:val="21"/>
                <w:szCs w:val="21"/>
              </w:rPr>
              <w:t>经计算，</w:t>
            </w:r>
            <w:r>
              <w:rPr>
                <w:rFonts w:hint="eastAsia" w:eastAsia="宋体"/>
                <w:b w:val="0"/>
                <w:color w:val="auto"/>
                <w:kern w:val="0"/>
                <w:sz w:val="21"/>
                <w:szCs w:val="21"/>
              </w:rPr>
              <w:t>企业应急事故废水最大量为</w:t>
            </w:r>
            <w:r>
              <w:rPr>
                <w:rFonts w:hint="eastAsia" w:eastAsia="宋体"/>
                <w:b w:val="0"/>
                <w:color w:val="auto"/>
                <w:kern w:val="0"/>
                <w:sz w:val="21"/>
                <w:szCs w:val="21"/>
                <w:lang w:val="en-US" w:eastAsia="zh-CN"/>
              </w:rPr>
              <w:t>144</w:t>
            </w:r>
            <w:r>
              <w:rPr>
                <w:rFonts w:hint="eastAsia" w:eastAsia="宋体"/>
                <w:b w:val="0"/>
                <w:color w:val="auto"/>
                <w:kern w:val="0"/>
                <w:sz w:val="21"/>
                <w:szCs w:val="21"/>
              </w:rPr>
              <w:t>m</w:t>
            </w:r>
            <w:r>
              <w:rPr>
                <w:rFonts w:hint="eastAsia" w:eastAsia="宋体"/>
                <w:b w:val="0"/>
                <w:color w:val="auto"/>
                <w:kern w:val="0"/>
                <w:sz w:val="21"/>
                <w:szCs w:val="21"/>
                <w:vertAlign w:val="superscript"/>
              </w:rPr>
              <w:t>3</w:t>
            </w:r>
            <w:r>
              <w:rPr>
                <w:rFonts w:hint="eastAsia" w:eastAsia="宋体"/>
                <w:b w:val="0"/>
                <w:color w:val="auto"/>
                <w:kern w:val="0"/>
                <w:sz w:val="21"/>
                <w:szCs w:val="21"/>
              </w:rPr>
              <w:t>，企业需设置</w:t>
            </w:r>
            <w:r>
              <w:rPr>
                <w:rFonts w:hint="eastAsia" w:eastAsia="宋体"/>
                <w:b w:val="0"/>
                <w:color w:val="auto"/>
                <w:kern w:val="0"/>
                <w:sz w:val="21"/>
                <w:szCs w:val="21"/>
                <w:lang w:val="en-US" w:eastAsia="zh-CN"/>
              </w:rPr>
              <w:t>144</w:t>
            </w:r>
            <w:r>
              <w:rPr>
                <w:rFonts w:hint="eastAsia" w:eastAsia="宋体"/>
                <w:b w:val="0"/>
                <w:color w:val="auto"/>
                <w:kern w:val="0"/>
                <w:sz w:val="21"/>
                <w:szCs w:val="21"/>
              </w:rPr>
              <w:t>m</w:t>
            </w:r>
            <w:r>
              <w:rPr>
                <w:rFonts w:hint="eastAsia" w:eastAsia="宋体"/>
                <w:b w:val="0"/>
                <w:color w:val="auto"/>
                <w:kern w:val="0"/>
                <w:sz w:val="21"/>
                <w:szCs w:val="21"/>
                <w:vertAlign w:val="superscript"/>
              </w:rPr>
              <w:t>3</w:t>
            </w:r>
            <w:r>
              <w:rPr>
                <w:rFonts w:eastAsia="宋体"/>
                <w:b w:val="0"/>
                <w:color w:val="auto"/>
                <w:kern w:val="0"/>
                <w:sz w:val="21"/>
                <w:szCs w:val="21"/>
              </w:rPr>
              <w:t>事故</w:t>
            </w:r>
            <w:r>
              <w:rPr>
                <w:rFonts w:hint="eastAsia" w:eastAsia="宋体"/>
                <w:b w:val="0"/>
                <w:color w:val="auto"/>
                <w:kern w:val="0"/>
                <w:sz w:val="21"/>
                <w:szCs w:val="21"/>
              </w:rPr>
              <w:t>应急池，</w:t>
            </w:r>
            <w:r>
              <w:rPr>
                <w:rFonts w:hint="eastAsia" w:eastAsia="宋体"/>
                <w:b w:val="0"/>
                <w:color w:val="auto"/>
                <w:kern w:val="0"/>
                <w:sz w:val="21"/>
                <w:szCs w:val="21"/>
                <w:lang w:val="en-US" w:eastAsia="zh-CN"/>
              </w:rPr>
              <w:t>企业已设置两座事故应急池，一座容积为800m</w:t>
            </w:r>
            <w:r>
              <w:rPr>
                <w:rFonts w:hint="eastAsia" w:eastAsia="宋体"/>
                <w:b w:val="0"/>
                <w:color w:val="auto"/>
                <w:kern w:val="0"/>
                <w:sz w:val="21"/>
                <w:szCs w:val="21"/>
                <w:vertAlign w:val="superscript"/>
                <w:lang w:val="en-US" w:eastAsia="zh-CN"/>
              </w:rPr>
              <w:t>3</w:t>
            </w:r>
            <w:r>
              <w:rPr>
                <w:rFonts w:hint="eastAsia" w:eastAsia="宋体"/>
                <w:b w:val="0"/>
                <w:color w:val="auto"/>
                <w:kern w:val="0"/>
                <w:sz w:val="21"/>
                <w:szCs w:val="21"/>
                <w:lang w:val="en-US" w:eastAsia="zh-CN"/>
              </w:rPr>
              <w:t>，一座容积为400m</w:t>
            </w:r>
            <w:r>
              <w:rPr>
                <w:rFonts w:hint="eastAsia" w:eastAsia="宋体"/>
                <w:b w:val="0"/>
                <w:color w:val="auto"/>
                <w:kern w:val="0"/>
                <w:sz w:val="21"/>
                <w:szCs w:val="21"/>
                <w:vertAlign w:val="superscript"/>
                <w:lang w:val="en-US" w:eastAsia="zh-CN"/>
              </w:rPr>
              <w:t>3</w:t>
            </w:r>
            <w:r>
              <w:rPr>
                <w:rFonts w:hint="eastAsia" w:eastAsia="宋体"/>
                <w:b w:val="0"/>
                <w:color w:val="auto"/>
                <w:sz w:val="21"/>
                <w:szCs w:val="21"/>
              </w:rPr>
              <w:t>，</w:t>
            </w:r>
            <w:r>
              <w:rPr>
                <w:rFonts w:hint="eastAsia" w:eastAsia="宋体"/>
                <w:b w:val="0"/>
                <w:color w:val="auto"/>
                <w:sz w:val="21"/>
                <w:szCs w:val="21"/>
                <w:lang w:val="en-US" w:eastAsia="zh-CN"/>
              </w:rPr>
              <w:t>可</w:t>
            </w:r>
            <w:r>
              <w:rPr>
                <w:rFonts w:hint="eastAsia" w:eastAsia="宋体"/>
                <w:b w:val="0"/>
                <w:color w:val="auto"/>
                <w:sz w:val="21"/>
                <w:szCs w:val="21"/>
              </w:rPr>
              <w:t>将事故废水收集于事故池暂存</w:t>
            </w:r>
            <w:r>
              <w:rPr>
                <w:rFonts w:eastAsia="宋体"/>
                <w:b w:val="0"/>
                <w:color w:val="auto"/>
                <w:sz w:val="21"/>
                <w:szCs w:val="21"/>
              </w:rPr>
              <w:t>。</w:t>
            </w:r>
            <w:r>
              <w:rPr>
                <w:rFonts w:eastAsia="宋体"/>
                <w:b w:val="0"/>
                <w:color w:val="auto"/>
                <w:kern w:val="0"/>
                <w:sz w:val="21"/>
                <w:szCs w:val="21"/>
              </w:rPr>
              <w:t>通过完善消防废水收集、处理、排放系统，保证</w:t>
            </w:r>
            <w:r>
              <w:rPr>
                <w:rFonts w:hint="eastAsia" w:eastAsia="宋体"/>
                <w:b w:val="0"/>
                <w:color w:val="auto"/>
                <w:kern w:val="0"/>
                <w:sz w:val="21"/>
                <w:szCs w:val="21"/>
              </w:rPr>
              <w:t>生产车间、仓库以及危废仓库</w:t>
            </w:r>
            <w:r>
              <w:rPr>
                <w:rFonts w:eastAsia="宋体"/>
                <w:b w:val="0"/>
                <w:color w:val="auto"/>
                <w:kern w:val="0"/>
                <w:sz w:val="21"/>
                <w:szCs w:val="21"/>
              </w:rPr>
              <w:t>发生火灾事故时，消防废水等能迅速、安全地集中到事故应急池，然后针对水质实际情况进行必要的处理，避免对评价范围内的周围农田和河流造成影响。</w:t>
            </w:r>
          </w:p>
          <w:p w14:paraId="3A850416">
            <w:pPr>
              <w:pStyle w:val="23"/>
              <w:ind w:firstLine="422" w:firstLineChars="200"/>
              <w:rPr>
                <w:b/>
                <w:bCs/>
                <w:color w:val="auto"/>
                <w:sz w:val="21"/>
                <w:szCs w:val="21"/>
              </w:rPr>
            </w:pPr>
            <w:r>
              <w:rPr>
                <w:rFonts w:hint="eastAsia"/>
                <w:b/>
                <w:bCs/>
                <w:color w:val="auto"/>
                <w:sz w:val="21"/>
                <w:szCs w:val="21"/>
                <w:lang w:val="en-US" w:eastAsia="zh-CN"/>
              </w:rPr>
              <w:t>2</w:t>
            </w:r>
            <w:r>
              <w:rPr>
                <w:rFonts w:hint="eastAsia"/>
                <w:b/>
                <w:bCs/>
                <w:color w:val="auto"/>
                <w:sz w:val="21"/>
                <w:szCs w:val="21"/>
              </w:rPr>
              <w:t>）废气处理装置事故应急措施</w:t>
            </w:r>
          </w:p>
          <w:p w14:paraId="3A850417">
            <w:pPr>
              <w:pStyle w:val="23"/>
              <w:ind w:firstLine="420" w:firstLineChars="200"/>
              <w:rPr>
                <w:b/>
                <w:bCs/>
                <w:color w:val="auto"/>
                <w:sz w:val="21"/>
                <w:szCs w:val="21"/>
              </w:rPr>
            </w:pPr>
            <w:r>
              <w:rPr>
                <w:rFonts w:hint="eastAsia"/>
                <w:color w:val="auto"/>
                <w:sz w:val="21"/>
                <w:szCs w:val="21"/>
              </w:rPr>
              <w:t>现场操作人员发现废气处理装置发生故障后，应立即停止生产，相关人员对废气处理装置进行故障排除，待故障解决、装置运行正常后再进行生产。</w:t>
            </w:r>
          </w:p>
          <w:p w14:paraId="3A850418">
            <w:pPr>
              <w:pStyle w:val="23"/>
              <w:ind w:firstLine="422" w:firstLineChars="200"/>
              <w:rPr>
                <w:b/>
                <w:bCs/>
                <w:color w:val="auto"/>
                <w:sz w:val="21"/>
                <w:szCs w:val="21"/>
              </w:rPr>
            </w:pPr>
            <w:r>
              <w:rPr>
                <w:rFonts w:hint="eastAsia" w:ascii="宋体" w:hAnsi="宋体" w:cs="宋体"/>
                <w:b/>
                <w:bCs/>
                <w:color w:val="auto"/>
                <w:sz w:val="21"/>
                <w:szCs w:val="21"/>
              </w:rPr>
              <w:t>③</w:t>
            </w:r>
            <w:r>
              <w:rPr>
                <w:b/>
                <w:bCs/>
                <w:color w:val="auto"/>
                <w:sz w:val="21"/>
                <w:szCs w:val="21"/>
              </w:rPr>
              <w:t>突发事故对策和应急预案</w:t>
            </w:r>
          </w:p>
          <w:p w14:paraId="3A850419">
            <w:pPr>
              <w:pStyle w:val="106"/>
              <w:snapToGrid w:val="0"/>
              <w:spacing w:line="360" w:lineRule="auto"/>
              <w:ind w:firstLine="420" w:firstLineChars="200"/>
              <w:jc w:val="both"/>
              <w:outlineLvl w:val="9"/>
              <w:rPr>
                <w:rFonts w:ascii="Times New Roman" w:eastAsia="宋体"/>
                <w:color w:val="auto"/>
                <w:kern w:val="0"/>
                <w:sz w:val="21"/>
                <w:szCs w:val="21"/>
              </w:rPr>
            </w:pPr>
            <w:r>
              <w:rPr>
                <w:rFonts w:ascii="Times New Roman" w:eastAsia="宋体" w:cs="Times New Roman"/>
                <w:b w:val="0"/>
                <w:bCs/>
                <w:color w:val="auto"/>
                <w:kern w:val="0"/>
                <w:sz w:val="21"/>
                <w:szCs w:val="21"/>
              </w:rPr>
              <w:t>参照《国家突发环境事件应急预案》《突发环境事件信息报告办法》《江苏省突发环境事件应急预案》，根据</w:t>
            </w:r>
            <w:r>
              <w:rPr>
                <w:rFonts w:hint="eastAsia" w:ascii="Times New Roman" w:eastAsia="宋体" w:cs="Times New Roman"/>
                <w:b w:val="0"/>
                <w:bCs/>
                <w:color w:val="auto"/>
                <w:kern w:val="0"/>
                <w:sz w:val="21"/>
                <w:szCs w:val="21"/>
              </w:rPr>
              <w:t>企业</w:t>
            </w:r>
            <w:r>
              <w:rPr>
                <w:rFonts w:ascii="Times New Roman" w:eastAsia="宋体" w:cs="Times New Roman"/>
                <w:b w:val="0"/>
                <w:bCs/>
                <w:color w:val="auto"/>
                <w:kern w:val="0"/>
                <w:sz w:val="21"/>
                <w:szCs w:val="21"/>
              </w:rPr>
              <w:t>可能发生的突发环境事件的性质、严重程度、可控性、影响范围等因素，</w:t>
            </w:r>
            <w:r>
              <w:rPr>
                <w:rFonts w:ascii="Times New Roman" w:eastAsia="宋体"/>
                <w:b w:val="0"/>
                <w:bCs/>
                <w:color w:val="auto"/>
                <w:kern w:val="0"/>
                <w:sz w:val="21"/>
                <w:szCs w:val="21"/>
              </w:rPr>
              <w:t>公司应根据下表的详细要求制定突发事故对策和应急预案，一旦出现突发事故，必须按事先拟定的方案进行紧急处理。应急对策和预案的内容及要求如下表：</w:t>
            </w:r>
          </w:p>
          <w:p w14:paraId="3A85041A">
            <w:pPr>
              <w:jc w:val="center"/>
              <w:rPr>
                <w:b/>
                <w:color w:val="auto"/>
                <w:kern w:val="0"/>
              </w:rPr>
            </w:pPr>
            <w:r>
              <w:rPr>
                <w:b/>
                <w:color w:val="auto"/>
                <w:kern w:val="0"/>
              </w:rPr>
              <w:t>表4-</w:t>
            </w:r>
            <w:r>
              <w:rPr>
                <w:rFonts w:hint="eastAsia"/>
                <w:b/>
                <w:color w:val="auto"/>
                <w:kern w:val="0"/>
                <w:lang w:val="en-US" w:eastAsia="zh-CN"/>
              </w:rPr>
              <w:t>26</w:t>
            </w:r>
            <w:r>
              <w:rPr>
                <w:b/>
                <w:color w:val="auto"/>
                <w:kern w:val="0"/>
              </w:rPr>
              <w:t xml:space="preserve"> </w:t>
            </w:r>
            <w:r>
              <w:rPr>
                <w:rFonts w:hint="eastAsia"/>
                <w:b/>
                <w:color w:val="auto"/>
                <w:kern w:val="0"/>
              </w:rPr>
              <w:t xml:space="preserve">  </w:t>
            </w:r>
            <w:r>
              <w:rPr>
                <w:b/>
                <w:color w:val="auto"/>
                <w:kern w:val="0"/>
              </w:rPr>
              <w:t>应急预案内容</w:t>
            </w:r>
          </w:p>
          <w:tbl>
            <w:tblPr>
              <w:tblStyle w:val="59"/>
              <w:tblW w:w="4999"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3721"/>
              <w:gridCol w:w="5872"/>
            </w:tblGrid>
            <w:tr w14:paraId="3A85041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1939" w:type="pct"/>
                  <w:tcBorders>
                    <w:tl2br w:val="nil"/>
                    <w:tr2bl w:val="nil"/>
                  </w:tcBorders>
                  <w:vAlign w:val="center"/>
                </w:tcPr>
                <w:p w14:paraId="3A85041C">
                  <w:pPr>
                    <w:adjustRightInd w:val="0"/>
                    <w:snapToGrid w:val="0"/>
                    <w:ind w:left="63" w:leftChars="30" w:right="63" w:rightChars="30"/>
                    <w:jc w:val="center"/>
                    <w:rPr>
                      <w:b/>
                      <w:bCs/>
                      <w:color w:val="auto"/>
                      <w:kern w:val="0"/>
                    </w:rPr>
                  </w:pPr>
                  <w:r>
                    <w:rPr>
                      <w:b/>
                      <w:bCs/>
                      <w:color w:val="auto"/>
                      <w:kern w:val="0"/>
                    </w:rPr>
                    <w:t>项目</w:t>
                  </w:r>
                </w:p>
              </w:tc>
              <w:tc>
                <w:tcPr>
                  <w:tcW w:w="3060" w:type="pct"/>
                  <w:tcBorders>
                    <w:tl2br w:val="nil"/>
                    <w:tr2bl w:val="nil"/>
                  </w:tcBorders>
                  <w:vAlign w:val="center"/>
                </w:tcPr>
                <w:p w14:paraId="3A85041D">
                  <w:pPr>
                    <w:adjustRightInd w:val="0"/>
                    <w:snapToGrid w:val="0"/>
                    <w:ind w:left="63" w:leftChars="30" w:right="63" w:rightChars="30"/>
                    <w:jc w:val="center"/>
                    <w:rPr>
                      <w:b/>
                      <w:bCs/>
                      <w:color w:val="auto"/>
                      <w:kern w:val="0"/>
                    </w:rPr>
                  </w:pPr>
                  <w:r>
                    <w:rPr>
                      <w:b/>
                      <w:bCs/>
                      <w:color w:val="auto"/>
                      <w:kern w:val="0"/>
                    </w:rPr>
                    <w:t>内容及要求</w:t>
                  </w:r>
                </w:p>
              </w:tc>
            </w:tr>
            <w:tr w14:paraId="3A85042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1939" w:type="pct"/>
                  <w:tcBorders>
                    <w:tl2br w:val="nil"/>
                    <w:tr2bl w:val="nil"/>
                  </w:tcBorders>
                  <w:vAlign w:val="center"/>
                </w:tcPr>
                <w:p w14:paraId="3A850420">
                  <w:pPr>
                    <w:adjustRightInd w:val="0"/>
                    <w:snapToGrid w:val="0"/>
                    <w:ind w:left="63" w:leftChars="30" w:right="63" w:rightChars="30"/>
                    <w:jc w:val="center"/>
                    <w:rPr>
                      <w:color w:val="auto"/>
                      <w:kern w:val="0"/>
                    </w:rPr>
                  </w:pPr>
                  <w:r>
                    <w:rPr>
                      <w:color w:val="auto"/>
                      <w:kern w:val="0"/>
                    </w:rPr>
                    <w:t>应急计划区</w:t>
                  </w:r>
                </w:p>
              </w:tc>
              <w:tc>
                <w:tcPr>
                  <w:tcW w:w="3060" w:type="pct"/>
                  <w:tcBorders>
                    <w:tl2br w:val="nil"/>
                    <w:tr2bl w:val="nil"/>
                  </w:tcBorders>
                  <w:vAlign w:val="center"/>
                </w:tcPr>
                <w:p w14:paraId="3A850421">
                  <w:pPr>
                    <w:adjustRightInd w:val="0"/>
                    <w:snapToGrid w:val="0"/>
                    <w:ind w:left="63" w:leftChars="30" w:right="63" w:rightChars="30"/>
                    <w:jc w:val="center"/>
                    <w:rPr>
                      <w:color w:val="auto"/>
                      <w:kern w:val="0"/>
                    </w:rPr>
                  </w:pPr>
                  <w:r>
                    <w:rPr>
                      <w:color w:val="auto"/>
                      <w:kern w:val="0"/>
                    </w:rPr>
                    <w:t>危险目标：</w:t>
                  </w:r>
                  <w:r>
                    <w:rPr>
                      <w:rFonts w:hint="eastAsia"/>
                      <w:color w:val="auto"/>
                      <w:kern w:val="0"/>
                    </w:rPr>
                    <w:t>危废仓库</w:t>
                  </w:r>
                  <w:r>
                    <w:rPr>
                      <w:color w:val="auto"/>
                      <w:kern w:val="0"/>
                    </w:rPr>
                    <w:t>、环境保护目标等</w:t>
                  </w:r>
                </w:p>
              </w:tc>
            </w:tr>
            <w:tr w14:paraId="3A85042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1939" w:type="pct"/>
                  <w:tcBorders>
                    <w:tl2br w:val="nil"/>
                    <w:tr2bl w:val="nil"/>
                  </w:tcBorders>
                  <w:vAlign w:val="center"/>
                </w:tcPr>
                <w:p w14:paraId="3A850424">
                  <w:pPr>
                    <w:adjustRightInd w:val="0"/>
                    <w:snapToGrid w:val="0"/>
                    <w:ind w:left="63" w:leftChars="30" w:right="63" w:rightChars="30"/>
                    <w:jc w:val="center"/>
                    <w:rPr>
                      <w:color w:val="auto"/>
                      <w:kern w:val="0"/>
                    </w:rPr>
                  </w:pPr>
                  <w:r>
                    <w:rPr>
                      <w:color w:val="auto"/>
                      <w:kern w:val="0"/>
                    </w:rPr>
                    <w:t>应急组织机构、人员</w:t>
                  </w:r>
                </w:p>
              </w:tc>
              <w:tc>
                <w:tcPr>
                  <w:tcW w:w="3060" w:type="pct"/>
                  <w:tcBorders>
                    <w:tl2br w:val="nil"/>
                    <w:tr2bl w:val="nil"/>
                  </w:tcBorders>
                  <w:vAlign w:val="center"/>
                </w:tcPr>
                <w:p w14:paraId="3A850425">
                  <w:pPr>
                    <w:adjustRightInd w:val="0"/>
                    <w:snapToGrid w:val="0"/>
                    <w:ind w:left="63" w:leftChars="30" w:right="63" w:rightChars="30"/>
                    <w:jc w:val="center"/>
                    <w:rPr>
                      <w:color w:val="auto"/>
                      <w:kern w:val="0"/>
                    </w:rPr>
                  </w:pPr>
                  <w:r>
                    <w:rPr>
                      <w:color w:val="auto"/>
                      <w:kern w:val="0"/>
                    </w:rPr>
                    <w:t>工厂、地区应急组织机构、人员</w:t>
                  </w:r>
                </w:p>
              </w:tc>
            </w:tr>
            <w:tr w14:paraId="3A85042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1939" w:type="pct"/>
                  <w:tcBorders>
                    <w:tl2br w:val="nil"/>
                    <w:tr2bl w:val="nil"/>
                  </w:tcBorders>
                  <w:vAlign w:val="center"/>
                </w:tcPr>
                <w:p w14:paraId="3A850428">
                  <w:pPr>
                    <w:adjustRightInd w:val="0"/>
                    <w:snapToGrid w:val="0"/>
                    <w:ind w:left="63" w:leftChars="30" w:right="63" w:rightChars="30"/>
                    <w:jc w:val="center"/>
                    <w:rPr>
                      <w:color w:val="auto"/>
                      <w:kern w:val="0"/>
                    </w:rPr>
                  </w:pPr>
                  <w:r>
                    <w:rPr>
                      <w:color w:val="auto"/>
                      <w:kern w:val="0"/>
                    </w:rPr>
                    <w:t>预案分级响应条件</w:t>
                  </w:r>
                </w:p>
              </w:tc>
              <w:tc>
                <w:tcPr>
                  <w:tcW w:w="3060" w:type="pct"/>
                  <w:tcBorders>
                    <w:tl2br w:val="nil"/>
                    <w:tr2bl w:val="nil"/>
                  </w:tcBorders>
                  <w:vAlign w:val="center"/>
                </w:tcPr>
                <w:p w14:paraId="3A850429">
                  <w:pPr>
                    <w:adjustRightInd w:val="0"/>
                    <w:snapToGrid w:val="0"/>
                    <w:ind w:left="63" w:leftChars="30" w:right="63" w:rightChars="30"/>
                    <w:jc w:val="center"/>
                    <w:rPr>
                      <w:color w:val="auto"/>
                      <w:kern w:val="0"/>
                    </w:rPr>
                  </w:pPr>
                  <w:r>
                    <w:rPr>
                      <w:color w:val="auto"/>
                      <w:kern w:val="0"/>
                    </w:rPr>
                    <w:t>规定预案的级别及分级响应程序</w:t>
                  </w:r>
                </w:p>
              </w:tc>
            </w:tr>
            <w:tr w14:paraId="3A85042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1939" w:type="pct"/>
                  <w:tcBorders>
                    <w:tl2br w:val="nil"/>
                    <w:tr2bl w:val="nil"/>
                  </w:tcBorders>
                  <w:vAlign w:val="center"/>
                </w:tcPr>
                <w:p w14:paraId="3A85042C">
                  <w:pPr>
                    <w:adjustRightInd w:val="0"/>
                    <w:snapToGrid w:val="0"/>
                    <w:ind w:left="63" w:leftChars="30" w:right="63" w:rightChars="30"/>
                    <w:jc w:val="center"/>
                    <w:rPr>
                      <w:color w:val="auto"/>
                      <w:kern w:val="0"/>
                    </w:rPr>
                  </w:pPr>
                  <w:r>
                    <w:rPr>
                      <w:color w:val="auto"/>
                      <w:kern w:val="0"/>
                    </w:rPr>
                    <w:t>应急救援保障</w:t>
                  </w:r>
                </w:p>
              </w:tc>
              <w:tc>
                <w:tcPr>
                  <w:tcW w:w="3060" w:type="pct"/>
                  <w:tcBorders>
                    <w:tl2br w:val="nil"/>
                    <w:tr2bl w:val="nil"/>
                  </w:tcBorders>
                  <w:vAlign w:val="center"/>
                </w:tcPr>
                <w:p w14:paraId="3A85042D">
                  <w:pPr>
                    <w:adjustRightInd w:val="0"/>
                    <w:snapToGrid w:val="0"/>
                    <w:ind w:left="63" w:leftChars="30" w:right="63" w:rightChars="30"/>
                    <w:jc w:val="center"/>
                    <w:rPr>
                      <w:color w:val="auto"/>
                      <w:kern w:val="0"/>
                    </w:rPr>
                  </w:pPr>
                  <w:r>
                    <w:rPr>
                      <w:color w:val="auto"/>
                      <w:kern w:val="0"/>
                    </w:rPr>
                    <w:t>应急设施，设备与器材等</w:t>
                  </w:r>
                </w:p>
              </w:tc>
            </w:tr>
            <w:tr w14:paraId="3A85043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1939" w:type="pct"/>
                  <w:tcBorders>
                    <w:tl2br w:val="nil"/>
                    <w:tr2bl w:val="nil"/>
                  </w:tcBorders>
                  <w:vAlign w:val="center"/>
                </w:tcPr>
                <w:p w14:paraId="3A850430">
                  <w:pPr>
                    <w:adjustRightInd w:val="0"/>
                    <w:snapToGrid w:val="0"/>
                    <w:ind w:left="63" w:leftChars="30" w:right="63" w:rightChars="30"/>
                    <w:jc w:val="center"/>
                    <w:rPr>
                      <w:color w:val="auto"/>
                      <w:kern w:val="0"/>
                    </w:rPr>
                  </w:pPr>
                  <w:r>
                    <w:rPr>
                      <w:color w:val="auto"/>
                      <w:kern w:val="0"/>
                    </w:rPr>
                    <w:t>报警、通讯联络方式</w:t>
                  </w:r>
                </w:p>
              </w:tc>
              <w:tc>
                <w:tcPr>
                  <w:tcW w:w="3060" w:type="pct"/>
                  <w:tcBorders>
                    <w:tl2br w:val="nil"/>
                    <w:tr2bl w:val="nil"/>
                  </w:tcBorders>
                  <w:vAlign w:val="center"/>
                </w:tcPr>
                <w:p w14:paraId="3A850431">
                  <w:pPr>
                    <w:adjustRightInd w:val="0"/>
                    <w:snapToGrid w:val="0"/>
                    <w:ind w:left="63" w:leftChars="30" w:right="63" w:rightChars="30"/>
                    <w:jc w:val="center"/>
                    <w:rPr>
                      <w:color w:val="auto"/>
                      <w:kern w:val="0"/>
                    </w:rPr>
                  </w:pPr>
                  <w:r>
                    <w:rPr>
                      <w:color w:val="auto"/>
                      <w:kern w:val="0"/>
                    </w:rPr>
                    <w:t>规定应急状态下的报警通讯方式、通知方式和交通保障、管制</w:t>
                  </w:r>
                </w:p>
              </w:tc>
            </w:tr>
            <w:tr w14:paraId="3A85043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1939" w:type="pct"/>
                  <w:tcBorders>
                    <w:tl2br w:val="nil"/>
                    <w:tr2bl w:val="nil"/>
                  </w:tcBorders>
                  <w:vAlign w:val="center"/>
                </w:tcPr>
                <w:p w14:paraId="3A850434">
                  <w:pPr>
                    <w:adjustRightInd w:val="0"/>
                    <w:snapToGrid w:val="0"/>
                    <w:ind w:left="63" w:leftChars="30" w:right="63" w:rightChars="30"/>
                    <w:jc w:val="center"/>
                    <w:rPr>
                      <w:color w:val="auto"/>
                      <w:kern w:val="0"/>
                    </w:rPr>
                  </w:pPr>
                  <w:r>
                    <w:rPr>
                      <w:color w:val="auto"/>
                      <w:kern w:val="0"/>
                    </w:rPr>
                    <w:t>应急检测、防护措施、器材</w:t>
                  </w:r>
                </w:p>
              </w:tc>
              <w:tc>
                <w:tcPr>
                  <w:tcW w:w="3060" w:type="pct"/>
                  <w:tcBorders>
                    <w:tl2br w:val="nil"/>
                    <w:tr2bl w:val="nil"/>
                  </w:tcBorders>
                  <w:vAlign w:val="center"/>
                </w:tcPr>
                <w:p w14:paraId="3A850435">
                  <w:pPr>
                    <w:pStyle w:val="619"/>
                    <w:adjustRightInd w:val="0"/>
                    <w:snapToGrid w:val="0"/>
                    <w:ind w:left="63" w:leftChars="30" w:right="63" w:rightChars="30"/>
                    <w:jc w:val="center"/>
                    <w:rPr>
                      <w:color w:val="auto"/>
                      <w:kern w:val="0"/>
                    </w:rPr>
                  </w:pPr>
                  <w:r>
                    <w:rPr>
                      <w:color w:val="auto"/>
                      <w:kern w:val="0"/>
                    </w:rPr>
                    <w:t>事故现场、邻近区域、控制防火区域，控制和清除污染措施及相应设备</w:t>
                  </w:r>
                </w:p>
              </w:tc>
            </w:tr>
            <w:tr w14:paraId="3A85043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1939" w:type="pct"/>
                  <w:tcBorders>
                    <w:tl2br w:val="nil"/>
                    <w:tr2bl w:val="nil"/>
                  </w:tcBorders>
                  <w:vAlign w:val="center"/>
                </w:tcPr>
                <w:p w14:paraId="3A850438">
                  <w:pPr>
                    <w:adjustRightInd w:val="0"/>
                    <w:snapToGrid w:val="0"/>
                    <w:ind w:left="63" w:leftChars="30" w:right="63" w:rightChars="30"/>
                    <w:jc w:val="center"/>
                    <w:rPr>
                      <w:color w:val="auto"/>
                      <w:kern w:val="0"/>
                    </w:rPr>
                  </w:pPr>
                  <w:r>
                    <w:rPr>
                      <w:color w:val="auto"/>
                      <w:kern w:val="0"/>
                    </w:rPr>
                    <w:t>人员紧急撤离、疏散，应急剂量控制、撤离组织计划</w:t>
                  </w:r>
                </w:p>
              </w:tc>
              <w:tc>
                <w:tcPr>
                  <w:tcW w:w="3060" w:type="pct"/>
                  <w:tcBorders>
                    <w:tl2br w:val="nil"/>
                    <w:tr2bl w:val="nil"/>
                  </w:tcBorders>
                  <w:vAlign w:val="center"/>
                </w:tcPr>
                <w:p w14:paraId="3A850439">
                  <w:pPr>
                    <w:adjustRightInd w:val="0"/>
                    <w:snapToGrid w:val="0"/>
                    <w:ind w:left="63" w:leftChars="30" w:right="63" w:rightChars="30"/>
                    <w:jc w:val="center"/>
                    <w:rPr>
                      <w:color w:val="auto"/>
                      <w:kern w:val="0"/>
                    </w:rPr>
                  </w:pPr>
                  <w:r>
                    <w:rPr>
                      <w:color w:val="auto"/>
                      <w:kern w:val="0"/>
                    </w:rPr>
                    <w:t>事故现场、工厂邻近区、受事故影响的区域人员及公众对毒物应急剂量控制规定，撤离组织计划及救护，医疗救护与公众健康</w:t>
                  </w:r>
                </w:p>
              </w:tc>
            </w:tr>
            <w:tr w14:paraId="3A85044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1939" w:type="pct"/>
                  <w:tcBorders>
                    <w:tl2br w:val="nil"/>
                    <w:tr2bl w:val="nil"/>
                  </w:tcBorders>
                  <w:vAlign w:val="center"/>
                </w:tcPr>
                <w:p w14:paraId="3A85043C">
                  <w:pPr>
                    <w:adjustRightInd w:val="0"/>
                    <w:snapToGrid w:val="0"/>
                    <w:ind w:left="63" w:leftChars="30" w:right="63" w:rightChars="30"/>
                    <w:jc w:val="center"/>
                    <w:rPr>
                      <w:color w:val="auto"/>
                      <w:kern w:val="0"/>
                    </w:rPr>
                  </w:pPr>
                  <w:r>
                    <w:rPr>
                      <w:color w:val="auto"/>
                      <w:kern w:val="0"/>
                    </w:rPr>
                    <w:t>事故应急救援关闭程序与恢复措施</w:t>
                  </w:r>
                </w:p>
              </w:tc>
              <w:tc>
                <w:tcPr>
                  <w:tcW w:w="3060" w:type="pct"/>
                  <w:tcBorders>
                    <w:tl2br w:val="nil"/>
                    <w:tr2bl w:val="nil"/>
                  </w:tcBorders>
                  <w:vAlign w:val="center"/>
                </w:tcPr>
                <w:p w14:paraId="3A85043D">
                  <w:pPr>
                    <w:adjustRightInd w:val="0"/>
                    <w:snapToGrid w:val="0"/>
                    <w:ind w:left="63" w:leftChars="30" w:right="63" w:rightChars="30"/>
                    <w:jc w:val="center"/>
                    <w:rPr>
                      <w:color w:val="auto"/>
                      <w:kern w:val="0"/>
                    </w:rPr>
                  </w:pPr>
                  <w:r>
                    <w:rPr>
                      <w:color w:val="auto"/>
                      <w:kern w:val="0"/>
                    </w:rPr>
                    <w:t>规定应急状态终止程序</w:t>
                  </w:r>
                </w:p>
                <w:p w14:paraId="3A85043E">
                  <w:pPr>
                    <w:adjustRightInd w:val="0"/>
                    <w:snapToGrid w:val="0"/>
                    <w:ind w:left="63" w:leftChars="30" w:right="63" w:rightChars="30"/>
                    <w:jc w:val="center"/>
                    <w:rPr>
                      <w:color w:val="auto"/>
                      <w:kern w:val="0"/>
                    </w:rPr>
                  </w:pPr>
                  <w:r>
                    <w:rPr>
                      <w:color w:val="auto"/>
                      <w:kern w:val="0"/>
                    </w:rPr>
                    <w:t>事故现场善后处理，恢复措施</w:t>
                  </w:r>
                </w:p>
                <w:p w14:paraId="3A85043F">
                  <w:pPr>
                    <w:adjustRightInd w:val="0"/>
                    <w:snapToGrid w:val="0"/>
                    <w:ind w:left="63" w:leftChars="30" w:right="63" w:rightChars="30"/>
                    <w:jc w:val="center"/>
                    <w:rPr>
                      <w:color w:val="auto"/>
                      <w:kern w:val="0"/>
                    </w:rPr>
                  </w:pPr>
                  <w:r>
                    <w:rPr>
                      <w:color w:val="auto"/>
                      <w:kern w:val="0"/>
                    </w:rPr>
                    <w:t>邻近区域解除事故警戒及善后恢复措施</w:t>
                  </w:r>
                </w:p>
              </w:tc>
            </w:tr>
            <w:tr w14:paraId="3A85044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1939" w:type="pct"/>
                  <w:tcBorders>
                    <w:tl2br w:val="nil"/>
                    <w:tr2bl w:val="nil"/>
                  </w:tcBorders>
                  <w:vAlign w:val="center"/>
                </w:tcPr>
                <w:p w14:paraId="3A850442">
                  <w:pPr>
                    <w:adjustRightInd w:val="0"/>
                    <w:snapToGrid w:val="0"/>
                    <w:ind w:left="63" w:leftChars="30" w:right="63" w:rightChars="30"/>
                    <w:jc w:val="center"/>
                    <w:rPr>
                      <w:color w:val="auto"/>
                      <w:kern w:val="0"/>
                    </w:rPr>
                  </w:pPr>
                  <w:r>
                    <w:rPr>
                      <w:color w:val="auto"/>
                      <w:kern w:val="0"/>
                    </w:rPr>
                    <w:t>应急培训计划</w:t>
                  </w:r>
                </w:p>
              </w:tc>
              <w:tc>
                <w:tcPr>
                  <w:tcW w:w="3060" w:type="pct"/>
                  <w:tcBorders>
                    <w:tl2br w:val="nil"/>
                    <w:tr2bl w:val="nil"/>
                  </w:tcBorders>
                  <w:vAlign w:val="center"/>
                </w:tcPr>
                <w:p w14:paraId="3A850443">
                  <w:pPr>
                    <w:adjustRightInd w:val="0"/>
                    <w:snapToGrid w:val="0"/>
                    <w:ind w:left="63" w:leftChars="30" w:right="63" w:rightChars="30"/>
                    <w:jc w:val="center"/>
                    <w:rPr>
                      <w:color w:val="auto"/>
                      <w:kern w:val="0"/>
                    </w:rPr>
                  </w:pPr>
                  <w:r>
                    <w:rPr>
                      <w:color w:val="auto"/>
                      <w:kern w:val="0"/>
                    </w:rPr>
                    <w:t>应急计划制定后，平时安排人员培训与演练</w:t>
                  </w:r>
                </w:p>
              </w:tc>
            </w:tr>
          </w:tbl>
          <w:p w14:paraId="3A850445">
            <w:pPr>
              <w:adjustRightInd w:val="0"/>
              <w:snapToGrid w:val="0"/>
              <w:spacing w:line="360" w:lineRule="auto"/>
              <w:ind w:firstLine="420" w:firstLineChars="200"/>
              <w:rPr>
                <w:color w:val="auto"/>
                <w:kern w:val="0"/>
              </w:rPr>
            </w:pPr>
            <w:r>
              <w:rPr>
                <w:color w:val="auto"/>
                <w:kern w:val="0"/>
              </w:rPr>
              <w:t>建议建设单位应采用严格的国际通用的安全防范体系，完善现有的管理规程、作业规章和应急计划，预警和应急裝置，在出现预警情况时能及时处理，消除事故隐患，发生事故时有相应的安全应急措施，企业内部制定严格的管理条例和岗位责任制，加强职工的安全生产教育，提高风险意识。通过上述风险控制对策，本项目可最大限度地降低环境风险，一旦意外事件发生，也能最大限度地减少环境污染危害和人民生命财产的损失。</w:t>
            </w:r>
          </w:p>
          <w:p w14:paraId="3A850446">
            <w:pPr>
              <w:pStyle w:val="697"/>
              <w:adjustRightInd w:val="0"/>
              <w:snapToGrid w:val="0"/>
              <w:spacing w:line="360" w:lineRule="auto"/>
              <w:ind w:firstLine="422"/>
              <w:rPr>
                <w:rFonts w:eastAsia="宋体"/>
                <w:b/>
                <w:bCs/>
                <w:color w:val="auto"/>
                <w:kern w:val="0"/>
                <w:sz w:val="21"/>
                <w:szCs w:val="21"/>
              </w:rPr>
            </w:pPr>
            <w:r>
              <w:rPr>
                <w:rFonts w:hint="eastAsia" w:eastAsia="宋体"/>
                <w:b/>
                <w:bCs/>
                <w:color w:val="auto"/>
                <w:kern w:val="0"/>
                <w:sz w:val="21"/>
                <w:szCs w:val="21"/>
              </w:rPr>
              <w:t>（3）</w:t>
            </w:r>
            <w:r>
              <w:rPr>
                <w:rFonts w:eastAsia="宋体"/>
                <w:b/>
                <w:bCs/>
                <w:color w:val="auto"/>
                <w:kern w:val="0"/>
                <w:sz w:val="21"/>
                <w:szCs w:val="21"/>
              </w:rPr>
              <w:t>环境风险结论</w:t>
            </w:r>
          </w:p>
          <w:p w14:paraId="3A850447">
            <w:pPr>
              <w:adjustRightInd w:val="0"/>
              <w:snapToGrid w:val="0"/>
              <w:spacing w:line="360" w:lineRule="auto"/>
              <w:ind w:firstLine="420" w:firstLineChars="200"/>
              <w:rPr>
                <w:color w:val="auto"/>
                <w:kern w:val="0"/>
              </w:rPr>
            </w:pPr>
            <w:r>
              <w:rPr>
                <w:color w:val="auto"/>
                <w:kern w:val="0"/>
              </w:rPr>
              <w:t>综上所述，本厂区应设立风险防范措施，最大限度防止风险事故的发生并进行有效处置，结合企业在下一步设计、运营过程中不断制定和完善的风险防范和应急措施，将发生环境风险的可能性降至最低。在各环境风险防范措施落实到位的情况下，将可大大降低本项目的环境风险，最大程度减少对环境可能造成的危害。</w:t>
            </w:r>
          </w:p>
          <w:p w14:paraId="3A850448">
            <w:pPr>
              <w:pStyle w:val="697"/>
              <w:adjustRightInd w:val="0"/>
              <w:snapToGrid w:val="0"/>
              <w:spacing w:line="360" w:lineRule="auto"/>
              <w:ind w:firstLine="0" w:firstLineChars="0"/>
              <w:rPr>
                <w:rFonts w:eastAsia="宋体"/>
                <w:b/>
                <w:bCs/>
                <w:color w:val="auto"/>
                <w:kern w:val="0"/>
                <w:sz w:val="21"/>
                <w:szCs w:val="21"/>
              </w:rPr>
            </w:pPr>
            <w:r>
              <w:rPr>
                <w:rFonts w:eastAsia="宋体"/>
                <w:b/>
                <w:bCs/>
                <w:color w:val="auto"/>
                <w:kern w:val="0"/>
                <w:sz w:val="21"/>
                <w:szCs w:val="21"/>
              </w:rPr>
              <w:t>7、</w:t>
            </w:r>
            <w:r>
              <w:rPr>
                <w:rFonts w:hint="eastAsia" w:eastAsia="宋体"/>
                <w:b/>
                <w:bCs/>
                <w:color w:val="auto"/>
                <w:kern w:val="0"/>
                <w:sz w:val="21"/>
                <w:szCs w:val="21"/>
              </w:rPr>
              <w:t>碳</w:t>
            </w:r>
            <w:r>
              <w:rPr>
                <w:rFonts w:eastAsia="宋体"/>
                <w:b/>
                <w:bCs/>
                <w:color w:val="auto"/>
                <w:kern w:val="0"/>
                <w:sz w:val="21"/>
                <w:szCs w:val="21"/>
              </w:rPr>
              <w:t>排放评价</w:t>
            </w:r>
          </w:p>
          <w:p w14:paraId="3A850449">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t>（1）建设项目碳排放分析</w:t>
            </w:r>
          </w:p>
          <w:p w14:paraId="3A85044A">
            <w:pPr>
              <w:pStyle w:val="697"/>
              <w:adjustRightInd w:val="0"/>
              <w:snapToGrid w:val="0"/>
              <w:spacing w:line="360" w:lineRule="auto"/>
              <w:ind w:firstLine="420"/>
              <w:rPr>
                <w:rFonts w:eastAsia="宋体"/>
                <w:color w:val="auto"/>
                <w:kern w:val="0"/>
                <w:sz w:val="21"/>
                <w:szCs w:val="21"/>
              </w:rPr>
            </w:pPr>
            <w:r>
              <w:rPr>
                <w:rFonts w:eastAsia="宋体"/>
                <w:color w:val="auto"/>
                <w:kern w:val="0"/>
                <w:sz w:val="21"/>
                <w:szCs w:val="21"/>
              </w:rPr>
              <w:t>本项目碳排放源识别见下表：</w:t>
            </w:r>
          </w:p>
          <w:p w14:paraId="3A85044B">
            <w:pPr>
              <w:pStyle w:val="697"/>
              <w:adjustRightInd w:val="0"/>
              <w:snapToGrid w:val="0"/>
              <w:spacing w:line="240" w:lineRule="auto"/>
              <w:ind w:firstLine="0" w:firstLineChars="0"/>
              <w:jc w:val="center"/>
              <w:rPr>
                <w:rFonts w:eastAsia="宋体"/>
                <w:b/>
                <w:bCs/>
                <w:color w:val="auto"/>
                <w:kern w:val="0"/>
                <w:sz w:val="21"/>
                <w:szCs w:val="21"/>
              </w:rPr>
            </w:pPr>
            <w:r>
              <w:rPr>
                <w:rFonts w:eastAsia="宋体"/>
                <w:b/>
                <w:bCs/>
                <w:color w:val="auto"/>
                <w:kern w:val="0"/>
                <w:sz w:val="21"/>
                <w:szCs w:val="21"/>
              </w:rPr>
              <w:t>表4-</w:t>
            </w:r>
            <w:r>
              <w:rPr>
                <w:rFonts w:hint="eastAsia" w:eastAsia="宋体"/>
                <w:b/>
                <w:bCs/>
                <w:color w:val="auto"/>
                <w:kern w:val="0"/>
                <w:sz w:val="21"/>
                <w:szCs w:val="21"/>
                <w:lang w:val="en-US" w:eastAsia="zh-CN"/>
              </w:rPr>
              <w:t>27</w:t>
            </w:r>
            <w:r>
              <w:rPr>
                <w:rFonts w:hint="eastAsia" w:eastAsia="宋体"/>
                <w:b/>
                <w:bCs/>
                <w:color w:val="auto"/>
                <w:kern w:val="0"/>
                <w:sz w:val="21"/>
                <w:szCs w:val="21"/>
              </w:rPr>
              <w:t xml:space="preserve">   </w:t>
            </w:r>
            <w:r>
              <w:rPr>
                <w:rFonts w:eastAsia="宋体"/>
                <w:b/>
                <w:bCs/>
                <w:color w:val="auto"/>
                <w:kern w:val="0"/>
                <w:sz w:val="21"/>
                <w:szCs w:val="21"/>
              </w:rPr>
              <w:t>碳排放源识别表</w:t>
            </w:r>
          </w:p>
          <w:tbl>
            <w:tblPr>
              <w:tblStyle w:val="59"/>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072"/>
              <w:gridCol w:w="2072"/>
              <w:gridCol w:w="1587"/>
              <w:gridCol w:w="837"/>
              <w:gridCol w:w="744"/>
              <w:gridCol w:w="771"/>
              <w:gridCol w:w="988"/>
              <w:gridCol w:w="837"/>
              <w:gridCol w:w="683"/>
            </w:tblGrid>
            <w:tr w14:paraId="3A85044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1639" w:type="pct"/>
                  <w:gridSpan w:val="2"/>
                  <w:vMerge w:val="restart"/>
                  <w:tcBorders>
                    <w:tl2br w:val="nil"/>
                    <w:tr2bl w:val="nil"/>
                  </w:tcBorders>
                  <w:vAlign w:val="center"/>
                </w:tcPr>
                <w:p w14:paraId="3A85044C">
                  <w:pPr>
                    <w:pStyle w:val="27"/>
                    <w:spacing w:line="240" w:lineRule="auto"/>
                    <w:ind w:left="0" w:leftChars="0" w:right="0" w:rightChars="0" w:firstLine="0" w:firstLineChars="0"/>
                    <w:jc w:val="center"/>
                    <w:rPr>
                      <w:b/>
                      <w:bCs/>
                      <w:color w:val="auto"/>
                      <w:kern w:val="0"/>
                      <w:sz w:val="21"/>
                    </w:rPr>
                  </w:pPr>
                  <w:r>
                    <w:rPr>
                      <w:b/>
                      <w:bCs/>
                      <w:color w:val="auto"/>
                      <w:kern w:val="0"/>
                      <w:sz w:val="21"/>
                    </w:rPr>
                    <w:t>排放类型</w:t>
                  </w:r>
                </w:p>
              </w:tc>
              <w:tc>
                <w:tcPr>
                  <w:tcW w:w="827" w:type="pct"/>
                  <w:vMerge w:val="restart"/>
                  <w:tcBorders>
                    <w:tl2br w:val="nil"/>
                    <w:tr2bl w:val="nil"/>
                  </w:tcBorders>
                  <w:vAlign w:val="center"/>
                </w:tcPr>
                <w:p w14:paraId="3A85044D">
                  <w:pPr>
                    <w:pStyle w:val="27"/>
                    <w:spacing w:line="240" w:lineRule="auto"/>
                    <w:ind w:left="0" w:leftChars="0" w:right="0" w:rightChars="0" w:firstLine="0" w:firstLineChars="0"/>
                    <w:jc w:val="center"/>
                    <w:rPr>
                      <w:b/>
                      <w:bCs/>
                      <w:color w:val="auto"/>
                      <w:kern w:val="0"/>
                      <w:sz w:val="21"/>
                    </w:rPr>
                  </w:pPr>
                  <w:r>
                    <w:rPr>
                      <w:b/>
                      <w:bCs/>
                      <w:color w:val="auto"/>
                      <w:kern w:val="0"/>
                      <w:sz w:val="21"/>
                    </w:rPr>
                    <w:t>设施/材料</w:t>
                  </w:r>
                </w:p>
              </w:tc>
              <w:tc>
                <w:tcPr>
                  <w:tcW w:w="2533" w:type="pct"/>
                  <w:gridSpan w:val="6"/>
                  <w:tcBorders>
                    <w:tl2br w:val="nil"/>
                    <w:tr2bl w:val="nil"/>
                  </w:tcBorders>
                  <w:vAlign w:val="center"/>
                </w:tcPr>
                <w:p w14:paraId="3A85044E">
                  <w:pPr>
                    <w:pStyle w:val="27"/>
                    <w:spacing w:line="240" w:lineRule="auto"/>
                    <w:ind w:left="0" w:leftChars="0" w:right="0" w:rightChars="0" w:firstLine="0" w:firstLineChars="0"/>
                    <w:jc w:val="center"/>
                    <w:rPr>
                      <w:b/>
                      <w:bCs/>
                      <w:color w:val="auto"/>
                      <w:kern w:val="0"/>
                      <w:sz w:val="21"/>
                    </w:rPr>
                  </w:pPr>
                  <w:r>
                    <w:rPr>
                      <w:b/>
                      <w:bCs/>
                      <w:color w:val="auto"/>
                      <w:kern w:val="0"/>
                      <w:sz w:val="21"/>
                    </w:rPr>
                    <w:t>温室气体种类</w:t>
                  </w:r>
                </w:p>
              </w:tc>
            </w:tr>
            <w:tr w14:paraId="3A85045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1639" w:type="pct"/>
                  <w:gridSpan w:val="2"/>
                  <w:vMerge w:val="continue"/>
                  <w:tcBorders>
                    <w:tl2br w:val="nil"/>
                    <w:tr2bl w:val="nil"/>
                  </w:tcBorders>
                  <w:vAlign w:val="center"/>
                </w:tcPr>
                <w:p w14:paraId="3A850450">
                  <w:pPr>
                    <w:pStyle w:val="27"/>
                    <w:spacing w:line="240" w:lineRule="auto"/>
                    <w:ind w:left="0" w:leftChars="0" w:right="0" w:rightChars="0" w:firstLine="0" w:firstLineChars="0"/>
                    <w:jc w:val="center"/>
                    <w:rPr>
                      <w:b/>
                      <w:bCs/>
                      <w:color w:val="auto"/>
                      <w:kern w:val="0"/>
                      <w:sz w:val="21"/>
                    </w:rPr>
                  </w:pPr>
                </w:p>
              </w:tc>
              <w:tc>
                <w:tcPr>
                  <w:tcW w:w="827" w:type="pct"/>
                  <w:vMerge w:val="continue"/>
                  <w:tcBorders>
                    <w:tl2br w:val="nil"/>
                    <w:tr2bl w:val="nil"/>
                  </w:tcBorders>
                  <w:vAlign w:val="center"/>
                </w:tcPr>
                <w:p w14:paraId="3A850451">
                  <w:pPr>
                    <w:pStyle w:val="27"/>
                    <w:spacing w:line="240" w:lineRule="auto"/>
                    <w:ind w:left="0" w:leftChars="0" w:right="0" w:rightChars="0" w:firstLine="0" w:firstLineChars="0"/>
                    <w:jc w:val="center"/>
                    <w:rPr>
                      <w:b/>
                      <w:bCs/>
                      <w:color w:val="auto"/>
                      <w:kern w:val="0"/>
                      <w:sz w:val="21"/>
                    </w:rPr>
                  </w:pPr>
                </w:p>
              </w:tc>
              <w:tc>
                <w:tcPr>
                  <w:tcW w:w="436" w:type="pct"/>
                  <w:tcBorders>
                    <w:tl2br w:val="nil"/>
                    <w:tr2bl w:val="nil"/>
                  </w:tcBorders>
                  <w:vAlign w:val="center"/>
                </w:tcPr>
                <w:p w14:paraId="3A850452">
                  <w:pPr>
                    <w:pStyle w:val="27"/>
                    <w:spacing w:line="240" w:lineRule="auto"/>
                    <w:ind w:left="0" w:leftChars="0" w:right="0" w:rightChars="0" w:firstLine="0" w:firstLineChars="0"/>
                    <w:jc w:val="center"/>
                    <w:rPr>
                      <w:b/>
                      <w:bCs/>
                      <w:color w:val="auto"/>
                      <w:kern w:val="0"/>
                      <w:sz w:val="21"/>
                    </w:rPr>
                  </w:pPr>
                  <w:r>
                    <w:rPr>
                      <w:b/>
                      <w:bCs/>
                      <w:color w:val="auto"/>
                      <w:kern w:val="0"/>
                      <w:sz w:val="21"/>
                    </w:rPr>
                    <w:t>CO</w:t>
                  </w:r>
                  <w:r>
                    <w:rPr>
                      <w:b/>
                      <w:bCs/>
                      <w:color w:val="auto"/>
                      <w:kern w:val="0"/>
                      <w:sz w:val="21"/>
                      <w:vertAlign w:val="subscript"/>
                    </w:rPr>
                    <w:t>2</w:t>
                  </w:r>
                </w:p>
              </w:tc>
              <w:tc>
                <w:tcPr>
                  <w:tcW w:w="388" w:type="pct"/>
                  <w:tcBorders>
                    <w:tl2br w:val="nil"/>
                    <w:tr2bl w:val="nil"/>
                  </w:tcBorders>
                  <w:vAlign w:val="center"/>
                </w:tcPr>
                <w:p w14:paraId="3A850453">
                  <w:pPr>
                    <w:pStyle w:val="27"/>
                    <w:spacing w:line="240" w:lineRule="auto"/>
                    <w:ind w:left="0" w:leftChars="0" w:right="0" w:rightChars="0" w:firstLine="0" w:firstLineChars="0"/>
                    <w:jc w:val="center"/>
                    <w:rPr>
                      <w:b/>
                      <w:bCs/>
                      <w:color w:val="auto"/>
                      <w:kern w:val="0"/>
                      <w:sz w:val="21"/>
                    </w:rPr>
                  </w:pPr>
                  <w:r>
                    <w:rPr>
                      <w:b/>
                      <w:bCs/>
                      <w:color w:val="auto"/>
                      <w:kern w:val="0"/>
                      <w:sz w:val="21"/>
                    </w:rPr>
                    <w:t>CH</w:t>
                  </w:r>
                  <w:r>
                    <w:rPr>
                      <w:b/>
                      <w:bCs/>
                      <w:color w:val="auto"/>
                      <w:kern w:val="0"/>
                      <w:sz w:val="21"/>
                      <w:vertAlign w:val="subscript"/>
                    </w:rPr>
                    <w:t>4</w:t>
                  </w:r>
                </w:p>
              </w:tc>
              <w:tc>
                <w:tcPr>
                  <w:tcW w:w="402" w:type="pct"/>
                  <w:tcBorders>
                    <w:tl2br w:val="nil"/>
                    <w:tr2bl w:val="nil"/>
                  </w:tcBorders>
                  <w:vAlign w:val="center"/>
                </w:tcPr>
                <w:p w14:paraId="3A850454">
                  <w:pPr>
                    <w:pStyle w:val="27"/>
                    <w:spacing w:line="240" w:lineRule="auto"/>
                    <w:ind w:left="0" w:leftChars="0" w:right="0" w:rightChars="0" w:firstLine="0" w:firstLineChars="0"/>
                    <w:jc w:val="center"/>
                    <w:rPr>
                      <w:b/>
                      <w:bCs/>
                      <w:color w:val="auto"/>
                      <w:kern w:val="0"/>
                      <w:sz w:val="21"/>
                    </w:rPr>
                  </w:pPr>
                  <w:r>
                    <w:rPr>
                      <w:b/>
                      <w:bCs/>
                      <w:color w:val="auto"/>
                      <w:kern w:val="0"/>
                      <w:sz w:val="21"/>
                    </w:rPr>
                    <w:t>N</w:t>
                  </w:r>
                  <w:r>
                    <w:rPr>
                      <w:b/>
                      <w:bCs/>
                      <w:color w:val="auto"/>
                      <w:kern w:val="0"/>
                      <w:sz w:val="21"/>
                      <w:vertAlign w:val="subscript"/>
                    </w:rPr>
                    <w:t>2</w:t>
                  </w:r>
                  <w:r>
                    <w:rPr>
                      <w:b/>
                      <w:bCs/>
                      <w:color w:val="auto"/>
                      <w:kern w:val="0"/>
                      <w:sz w:val="21"/>
                    </w:rPr>
                    <w:t>O</w:t>
                  </w:r>
                </w:p>
              </w:tc>
              <w:tc>
                <w:tcPr>
                  <w:tcW w:w="515" w:type="pct"/>
                  <w:tcBorders>
                    <w:tl2br w:val="nil"/>
                    <w:tr2bl w:val="nil"/>
                  </w:tcBorders>
                  <w:vAlign w:val="center"/>
                </w:tcPr>
                <w:p w14:paraId="3A850455">
                  <w:pPr>
                    <w:pStyle w:val="27"/>
                    <w:spacing w:line="240" w:lineRule="auto"/>
                    <w:ind w:left="0" w:leftChars="0" w:right="0" w:rightChars="0" w:firstLine="0" w:firstLineChars="0"/>
                    <w:jc w:val="center"/>
                    <w:rPr>
                      <w:b/>
                      <w:bCs/>
                      <w:color w:val="auto"/>
                      <w:kern w:val="0"/>
                      <w:sz w:val="21"/>
                    </w:rPr>
                  </w:pPr>
                  <w:r>
                    <w:rPr>
                      <w:b/>
                      <w:bCs/>
                      <w:color w:val="auto"/>
                      <w:kern w:val="0"/>
                      <w:sz w:val="21"/>
                    </w:rPr>
                    <w:t>HFCs</w:t>
                  </w:r>
                </w:p>
              </w:tc>
              <w:tc>
                <w:tcPr>
                  <w:tcW w:w="436" w:type="pct"/>
                  <w:tcBorders>
                    <w:tl2br w:val="nil"/>
                    <w:tr2bl w:val="nil"/>
                  </w:tcBorders>
                  <w:vAlign w:val="center"/>
                </w:tcPr>
                <w:p w14:paraId="3A850456">
                  <w:pPr>
                    <w:pStyle w:val="27"/>
                    <w:spacing w:line="240" w:lineRule="auto"/>
                    <w:ind w:left="0" w:leftChars="0" w:right="0" w:rightChars="0" w:firstLine="0" w:firstLineChars="0"/>
                    <w:jc w:val="center"/>
                    <w:rPr>
                      <w:b/>
                      <w:bCs/>
                      <w:color w:val="auto"/>
                      <w:kern w:val="0"/>
                      <w:sz w:val="21"/>
                    </w:rPr>
                  </w:pPr>
                  <w:r>
                    <w:rPr>
                      <w:b/>
                      <w:bCs/>
                      <w:color w:val="auto"/>
                      <w:kern w:val="0"/>
                      <w:sz w:val="21"/>
                    </w:rPr>
                    <w:t>PFCs</w:t>
                  </w:r>
                </w:p>
              </w:tc>
              <w:tc>
                <w:tcPr>
                  <w:tcW w:w="353" w:type="pct"/>
                  <w:tcBorders>
                    <w:tl2br w:val="nil"/>
                    <w:tr2bl w:val="nil"/>
                  </w:tcBorders>
                  <w:vAlign w:val="center"/>
                </w:tcPr>
                <w:p w14:paraId="3A850457">
                  <w:pPr>
                    <w:pStyle w:val="27"/>
                    <w:spacing w:line="240" w:lineRule="auto"/>
                    <w:ind w:left="0" w:leftChars="0" w:right="0" w:rightChars="0" w:firstLine="0" w:firstLineChars="0"/>
                    <w:jc w:val="center"/>
                    <w:rPr>
                      <w:b/>
                      <w:bCs/>
                      <w:color w:val="auto"/>
                      <w:kern w:val="0"/>
                      <w:sz w:val="21"/>
                    </w:rPr>
                  </w:pPr>
                  <w:r>
                    <w:rPr>
                      <w:b/>
                      <w:bCs/>
                      <w:color w:val="auto"/>
                      <w:kern w:val="0"/>
                      <w:sz w:val="21"/>
                    </w:rPr>
                    <w:t>SF</w:t>
                  </w:r>
                  <w:r>
                    <w:rPr>
                      <w:b/>
                      <w:bCs/>
                      <w:color w:val="auto"/>
                      <w:kern w:val="0"/>
                      <w:sz w:val="21"/>
                      <w:vertAlign w:val="subscript"/>
                    </w:rPr>
                    <w:t>6</w:t>
                  </w:r>
                </w:p>
              </w:tc>
            </w:tr>
            <w:tr w14:paraId="3A85046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559" w:type="pct"/>
                  <w:tcBorders>
                    <w:tl2br w:val="nil"/>
                    <w:tr2bl w:val="nil"/>
                  </w:tcBorders>
                  <w:vAlign w:val="center"/>
                </w:tcPr>
                <w:p w14:paraId="3A850459">
                  <w:pPr>
                    <w:pStyle w:val="27"/>
                    <w:spacing w:line="240" w:lineRule="auto"/>
                    <w:ind w:left="0" w:leftChars="0" w:right="0" w:rightChars="0" w:firstLine="0" w:firstLineChars="0"/>
                    <w:jc w:val="center"/>
                    <w:rPr>
                      <w:color w:val="auto"/>
                      <w:kern w:val="0"/>
                      <w:sz w:val="21"/>
                    </w:rPr>
                  </w:pPr>
                  <w:r>
                    <w:rPr>
                      <w:color w:val="auto"/>
                      <w:kern w:val="0"/>
                      <w:sz w:val="21"/>
                    </w:rPr>
                    <w:t>间接排放</w:t>
                  </w:r>
                </w:p>
              </w:tc>
              <w:tc>
                <w:tcPr>
                  <w:tcW w:w="1080" w:type="pct"/>
                  <w:tcBorders>
                    <w:tl2br w:val="nil"/>
                    <w:tr2bl w:val="nil"/>
                  </w:tcBorders>
                  <w:vAlign w:val="center"/>
                </w:tcPr>
                <w:p w14:paraId="3A85045A">
                  <w:pPr>
                    <w:pStyle w:val="27"/>
                    <w:spacing w:line="240" w:lineRule="auto"/>
                    <w:ind w:left="0" w:leftChars="0" w:right="0" w:rightChars="0" w:firstLine="0" w:firstLineChars="0"/>
                    <w:jc w:val="center"/>
                    <w:rPr>
                      <w:color w:val="auto"/>
                      <w:kern w:val="0"/>
                      <w:sz w:val="21"/>
                    </w:rPr>
                  </w:pPr>
                  <w:r>
                    <w:rPr>
                      <w:color w:val="auto"/>
                      <w:kern w:val="0"/>
                      <w:sz w:val="21"/>
                    </w:rPr>
                    <w:t>净调入电生产设备</w:t>
                  </w:r>
                </w:p>
              </w:tc>
              <w:tc>
                <w:tcPr>
                  <w:tcW w:w="827" w:type="pct"/>
                  <w:tcBorders>
                    <w:tl2br w:val="nil"/>
                    <w:tr2bl w:val="nil"/>
                  </w:tcBorders>
                  <w:vAlign w:val="center"/>
                </w:tcPr>
                <w:p w14:paraId="3A85045B">
                  <w:pPr>
                    <w:pStyle w:val="27"/>
                    <w:spacing w:line="240" w:lineRule="auto"/>
                    <w:ind w:left="0" w:leftChars="0" w:right="0" w:rightChars="0" w:firstLine="0" w:firstLineChars="0"/>
                    <w:jc w:val="center"/>
                    <w:rPr>
                      <w:color w:val="auto"/>
                      <w:kern w:val="0"/>
                      <w:sz w:val="21"/>
                    </w:rPr>
                  </w:pPr>
                  <w:r>
                    <w:rPr>
                      <w:color w:val="auto"/>
                      <w:kern w:val="0"/>
                      <w:sz w:val="21"/>
                    </w:rPr>
                    <w:t>各种用电设备</w:t>
                  </w:r>
                </w:p>
              </w:tc>
              <w:tc>
                <w:tcPr>
                  <w:tcW w:w="436" w:type="pct"/>
                  <w:tcBorders>
                    <w:tl2br w:val="nil"/>
                    <w:tr2bl w:val="nil"/>
                  </w:tcBorders>
                  <w:vAlign w:val="center"/>
                </w:tcPr>
                <w:p w14:paraId="3A85045C">
                  <w:pPr>
                    <w:adjustRightInd w:val="0"/>
                    <w:snapToGrid w:val="0"/>
                    <w:jc w:val="center"/>
                    <w:rPr>
                      <w:color w:val="auto"/>
                      <w:kern w:val="0"/>
                    </w:rPr>
                  </w:pPr>
                  <w:r>
                    <w:rPr>
                      <w:color w:val="auto"/>
                      <w:kern w:val="0"/>
                    </w:rPr>
                    <w:t>√</w:t>
                  </w:r>
                </w:p>
              </w:tc>
              <w:tc>
                <w:tcPr>
                  <w:tcW w:w="388" w:type="pct"/>
                  <w:tcBorders>
                    <w:tl2br w:val="nil"/>
                    <w:tr2bl w:val="nil"/>
                  </w:tcBorders>
                  <w:vAlign w:val="center"/>
                </w:tcPr>
                <w:p w14:paraId="3A85045D">
                  <w:pPr>
                    <w:pStyle w:val="27"/>
                    <w:spacing w:line="240" w:lineRule="auto"/>
                    <w:ind w:left="0" w:leftChars="0" w:right="0" w:rightChars="0" w:firstLine="0" w:firstLineChars="0"/>
                    <w:jc w:val="center"/>
                    <w:rPr>
                      <w:color w:val="auto"/>
                      <w:kern w:val="0"/>
                      <w:sz w:val="21"/>
                    </w:rPr>
                  </w:pPr>
                </w:p>
              </w:tc>
              <w:tc>
                <w:tcPr>
                  <w:tcW w:w="402" w:type="pct"/>
                  <w:tcBorders>
                    <w:tl2br w:val="nil"/>
                    <w:tr2bl w:val="nil"/>
                  </w:tcBorders>
                  <w:vAlign w:val="center"/>
                </w:tcPr>
                <w:p w14:paraId="3A85045E">
                  <w:pPr>
                    <w:pStyle w:val="27"/>
                    <w:spacing w:line="240" w:lineRule="auto"/>
                    <w:ind w:left="0" w:leftChars="0" w:right="0" w:rightChars="0" w:firstLine="0" w:firstLineChars="0"/>
                    <w:jc w:val="center"/>
                    <w:rPr>
                      <w:color w:val="auto"/>
                      <w:kern w:val="0"/>
                      <w:sz w:val="21"/>
                    </w:rPr>
                  </w:pPr>
                </w:p>
              </w:tc>
              <w:tc>
                <w:tcPr>
                  <w:tcW w:w="515" w:type="pct"/>
                  <w:tcBorders>
                    <w:tl2br w:val="nil"/>
                    <w:tr2bl w:val="nil"/>
                  </w:tcBorders>
                  <w:vAlign w:val="center"/>
                </w:tcPr>
                <w:p w14:paraId="3A85045F">
                  <w:pPr>
                    <w:pStyle w:val="27"/>
                    <w:spacing w:line="240" w:lineRule="auto"/>
                    <w:ind w:left="0" w:leftChars="0" w:right="0" w:rightChars="0" w:firstLine="0" w:firstLineChars="0"/>
                    <w:jc w:val="center"/>
                    <w:rPr>
                      <w:color w:val="auto"/>
                      <w:kern w:val="0"/>
                      <w:sz w:val="21"/>
                    </w:rPr>
                  </w:pPr>
                </w:p>
              </w:tc>
              <w:tc>
                <w:tcPr>
                  <w:tcW w:w="436" w:type="pct"/>
                  <w:tcBorders>
                    <w:tl2br w:val="nil"/>
                    <w:tr2bl w:val="nil"/>
                  </w:tcBorders>
                  <w:vAlign w:val="center"/>
                </w:tcPr>
                <w:p w14:paraId="3A850460">
                  <w:pPr>
                    <w:pStyle w:val="27"/>
                    <w:spacing w:line="240" w:lineRule="auto"/>
                    <w:ind w:left="0" w:leftChars="0" w:right="0" w:rightChars="0" w:firstLine="0" w:firstLineChars="0"/>
                    <w:jc w:val="center"/>
                    <w:rPr>
                      <w:color w:val="auto"/>
                      <w:kern w:val="0"/>
                      <w:sz w:val="21"/>
                    </w:rPr>
                  </w:pPr>
                </w:p>
              </w:tc>
              <w:tc>
                <w:tcPr>
                  <w:tcW w:w="353" w:type="pct"/>
                  <w:tcBorders>
                    <w:tl2br w:val="nil"/>
                    <w:tr2bl w:val="nil"/>
                  </w:tcBorders>
                  <w:vAlign w:val="center"/>
                </w:tcPr>
                <w:p w14:paraId="3A850461">
                  <w:pPr>
                    <w:pStyle w:val="27"/>
                    <w:spacing w:line="240" w:lineRule="auto"/>
                    <w:ind w:left="0" w:leftChars="0" w:right="0" w:rightChars="0" w:firstLine="0" w:firstLineChars="0"/>
                    <w:jc w:val="center"/>
                    <w:rPr>
                      <w:color w:val="auto"/>
                      <w:kern w:val="0"/>
                      <w:sz w:val="21"/>
                    </w:rPr>
                  </w:pPr>
                </w:p>
              </w:tc>
            </w:tr>
          </w:tbl>
          <w:p w14:paraId="3A850463">
            <w:pPr>
              <w:pStyle w:val="27"/>
              <w:spacing w:line="360" w:lineRule="auto"/>
              <w:ind w:left="0" w:leftChars="0" w:right="0" w:rightChars="0" w:firstLine="422"/>
              <w:rPr>
                <w:b/>
                <w:bCs/>
                <w:color w:val="auto"/>
                <w:kern w:val="0"/>
                <w:sz w:val="21"/>
              </w:rPr>
            </w:pPr>
            <w:r>
              <w:rPr>
                <w:b/>
                <w:bCs/>
                <w:color w:val="auto"/>
                <w:kern w:val="0"/>
                <w:sz w:val="21"/>
              </w:rPr>
              <w:t>（2）碳排放现状调查与评价</w:t>
            </w:r>
          </w:p>
          <w:p w14:paraId="3A850464">
            <w:pPr>
              <w:pStyle w:val="27"/>
              <w:spacing w:line="360" w:lineRule="auto"/>
              <w:ind w:left="0" w:leftChars="0" w:right="0" w:rightChars="0" w:firstLine="420"/>
              <w:rPr>
                <w:color w:val="auto"/>
                <w:kern w:val="0"/>
                <w:sz w:val="21"/>
              </w:rPr>
            </w:pPr>
            <w:r>
              <w:rPr>
                <w:rFonts w:hint="eastAsia" w:ascii="宋体" w:hAnsi="宋体" w:cs="宋体"/>
                <w:color w:val="auto"/>
                <w:kern w:val="0"/>
                <w:sz w:val="21"/>
              </w:rPr>
              <w:t>①</w:t>
            </w:r>
            <w:r>
              <w:rPr>
                <w:color w:val="auto"/>
                <w:kern w:val="0"/>
                <w:sz w:val="21"/>
              </w:rPr>
              <w:t>行业碳排放情况调查</w:t>
            </w:r>
          </w:p>
          <w:p w14:paraId="3A850465">
            <w:pPr>
              <w:adjustRightInd w:val="0"/>
              <w:snapToGrid w:val="0"/>
              <w:spacing w:line="360" w:lineRule="auto"/>
              <w:ind w:firstLine="420" w:firstLineChars="200"/>
              <w:rPr>
                <w:color w:val="auto"/>
                <w:kern w:val="0"/>
              </w:rPr>
            </w:pPr>
            <w:r>
              <w:rPr>
                <w:color w:val="auto"/>
                <w:kern w:val="0"/>
              </w:rPr>
              <w:t>本项目属于</w:t>
            </w:r>
            <w:r>
              <w:rPr>
                <w:rFonts w:hint="eastAsia"/>
                <w:color w:val="auto"/>
                <w:kern w:val="0"/>
                <w:lang w:eastAsia="zh-CN"/>
              </w:rPr>
              <w:t>C3670汽车零部件及配件制造</w:t>
            </w:r>
            <w:r>
              <w:rPr>
                <w:color w:val="auto"/>
                <w:kern w:val="0"/>
              </w:rPr>
              <w:t>，目前本行业内尚未有行业碳排放数据。</w:t>
            </w:r>
          </w:p>
          <w:p w14:paraId="3A850466">
            <w:pPr>
              <w:pStyle w:val="27"/>
              <w:spacing w:line="360" w:lineRule="auto"/>
              <w:ind w:left="0" w:leftChars="0" w:right="0" w:rightChars="0" w:firstLine="420"/>
              <w:jc w:val="left"/>
              <w:rPr>
                <w:color w:val="auto"/>
                <w:kern w:val="0"/>
                <w:sz w:val="21"/>
              </w:rPr>
            </w:pPr>
            <w:r>
              <w:rPr>
                <w:rFonts w:hint="eastAsia" w:ascii="宋体" w:hAnsi="宋体" w:cs="宋体"/>
                <w:color w:val="auto"/>
                <w:kern w:val="0"/>
                <w:sz w:val="21"/>
              </w:rPr>
              <w:t>②</w:t>
            </w:r>
            <w:r>
              <w:rPr>
                <w:color w:val="auto"/>
                <w:kern w:val="0"/>
                <w:sz w:val="21"/>
              </w:rPr>
              <w:t>现有项目碳排放现状调查</w:t>
            </w:r>
          </w:p>
          <w:p w14:paraId="3A850467">
            <w:pPr>
              <w:pStyle w:val="27"/>
              <w:spacing w:line="360" w:lineRule="auto"/>
              <w:ind w:left="0" w:leftChars="0" w:right="0" w:rightChars="0" w:firstLine="420"/>
              <w:jc w:val="left"/>
              <w:rPr>
                <w:color w:val="auto"/>
                <w:kern w:val="0"/>
                <w:sz w:val="21"/>
              </w:rPr>
            </w:pPr>
            <w:r>
              <w:rPr>
                <w:color w:val="auto"/>
                <w:kern w:val="0"/>
                <w:sz w:val="21"/>
              </w:rPr>
              <w:t>本项目为</w:t>
            </w:r>
            <w:r>
              <w:rPr>
                <w:rFonts w:hint="eastAsia"/>
                <w:color w:val="auto"/>
                <w:kern w:val="0"/>
                <w:sz w:val="21"/>
              </w:rPr>
              <w:t>新</w:t>
            </w:r>
            <w:r>
              <w:rPr>
                <w:rFonts w:hint="eastAsia"/>
                <w:color w:val="auto"/>
                <w:kern w:val="0"/>
                <w:sz w:val="21"/>
                <w:lang w:val="en-US" w:eastAsia="zh-CN"/>
              </w:rPr>
              <w:t>扩建</w:t>
            </w:r>
            <w:r>
              <w:rPr>
                <w:color w:val="auto"/>
                <w:kern w:val="0"/>
                <w:sz w:val="21"/>
              </w:rPr>
              <w:t>项目，无现有项目碳排放现状。</w:t>
            </w:r>
          </w:p>
          <w:p w14:paraId="3A850468">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t>（3）碳排放预测与评价</w:t>
            </w:r>
          </w:p>
          <w:p w14:paraId="3A850469">
            <w:pPr>
              <w:pStyle w:val="697"/>
              <w:adjustRightInd w:val="0"/>
              <w:snapToGrid w:val="0"/>
              <w:spacing w:line="360" w:lineRule="auto"/>
              <w:ind w:firstLine="420"/>
              <w:rPr>
                <w:rFonts w:eastAsia="宋体"/>
                <w:color w:val="auto"/>
                <w:kern w:val="0"/>
                <w:sz w:val="21"/>
                <w:szCs w:val="21"/>
              </w:rPr>
            </w:pPr>
            <w:r>
              <w:rPr>
                <w:rFonts w:hint="eastAsia" w:ascii="宋体" w:hAnsi="宋体" w:eastAsia="宋体" w:cs="宋体"/>
                <w:color w:val="auto"/>
                <w:kern w:val="0"/>
                <w:sz w:val="21"/>
                <w:szCs w:val="21"/>
              </w:rPr>
              <w:t>①</w:t>
            </w:r>
            <w:r>
              <w:rPr>
                <w:rFonts w:eastAsia="宋体"/>
                <w:color w:val="auto"/>
                <w:kern w:val="0"/>
                <w:sz w:val="21"/>
                <w:szCs w:val="21"/>
              </w:rPr>
              <w:t>营运期碳排放预测</w:t>
            </w:r>
          </w:p>
          <w:p w14:paraId="3A85046A">
            <w:pPr>
              <w:pStyle w:val="23"/>
              <w:ind w:firstLine="420" w:firstLineChars="200"/>
              <w:rPr>
                <w:color w:val="auto"/>
                <w:sz w:val="21"/>
                <w:szCs w:val="21"/>
              </w:rPr>
            </w:pPr>
            <w:r>
              <w:rPr>
                <w:color w:val="auto"/>
                <w:sz w:val="21"/>
                <w:szCs w:val="21"/>
              </w:rPr>
              <w:t>建设项目碳排放总量计算见公式（1）；</w:t>
            </w:r>
          </w:p>
          <w:p w14:paraId="3A85046B">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总</w:t>
            </w:r>
            <w:r>
              <w:rPr>
                <w:color w:val="auto"/>
                <w:kern w:val="0"/>
              </w:rPr>
              <w:t>=AE</w:t>
            </w:r>
            <w:r>
              <w:rPr>
                <w:color w:val="auto"/>
                <w:kern w:val="0"/>
                <w:vertAlign w:val="subscript"/>
              </w:rPr>
              <w:t>燃料燃烧</w:t>
            </w:r>
            <w:r>
              <w:rPr>
                <w:color w:val="auto"/>
                <w:kern w:val="0"/>
              </w:rPr>
              <w:t>+AE</w:t>
            </w:r>
            <w:r>
              <w:rPr>
                <w:color w:val="auto"/>
                <w:kern w:val="0"/>
                <w:vertAlign w:val="subscript"/>
              </w:rPr>
              <w:t>工业生产过程</w:t>
            </w:r>
            <w:r>
              <w:rPr>
                <w:color w:val="auto"/>
                <w:kern w:val="0"/>
              </w:rPr>
              <w:t>+AE</w:t>
            </w:r>
            <w:r>
              <w:rPr>
                <w:color w:val="auto"/>
                <w:kern w:val="0"/>
                <w:vertAlign w:val="subscript"/>
              </w:rPr>
              <w:t>净调入电力和热力</w:t>
            </w:r>
            <w:r>
              <w:rPr>
                <w:color w:val="auto"/>
                <w:kern w:val="0"/>
              </w:rPr>
              <w:t>（1）</w:t>
            </w:r>
          </w:p>
          <w:p w14:paraId="3A85046C">
            <w:pPr>
              <w:pStyle w:val="23"/>
              <w:ind w:firstLine="420" w:firstLineChars="200"/>
              <w:rPr>
                <w:color w:val="auto"/>
                <w:sz w:val="21"/>
                <w:szCs w:val="21"/>
              </w:rPr>
            </w:pPr>
            <w:r>
              <w:rPr>
                <w:color w:val="auto"/>
                <w:sz w:val="21"/>
                <w:szCs w:val="21"/>
              </w:rPr>
              <w:t>式中：</w:t>
            </w:r>
          </w:p>
          <w:p w14:paraId="3A85046D">
            <w:pPr>
              <w:pStyle w:val="23"/>
              <w:ind w:firstLine="420" w:firstLineChars="200"/>
              <w:rPr>
                <w:color w:val="auto"/>
                <w:sz w:val="21"/>
                <w:szCs w:val="21"/>
              </w:rPr>
            </w:pPr>
            <w:r>
              <w:rPr>
                <w:color w:val="auto"/>
                <w:sz w:val="21"/>
                <w:szCs w:val="21"/>
              </w:rPr>
              <w:t>AE</w:t>
            </w:r>
            <w:r>
              <w:rPr>
                <w:color w:val="auto"/>
                <w:sz w:val="21"/>
                <w:szCs w:val="21"/>
                <w:vertAlign w:val="subscript"/>
              </w:rPr>
              <w:t>总</w:t>
            </w:r>
            <w:r>
              <w:rPr>
                <w:color w:val="auto"/>
                <w:sz w:val="21"/>
                <w:szCs w:val="21"/>
              </w:rPr>
              <w:t>——碳排放总量（tCO</w:t>
            </w:r>
            <w:r>
              <w:rPr>
                <w:color w:val="auto"/>
                <w:sz w:val="21"/>
                <w:szCs w:val="21"/>
                <w:vertAlign w:val="subscript"/>
              </w:rPr>
              <w:t>2e</w:t>
            </w:r>
            <w:r>
              <w:rPr>
                <w:color w:val="auto"/>
                <w:sz w:val="21"/>
                <w:szCs w:val="21"/>
              </w:rPr>
              <w:t>）</w:t>
            </w:r>
          </w:p>
          <w:p w14:paraId="3A85046E">
            <w:pPr>
              <w:adjustRightInd w:val="0"/>
              <w:snapToGrid w:val="0"/>
              <w:spacing w:line="360" w:lineRule="auto"/>
              <w:ind w:firstLine="420" w:firstLineChars="200"/>
              <w:rPr>
                <w:color w:val="auto"/>
                <w:kern w:val="0"/>
              </w:rPr>
            </w:pPr>
            <w:r>
              <w:rPr>
                <w:color w:val="auto"/>
                <w:kern w:val="0"/>
              </w:rPr>
              <w:t>AE</w:t>
            </w:r>
            <w:r>
              <w:rPr>
                <w:color w:val="auto"/>
                <w:kern w:val="0"/>
                <w:vertAlign w:val="subscript"/>
              </w:rPr>
              <w:t>燃料燃烧</w:t>
            </w:r>
            <w:r>
              <w:rPr>
                <w:color w:val="auto"/>
                <w:kern w:val="0"/>
              </w:rPr>
              <w:t>——燃料燃烧碳排放量（tCO</w:t>
            </w:r>
            <w:r>
              <w:rPr>
                <w:color w:val="auto"/>
                <w:kern w:val="0"/>
                <w:vertAlign w:val="subscript"/>
              </w:rPr>
              <w:t>2e</w:t>
            </w:r>
            <w:r>
              <w:rPr>
                <w:color w:val="auto"/>
                <w:kern w:val="0"/>
              </w:rPr>
              <w:t>）</w:t>
            </w:r>
          </w:p>
          <w:p w14:paraId="3A85046F">
            <w:pPr>
              <w:adjustRightInd w:val="0"/>
              <w:snapToGrid w:val="0"/>
              <w:spacing w:line="360" w:lineRule="auto"/>
              <w:ind w:firstLine="420" w:firstLineChars="200"/>
              <w:rPr>
                <w:color w:val="auto"/>
                <w:kern w:val="0"/>
              </w:rPr>
            </w:pPr>
            <w:r>
              <w:rPr>
                <w:color w:val="auto"/>
                <w:kern w:val="0"/>
              </w:rPr>
              <w:t>AE</w:t>
            </w:r>
            <w:r>
              <w:rPr>
                <w:color w:val="auto"/>
                <w:kern w:val="0"/>
                <w:vertAlign w:val="subscript"/>
              </w:rPr>
              <w:t>工业生产过程</w:t>
            </w:r>
            <w:r>
              <w:rPr>
                <w:color w:val="auto"/>
                <w:kern w:val="0"/>
              </w:rPr>
              <w:t>——工业生产过程碳排放量（tCO</w:t>
            </w:r>
            <w:r>
              <w:rPr>
                <w:color w:val="auto"/>
                <w:kern w:val="0"/>
                <w:vertAlign w:val="subscript"/>
              </w:rPr>
              <w:t>2e</w:t>
            </w:r>
            <w:r>
              <w:rPr>
                <w:color w:val="auto"/>
                <w:kern w:val="0"/>
              </w:rPr>
              <w:t>）</w:t>
            </w:r>
          </w:p>
          <w:p w14:paraId="3A850470">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净调入电力和热力</w:t>
            </w:r>
            <w:r>
              <w:rPr>
                <w:color w:val="auto"/>
                <w:kern w:val="0"/>
              </w:rPr>
              <w:t>——净调入电力和热力消耗碳排放总量（tCO</w:t>
            </w:r>
            <w:r>
              <w:rPr>
                <w:color w:val="auto"/>
                <w:kern w:val="0"/>
                <w:vertAlign w:val="subscript"/>
              </w:rPr>
              <w:t>2e</w:t>
            </w:r>
            <w:r>
              <w:rPr>
                <w:color w:val="auto"/>
                <w:kern w:val="0"/>
              </w:rPr>
              <w:t>）</w:t>
            </w:r>
          </w:p>
          <w:p w14:paraId="3A850471">
            <w:pPr>
              <w:pStyle w:val="23"/>
              <w:ind w:firstLine="420" w:firstLineChars="200"/>
              <w:rPr>
                <w:color w:val="auto"/>
                <w:sz w:val="21"/>
                <w:szCs w:val="21"/>
              </w:rPr>
            </w:pPr>
            <w:r>
              <w:rPr>
                <w:rFonts w:hint="eastAsia"/>
                <w:color w:val="auto"/>
                <w:sz w:val="21"/>
                <w:szCs w:val="21"/>
              </w:rPr>
              <w:t>1）</w:t>
            </w:r>
            <w:r>
              <w:rPr>
                <w:color w:val="auto"/>
                <w:sz w:val="21"/>
                <w:szCs w:val="21"/>
              </w:rPr>
              <w:t>根据燃料用于电力生产还是用于其他工业生产情况不同，燃料燃烧排放量（AE</w:t>
            </w:r>
            <w:r>
              <w:rPr>
                <w:color w:val="auto"/>
                <w:sz w:val="21"/>
                <w:szCs w:val="21"/>
                <w:vertAlign w:val="subscript"/>
              </w:rPr>
              <w:t>燃料燃烧</w:t>
            </w:r>
            <w:r>
              <w:rPr>
                <w:color w:val="auto"/>
                <w:sz w:val="21"/>
                <w:szCs w:val="21"/>
              </w:rPr>
              <w:t>）计算方法不同，具体见公式（2）</w:t>
            </w:r>
          </w:p>
          <w:p w14:paraId="3A850472">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燃料燃烧</w:t>
            </w:r>
            <w:r>
              <w:rPr>
                <w:color w:val="auto"/>
                <w:kern w:val="0"/>
              </w:rPr>
              <w:t>=AE</w:t>
            </w:r>
            <w:r>
              <w:rPr>
                <w:color w:val="auto"/>
                <w:kern w:val="0"/>
                <w:vertAlign w:val="subscript"/>
              </w:rPr>
              <w:t>电燃</w:t>
            </w:r>
            <w:r>
              <w:rPr>
                <w:color w:val="auto"/>
                <w:kern w:val="0"/>
              </w:rPr>
              <w:t>+AE</w:t>
            </w:r>
            <w:r>
              <w:rPr>
                <w:color w:val="auto"/>
                <w:kern w:val="0"/>
                <w:vertAlign w:val="subscript"/>
              </w:rPr>
              <w:t>工燃</w:t>
            </w:r>
            <w:r>
              <w:rPr>
                <w:color w:val="auto"/>
                <w:kern w:val="0"/>
              </w:rPr>
              <w:t>（2）</w:t>
            </w:r>
          </w:p>
          <w:p w14:paraId="3A850473">
            <w:pPr>
              <w:pStyle w:val="23"/>
              <w:ind w:firstLine="420" w:firstLineChars="200"/>
              <w:rPr>
                <w:color w:val="auto"/>
                <w:sz w:val="21"/>
                <w:szCs w:val="21"/>
              </w:rPr>
            </w:pPr>
            <w:r>
              <w:rPr>
                <w:color w:val="auto"/>
                <w:sz w:val="21"/>
                <w:szCs w:val="21"/>
              </w:rPr>
              <w:t>式中：</w:t>
            </w:r>
          </w:p>
          <w:p w14:paraId="3A850474">
            <w:pPr>
              <w:pStyle w:val="23"/>
              <w:ind w:firstLine="420" w:firstLineChars="200"/>
              <w:rPr>
                <w:color w:val="auto"/>
                <w:sz w:val="21"/>
                <w:szCs w:val="21"/>
              </w:rPr>
            </w:pPr>
            <w:r>
              <w:rPr>
                <w:color w:val="auto"/>
                <w:sz w:val="21"/>
                <w:szCs w:val="21"/>
              </w:rPr>
              <w:t>AE</w:t>
            </w:r>
            <w:r>
              <w:rPr>
                <w:color w:val="auto"/>
                <w:sz w:val="21"/>
                <w:szCs w:val="21"/>
                <w:vertAlign w:val="subscript"/>
              </w:rPr>
              <w:t>电燃</w:t>
            </w:r>
            <w:r>
              <w:rPr>
                <w:color w:val="auto"/>
                <w:sz w:val="21"/>
                <w:szCs w:val="21"/>
              </w:rPr>
              <w:t>——电力生产燃料燃烧排放量（tCO</w:t>
            </w:r>
            <w:r>
              <w:rPr>
                <w:color w:val="auto"/>
                <w:sz w:val="21"/>
                <w:szCs w:val="21"/>
                <w:vertAlign w:val="subscript"/>
              </w:rPr>
              <w:t>2e</w:t>
            </w:r>
            <w:r>
              <w:rPr>
                <w:color w:val="auto"/>
                <w:sz w:val="21"/>
                <w:szCs w:val="21"/>
              </w:rPr>
              <w:t>）</w:t>
            </w:r>
          </w:p>
          <w:p w14:paraId="3A850475">
            <w:pPr>
              <w:pStyle w:val="23"/>
              <w:ind w:firstLine="420" w:firstLineChars="200"/>
              <w:rPr>
                <w:color w:val="auto"/>
                <w:sz w:val="21"/>
                <w:szCs w:val="21"/>
              </w:rPr>
            </w:pPr>
            <w:r>
              <w:rPr>
                <w:color w:val="auto"/>
                <w:sz w:val="21"/>
                <w:szCs w:val="21"/>
              </w:rPr>
              <w:t>AE</w:t>
            </w:r>
            <w:r>
              <w:rPr>
                <w:color w:val="auto"/>
                <w:sz w:val="21"/>
                <w:szCs w:val="21"/>
                <w:vertAlign w:val="subscript"/>
              </w:rPr>
              <w:t>工燃</w:t>
            </w:r>
            <w:r>
              <w:rPr>
                <w:color w:val="auto"/>
                <w:sz w:val="21"/>
                <w:szCs w:val="21"/>
              </w:rPr>
              <w:t>——工业生产燃料燃烧排放量（tCO</w:t>
            </w:r>
            <w:r>
              <w:rPr>
                <w:color w:val="auto"/>
                <w:sz w:val="21"/>
                <w:szCs w:val="21"/>
                <w:vertAlign w:val="subscript"/>
              </w:rPr>
              <w:t>2e</w:t>
            </w:r>
            <w:r>
              <w:rPr>
                <w:color w:val="auto"/>
                <w:sz w:val="21"/>
                <w:szCs w:val="21"/>
              </w:rPr>
              <w:t>）</w:t>
            </w:r>
          </w:p>
          <w:p w14:paraId="3A850476">
            <w:pPr>
              <w:pStyle w:val="23"/>
              <w:ind w:firstLine="420" w:firstLineChars="200"/>
              <w:rPr>
                <w:color w:val="auto"/>
                <w:sz w:val="21"/>
                <w:szCs w:val="21"/>
              </w:rPr>
            </w:pPr>
            <w:r>
              <w:rPr>
                <w:color w:val="auto"/>
                <w:sz w:val="21"/>
                <w:szCs w:val="21"/>
              </w:rPr>
              <w:t>建设项目用于电力生产的燃料燃烧产生的排放量（AE</w:t>
            </w:r>
            <w:r>
              <w:rPr>
                <w:color w:val="auto"/>
                <w:sz w:val="21"/>
                <w:szCs w:val="21"/>
                <w:vertAlign w:val="subscript"/>
              </w:rPr>
              <w:t>电燃</w:t>
            </w:r>
            <w:r>
              <w:rPr>
                <w:color w:val="auto"/>
                <w:sz w:val="21"/>
                <w:szCs w:val="21"/>
              </w:rPr>
              <w:t>）计算方法见公式（3）</w:t>
            </w:r>
          </w:p>
          <w:p w14:paraId="3A850477">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电燃</w:t>
            </w:r>
            <w:r>
              <w:rPr>
                <w:color w:val="auto"/>
                <w:kern w:val="0"/>
              </w:rPr>
              <w:t>=∑（ADi</w:t>
            </w:r>
            <w:r>
              <w:rPr>
                <w:color w:val="auto"/>
                <w:kern w:val="0"/>
                <w:vertAlign w:val="subscript"/>
              </w:rPr>
              <w:t>燃料</w:t>
            </w:r>
            <w:r>
              <w:rPr>
                <w:color w:val="auto"/>
                <w:kern w:val="0"/>
              </w:rPr>
              <w:t>*EFi</w:t>
            </w:r>
            <w:r>
              <w:rPr>
                <w:color w:val="auto"/>
                <w:kern w:val="0"/>
                <w:vertAlign w:val="subscript"/>
              </w:rPr>
              <w:t>燃料</w:t>
            </w:r>
            <w:r>
              <w:rPr>
                <w:color w:val="auto"/>
                <w:kern w:val="0"/>
              </w:rPr>
              <w:t>+ADi</w:t>
            </w:r>
            <w:r>
              <w:rPr>
                <w:color w:val="auto"/>
                <w:kern w:val="0"/>
                <w:vertAlign w:val="subscript"/>
              </w:rPr>
              <w:t>燃料</w:t>
            </w:r>
            <w:r>
              <w:rPr>
                <w:color w:val="auto"/>
                <w:kern w:val="0"/>
              </w:rPr>
              <w:t>*EF＇</w:t>
            </w:r>
            <w:r>
              <w:rPr>
                <w:color w:val="auto"/>
                <w:kern w:val="0"/>
                <w:vertAlign w:val="subscript"/>
              </w:rPr>
              <w:t>i燃料</w:t>
            </w:r>
            <w:r>
              <w:rPr>
                <w:color w:val="auto"/>
                <w:kern w:val="0"/>
              </w:rPr>
              <w:t>*GWP</w:t>
            </w:r>
            <w:r>
              <w:rPr>
                <w:color w:val="auto"/>
                <w:kern w:val="0"/>
                <w:vertAlign w:val="subscript"/>
              </w:rPr>
              <w:t>N2O</w:t>
            </w:r>
            <w:r>
              <w:rPr>
                <w:color w:val="auto"/>
                <w:kern w:val="0"/>
              </w:rPr>
              <w:t>）</w:t>
            </w:r>
          </w:p>
          <w:p w14:paraId="3A850478">
            <w:pPr>
              <w:pStyle w:val="23"/>
              <w:ind w:firstLine="420" w:firstLineChars="200"/>
              <w:rPr>
                <w:color w:val="auto"/>
                <w:sz w:val="21"/>
                <w:szCs w:val="21"/>
              </w:rPr>
            </w:pPr>
            <w:r>
              <w:rPr>
                <w:color w:val="auto"/>
                <w:sz w:val="21"/>
                <w:szCs w:val="21"/>
              </w:rPr>
              <w:t>式中：</w:t>
            </w:r>
          </w:p>
          <w:p w14:paraId="3A850479">
            <w:pPr>
              <w:pStyle w:val="23"/>
              <w:ind w:firstLine="420" w:firstLineChars="200"/>
              <w:rPr>
                <w:color w:val="auto"/>
                <w:sz w:val="21"/>
                <w:szCs w:val="21"/>
              </w:rPr>
            </w:pPr>
            <w:r>
              <w:rPr>
                <w:color w:val="auto"/>
                <w:sz w:val="21"/>
                <w:szCs w:val="21"/>
              </w:rPr>
              <w:t>i——燃料种类；</w:t>
            </w:r>
          </w:p>
          <w:p w14:paraId="3A85047A">
            <w:pPr>
              <w:pStyle w:val="23"/>
              <w:ind w:firstLine="420" w:firstLineChars="200"/>
              <w:rPr>
                <w:color w:val="auto"/>
                <w:sz w:val="21"/>
                <w:szCs w:val="21"/>
              </w:rPr>
            </w:pPr>
            <w:r>
              <w:rPr>
                <w:color w:val="auto"/>
                <w:sz w:val="21"/>
                <w:szCs w:val="21"/>
              </w:rPr>
              <w:t>ADi</w:t>
            </w:r>
            <w:r>
              <w:rPr>
                <w:color w:val="auto"/>
                <w:sz w:val="21"/>
                <w:szCs w:val="21"/>
                <w:vertAlign w:val="subscript"/>
              </w:rPr>
              <w:t>燃料</w:t>
            </w:r>
            <w:r>
              <w:rPr>
                <w:color w:val="auto"/>
                <w:sz w:val="21"/>
                <w:szCs w:val="21"/>
              </w:rPr>
              <w:t>——i 燃料燃烧消耗量（t或kNm</w:t>
            </w:r>
            <w:r>
              <w:rPr>
                <w:color w:val="auto"/>
                <w:sz w:val="21"/>
                <w:szCs w:val="21"/>
                <w:vertAlign w:val="superscript"/>
              </w:rPr>
              <w:t>3</w:t>
            </w:r>
            <w:r>
              <w:rPr>
                <w:color w:val="auto"/>
                <w:sz w:val="21"/>
                <w:szCs w:val="21"/>
              </w:rPr>
              <w:t>）</w:t>
            </w:r>
          </w:p>
          <w:p w14:paraId="3A85047B">
            <w:pPr>
              <w:pStyle w:val="23"/>
              <w:ind w:firstLine="420" w:firstLineChars="200"/>
              <w:rPr>
                <w:color w:val="auto"/>
                <w:sz w:val="21"/>
                <w:szCs w:val="21"/>
              </w:rPr>
            </w:pPr>
            <w:r>
              <w:rPr>
                <w:color w:val="auto"/>
                <w:sz w:val="21"/>
                <w:szCs w:val="21"/>
              </w:rPr>
              <w:t>EFi</w:t>
            </w:r>
            <w:r>
              <w:rPr>
                <w:color w:val="auto"/>
                <w:sz w:val="21"/>
                <w:szCs w:val="21"/>
                <w:vertAlign w:val="subscript"/>
              </w:rPr>
              <w:t>燃料</w:t>
            </w:r>
            <w:r>
              <w:rPr>
                <w:color w:val="auto"/>
                <w:sz w:val="21"/>
                <w:szCs w:val="21"/>
              </w:rPr>
              <w:t>——i 燃料燃烧二氧化碳排放因子（tCO</w:t>
            </w:r>
            <w:r>
              <w:rPr>
                <w:color w:val="auto"/>
                <w:sz w:val="21"/>
                <w:szCs w:val="21"/>
                <w:vertAlign w:val="subscript"/>
              </w:rPr>
              <w:t>2e</w:t>
            </w:r>
            <w:r>
              <w:rPr>
                <w:color w:val="auto"/>
                <w:sz w:val="21"/>
                <w:szCs w:val="21"/>
              </w:rPr>
              <w:t>/kg或tCO</w:t>
            </w:r>
            <w:r>
              <w:rPr>
                <w:color w:val="auto"/>
                <w:sz w:val="21"/>
                <w:szCs w:val="21"/>
                <w:vertAlign w:val="subscript"/>
              </w:rPr>
              <w:t>2e</w:t>
            </w:r>
            <w:r>
              <w:rPr>
                <w:color w:val="auto"/>
                <w:sz w:val="21"/>
                <w:szCs w:val="21"/>
              </w:rPr>
              <w:t>/kNm</w:t>
            </w:r>
            <w:r>
              <w:rPr>
                <w:color w:val="auto"/>
                <w:sz w:val="21"/>
                <w:szCs w:val="21"/>
                <w:vertAlign w:val="superscript"/>
              </w:rPr>
              <w:t>3</w:t>
            </w:r>
            <w:r>
              <w:rPr>
                <w:color w:val="auto"/>
                <w:sz w:val="21"/>
                <w:szCs w:val="21"/>
              </w:rPr>
              <w:t>）</w:t>
            </w:r>
          </w:p>
          <w:p w14:paraId="3A85047C">
            <w:pPr>
              <w:pStyle w:val="23"/>
              <w:ind w:firstLine="420" w:firstLineChars="200"/>
              <w:rPr>
                <w:color w:val="auto"/>
                <w:sz w:val="21"/>
                <w:szCs w:val="21"/>
              </w:rPr>
            </w:pPr>
            <w:r>
              <w:rPr>
                <w:color w:val="auto"/>
                <w:sz w:val="21"/>
                <w:szCs w:val="21"/>
              </w:rPr>
              <w:t>EF＇</w:t>
            </w:r>
            <w:r>
              <w:rPr>
                <w:color w:val="auto"/>
                <w:sz w:val="21"/>
                <w:szCs w:val="21"/>
                <w:vertAlign w:val="subscript"/>
              </w:rPr>
              <w:t>i燃料</w:t>
            </w:r>
            <w:r>
              <w:rPr>
                <w:color w:val="auto"/>
                <w:sz w:val="21"/>
                <w:szCs w:val="21"/>
              </w:rPr>
              <w:t>——i 燃料燃烧氧化亚氮排放因子（tCO</w:t>
            </w:r>
            <w:r>
              <w:rPr>
                <w:color w:val="auto"/>
                <w:sz w:val="21"/>
                <w:szCs w:val="21"/>
                <w:vertAlign w:val="subscript"/>
              </w:rPr>
              <w:t>2e</w:t>
            </w:r>
            <w:r>
              <w:rPr>
                <w:color w:val="auto"/>
                <w:sz w:val="21"/>
                <w:szCs w:val="21"/>
              </w:rPr>
              <w:t>/kg或tCO</w:t>
            </w:r>
            <w:r>
              <w:rPr>
                <w:color w:val="auto"/>
                <w:sz w:val="21"/>
                <w:szCs w:val="21"/>
                <w:vertAlign w:val="subscript"/>
              </w:rPr>
              <w:t>2e</w:t>
            </w:r>
            <w:r>
              <w:rPr>
                <w:color w:val="auto"/>
                <w:sz w:val="21"/>
                <w:szCs w:val="21"/>
              </w:rPr>
              <w:t>/kNm</w:t>
            </w:r>
            <w:r>
              <w:rPr>
                <w:color w:val="auto"/>
                <w:sz w:val="21"/>
                <w:szCs w:val="21"/>
                <w:vertAlign w:val="superscript"/>
              </w:rPr>
              <w:t>3</w:t>
            </w:r>
            <w:r>
              <w:rPr>
                <w:color w:val="auto"/>
                <w:sz w:val="21"/>
                <w:szCs w:val="21"/>
              </w:rPr>
              <w:t>）</w:t>
            </w:r>
          </w:p>
          <w:p w14:paraId="3A85047D">
            <w:pPr>
              <w:pStyle w:val="23"/>
              <w:ind w:firstLine="420" w:firstLineChars="200"/>
              <w:rPr>
                <w:color w:val="auto"/>
                <w:sz w:val="21"/>
                <w:szCs w:val="21"/>
              </w:rPr>
            </w:pPr>
            <w:r>
              <w:rPr>
                <w:color w:val="auto"/>
                <w:sz w:val="21"/>
                <w:szCs w:val="21"/>
              </w:rPr>
              <w:t>GWP</w:t>
            </w:r>
            <w:r>
              <w:rPr>
                <w:color w:val="auto"/>
                <w:sz w:val="21"/>
                <w:szCs w:val="21"/>
                <w:vertAlign w:val="subscript"/>
              </w:rPr>
              <w:t>N2O</w:t>
            </w:r>
            <w:r>
              <w:rPr>
                <w:color w:val="auto"/>
                <w:sz w:val="21"/>
                <w:szCs w:val="21"/>
              </w:rPr>
              <w:t>——i 燃料燃烧二氧化碳排放因子（tCO</w:t>
            </w:r>
            <w:r>
              <w:rPr>
                <w:color w:val="auto"/>
                <w:sz w:val="21"/>
                <w:szCs w:val="21"/>
                <w:vertAlign w:val="subscript"/>
              </w:rPr>
              <w:t>2e</w:t>
            </w:r>
            <w:r>
              <w:rPr>
                <w:color w:val="auto"/>
                <w:sz w:val="21"/>
                <w:szCs w:val="21"/>
              </w:rPr>
              <w:t>/kg或tCO</w:t>
            </w:r>
            <w:r>
              <w:rPr>
                <w:color w:val="auto"/>
                <w:sz w:val="21"/>
                <w:szCs w:val="21"/>
                <w:vertAlign w:val="subscript"/>
              </w:rPr>
              <w:t>2e</w:t>
            </w:r>
            <w:r>
              <w:rPr>
                <w:color w:val="auto"/>
                <w:sz w:val="21"/>
                <w:szCs w:val="21"/>
              </w:rPr>
              <w:t>/kNm</w:t>
            </w:r>
            <w:r>
              <w:rPr>
                <w:color w:val="auto"/>
                <w:sz w:val="21"/>
                <w:szCs w:val="21"/>
                <w:vertAlign w:val="superscript"/>
              </w:rPr>
              <w:t>3</w:t>
            </w:r>
            <w:r>
              <w:rPr>
                <w:color w:val="auto"/>
                <w:sz w:val="21"/>
                <w:szCs w:val="21"/>
              </w:rPr>
              <w:t>）</w:t>
            </w:r>
          </w:p>
          <w:p w14:paraId="3A85047E">
            <w:pPr>
              <w:pStyle w:val="23"/>
              <w:ind w:firstLine="420" w:firstLineChars="200"/>
              <w:rPr>
                <w:color w:val="auto"/>
                <w:sz w:val="21"/>
                <w:szCs w:val="21"/>
              </w:rPr>
            </w:pPr>
            <w:r>
              <w:rPr>
                <w:color w:val="auto"/>
                <w:sz w:val="21"/>
                <w:szCs w:val="21"/>
              </w:rPr>
              <w:t>EF</w:t>
            </w:r>
            <w:r>
              <w:rPr>
                <w:color w:val="auto"/>
                <w:sz w:val="21"/>
                <w:szCs w:val="21"/>
                <w:vertAlign w:val="subscript"/>
              </w:rPr>
              <w:t>i燃料</w:t>
            </w:r>
            <w:r>
              <w:rPr>
                <w:color w:val="auto"/>
                <w:sz w:val="21"/>
                <w:szCs w:val="21"/>
              </w:rPr>
              <w:t>——氧化亚氮全球变暖潜势值。</w:t>
            </w:r>
          </w:p>
          <w:p w14:paraId="3A85047F">
            <w:pPr>
              <w:pStyle w:val="23"/>
              <w:ind w:firstLine="420" w:firstLineChars="200"/>
              <w:rPr>
                <w:color w:val="auto"/>
                <w:sz w:val="21"/>
                <w:szCs w:val="21"/>
              </w:rPr>
            </w:pPr>
            <w:r>
              <w:rPr>
                <w:color w:val="auto"/>
                <w:sz w:val="21"/>
                <w:szCs w:val="21"/>
              </w:rPr>
              <w:t>建设项目用于电力生产之外的其他工业生产的燃料燃烧产生的排放量（AE</w:t>
            </w:r>
            <w:r>
              <w:rPr>
                <w:color w:val="auto"/>
                <w:sz w:val="21"/>
                <w:szCs w:val="21"/>
                <w:vertAlign w:val="subscript"/>
              </w:rPr>
              <w:t>工燃</w:t>
            </w:r>
            <w:r>
              <w:rPr>
                <w:color w:val="auto"/>
                <w:sz w:val="21"/>
                <w:szCs w:val="21"/>
              </w:rPr>
              <w:t>）计算方法见公式（4）</w:t>
            </w:r>
          </w:p>
          <w:p w14:paraId="3A850480">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工燃</w:t>
            </w:r>
            <w:r>
              <w:rPr>
                <w:color w:val="auto"/>
                <w:kern w:val="0"/>
              </w:rPr>
              <w:t>=∑（AD</w:t>
            </w:r>
            <w:r>
              <w:rPr>
                <w:color w:val="auto"/>
                <w:kern w:val="0"/>
                <w:vertAlign w:val="subscript"/>
              </w:rPr>
              <w:t>i燃料</w:t>
            </w:r>
            <w:r>
              <w:rPr>
                <w:color w:val="auto"/>
                <w:kern w:val="0"/>
              </w:rPr>
              <w:t>*EF</w:t>
            </w:r>
            <w:r>
              <w:rPr>
                <w:color w:val="auto"/>
                <w:kern w:val="0"/>
                <w:vertAlign w:val="subscript"/>
              </w:rPr>
              <w:t>i燃料</w:t>
            </w:r>
            <w:r>
              <w:rPr>
                <w:color w:val="auto"/>
                <w:kern w:val="0"/>
              </w:rPr>
              <w:t>）（4）</w:t>
            </w:r>
          </w:p>
          <w:p w14:paraId="3A850481">
            <w:pPr>
              <w:pStyle w:val="23"/>
              <w:ind w:firstLine="420" w:firstLineChars="200"/>
              <w:rPr>
                <w:color w:val="auto"/>
                <w:sz w:val="21"/>
                <w:szCs w:val="21"/>
              </w:rPr>
            </w:pPr>
            <w:r>
              <w:rPr>
                <w:color w:val="auto"/>
                <w:sz w:val="21"/>
                <w:szCs w:val="21"/>
              </w:rPr>
              <w:t>式中：</w:t>
            </w:r>
          </w:p>
          <w:p w14:paraId="3A850482">
            <w:pPr>
              <w:pStyle w:val="23"/>
              <w:ind w:firstLine="420" w:firstLineChars="200"/>
              <w:rPr>
                <w:color w:val="auto"/>
                <w:sz w:val="21"/>
                <w:szCs w:val="21"/>
              </w:rPr>
            </w:pPr>
            <w:r>
              <w:rPr>
                <w:color w:val="auto"/>
                <w:sz w:val="21"/>
                <w:szCs w:val="21"/>
              </w:rPr>
              <w:t>i——燃料种类；</w:t>
            </w:r>
          </w:p>
          <w:p w14:paraId="3A850483">
            <w:pPr>
              <w:pStyle w:val="23"/>
              <w:ind w:firstLine="420" w:firstLineChars="200"/>
              <w:rPr>
                <w:color w:val="auto"/>
                <w:sz w:val="21"/>
                <w:szCs w:val="21"/>
              </w:rPr>
            </w:pPr>
            <w:r>
              <w:rPr>
                <w:color w:val="auto"/>
                <w:sz w:val="21"/>
                <w:szCs w:val="21"/>
              </w:rPr>
              <w:t>AD</w:t>
            </w:r>
            <w:r>
              <w:rPr>
                <w:color w:val="auto"/>
                <w:sz w:val="21"/>
                <w:szCs w:val="21"/>
                <w:vertAlign w:val="subscript"/>
              </w:rPr>
              <w:t>i燃料</w:t>
            </w:r>
            <w:r>
              <w:rPr>
                <w:color w:val="auto"/>
                <w:sz w:val="21"/>
                <w:szCs w:val="21"/>
              </w:rPr>
              <w:t>——i燃料燃烧消耗量（t或kNm</w:t>
            </w:r>
            <w:r>
              <w:rPr>
                <w:color w:val="auto"/>
                <w:sz w:val="21"/>
                <w:szCs w:val="21"/>
                <w:vertAlign w:val="superscript"/>
              </w:rPr>
              <w:t>3</w:t>
            </w:r>
            <w:r>
              <w:rPr>
                <w:color w:val="auto"/>
                <w:sz w:val="21"/>
                <w:szCs w:val="21"/>
              </w:rPr>
              <w:t>）</w:t>
            </w:r>
          </w:p>
          <w:p w14:paraId="3A850484">
            <w:pPr>
              <w:pStyle w:val="23"/>
              <w:ind w:firstLine="420" w:firstLineChars="200"/>
              <w:rPr>
                <w:color w:val="auto"/>
                <w:sz w:val="21"/>
                <w:szCs w:val="21"/>
              </w:rPr>
            </w:pPr>
            <w:r>
              <w:rPr>
                <w:color w:val="auto"/>
                <w:sz w:val="21"/>
                <w:szCs w:val="21"/>
              </w:rPr>
              <w:t>EF</w:t>
            </w:r>
            <w:r>
              <w:rPr>
                <w:color w:val="auto"/>
                <w:sz w:val="21"/>
                <w:szCs w:val="21"/>
                <w:vertAlign w:val="subscript"/>
              </w:rPr>
              <w:t>i燃料</w:t>
            </w:r>
            <w:r>
              <w:rPr>
                <w:color w:val="auto"/>
                <w:sz w:val="21"/>
                <w:szCs w:val="21"/>
              </w:rPr>
              <w:t>——i 燃料燃烧二氧化碳排放因子（tCO</w:t>
            </w:r>
            <w:r>
              <w:rPr>
                <w:color w:val="auto"/>
                <w:sz w:val="21"/>
                <w:szCs w:val="21"/>
                <w:vertAlign w:val="subscript"/>
              </w:rPr>
              <w:t>2e</w:t>
            </w:r>
            <w:r>
              <w:rPr>
                <w:color w:val="auto"/>
                <w:sz w:val="21"/>
                <w:szCs w:val="21"/>
              </w:rPr>
              <w:t>/kg或tCO</w:t>
            </w:r>
            <w:r>
              <w:rPr>
                <w:color w:val="auto"/>
                <w:sz w:val="21"/>
                <w:szCs w:val="21"/>
                <w:vertAlign w:val="subscript"/>
              </w:rPr>
              <w:t>2e</w:t>
            </w:r>
            <w:r>
              <w:rPr>
                <w:color w:val="auto"/>
                <w:sz w:val="21"/>
                <w:szCs w:val="21"/>
              </w:rPr>
              <w:t>/kNm</w:t>
            </w:r>
            <w:r>
              <w:rPr>
                <w:color w:val="auto"/>
                <w:sz w:val="21"/>
                <w:szCs w:val="21"/>
                <w:vertAlign w:val="superscript"/>
              </w:rPr>
              <w:t>3</w:t>
            </w:r>
            <w:r>
              <w:rPr>
                <w:color w:val="auto"/>
                <w:sz w:val="21"/>
                <w:szCs w:val="21"/>
              </w:rPr>
              <w:t>）</w:t>
            </w:r>
          </w:p>
          <w:p w14:paraId="3A850485">
            <w:pPr>
              <w:pStyle w:val="23"/>
              <w:ind w:firstLine="420" w:firstLineChars="200"/>
              <w:rPr>
                <w:color w:val="auto"/>
                <w:sz w:val="21"/>
                <w:szCs w:val="21"/>
              </w:rPr>
            </w:pPr>
            <w:r>
              <w:rPr>
                <w:rFonts w:hint="eastAsia"/>
                <w:color w:val="auto"/>
                <w:sz w:val="21"/>
                <w:szCs w:val="21"/>
              </w:rPr>
              <w:t>2）</w:t>
            </w:r>
            <w:r>
              <w:rPr>
                <w:color w:val="auto"/>
                <w:sz w:val="21"/>
                <w:szCs w:val="21"/>
              </w:rPr>
              <w:t>本项目不涉及工业生产过程排放量（AE</w:t>
            </w:r>
            <w:r>
              <w:rPr>
                <w:color w:val="auto"/>
                <w:sz w:val="21"/>
                <w:szCs w:val="21"/>
                <w:vertAlign w:val="subscript"/>
              </w:rPr>
              <w:t>工业生产过程</w:t>
            </w:r>
            <w:r>
              <w:rPr>
                <w:color w:val="auto"/>
                <w:sz w:val="21"/>
                <w:szCs w:val="21"/>
              </w:rPr>
              <w:t>）</w:t>
            </w:r>
          </w:p>
          <w:p w14:paraId="3A850486">
            <w:pPr>
              <w:adjustRightInd w:val="0"/>
              <w:snapToGrid w:val="0"/>
              <w:spacing w:line="360" w:lineRule="auto"/>
              <w:ind w:firstLine="420" w:firstLineChars="200"/>
              <w:rPr>
                <w:color w:val="auto"/>
                <w:kern w:val="0"/>
              </w:rPr>
            </w:pPr>
            <w:r>
              <w:rPr>
                <w:rFonts w:hint="eastAsia"/>
                <w:color w:val="auto"/>
                <w:kern w:val="0"/>
              </w:rPr>
              <w:t>3）</w:t>
            </w:r>
            <w:r>
              <w:rPr>
                <w:color w:val="auto"/>
                <w:kern w:val="0"/>
              </w:rPr>
              <w:t>净调入电力和热力消耗碳排放总量（AE净调入电力和热力）计算方法见公式（5）</w:t>
            </w:r>
          </w:p>
          <w:p w14:paraId="3A850487">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净调入电力和热力</w:t>
            </w:r>
            <w:r>
              <w:rPr>
                <w:color w:val="auto"/>
                <w:kern w:val="0"/>
              </w:rPr>
              <w:t>=AE</w:t>
            </w:r>
            <w:r>
              <w:rPr>
                <w:color w:val="auto"/>
                <w:kern w:val="0"/>
                <w:vertAlign w:val="subscript"/>
              </w:rPr>
              <w:t>净调入电力</w:t>
            </w:r>
            <w:r>
              <w:rPr>
                <w:color w:val="auto"/>
                <w:kern w:val="0"/>
              </w:rPr>
              <w:t>+AE</w:t>
            </w:r>
            <w:r>
              <w:rPr>
                <w:color w:val="auto"/>
                <w:kern w:val="0"/>
                <w:vertAlign w:val="subscript"/>
              </w:rPr>
              <w:t>净调入热力</w:t>
            </w:r>
            <w:r>
              <w:rPr>
                <w:color w:val="auto"/>
                <w:kern w:val="0"/>
              </w:rPr>
              <w:t>（5）</w:t>
            </w:r>
          </w:p>
          <w:p w14:paraId="3A850488">
            <w:pPr>
              <w:pStyle w:val="23"/>
              <w:ind w:firstLine="420" w:firstLineChars="200"/>
              <w:rPr>
                <w:color w:val="auto"/>
                <w:sz w:val="21"/>
                <w:szCs w:val="21"/>
              </w:rPr>
            </w:pPr>
            <w:r>
              <w:rPr>
                <w:color w:val="auto"/>
                <w:sz w:val="21"/>
                <w:szCs w:val="21"/>
              </w:rPr>
              <w:t>式中：</w:t>
            </w:r>
          </w:p>
          <w:p w14:paraId="3A850489">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净调入电力</w:t>
            </w:r>
            <w:r>
              <w:rPr>
                <w:color w:val="auto"/>
                <w:kern w:val="0"/>
              </w:rPr>
              <w:t>——净调入电力消耗碳排放量（tCO</w:t>
            </w:r>
            <w:r>
              <w:rPr>
                <w:color w:val="auto"/>
                <w:kern w:val="0"/>
                <w:vertAlign w:val="subscript"/>
              </w:rPr>
              <w:t>2e</w:t>
            </w:r>
            <w:r>
              <w:rPr>
                <w:color w:val="auto"/>
                <w:kern w:val="0"/>
              </w:rPr>
              <w:t>）</w:t>
            </w:r>
          </w:p>
          <w:p w14:paraId="3A85048A">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净调入热力</w:t>
            </w:r>
            <w:r>
              <w:rPr>
                <w:color w:val="auto"/>
                <w:kern w:val="0"/>
              </w:rPr>
              <w:t>——净调入热力消耗碳排放量（tCO</w:t>
            </w:r>
            <w:r>
              <w:rPr>
                <w:color w:val="auto"/>
                <w:kern w:val="0"/>
                <w:vertAlign w:val="subscript"/>
              </w:rPr>
              <w:t>2e</w:t>
            </w:r>
            <w:r>
              <w:rPr>
                <w:color w:val="auto"/>
                <w:kern w:val="0"/>
              </w:rPr>
              <w:t>）</w:t>
            </w:r>
          </w:p>
          <w:p w14:paraId="3A85048B">
            <w:pPr>
              <w:pStyle w:val="23"/>
              <w:ind w:firstLine="420" w:firstLineChars="200"/>
              <w:rPr>
                <w:color w:val="auto"/>
                <w:sz w:val="21"/>
                <w:szCs w:val="21"/>
              </w:rPr>
            </w:pPr>
            <w:r>
              <w:rPr>
                <w:color w:val="auto"/>
                <w:sz w:val="21"/>
                <w:szCs w:val="21"/>
              </w:rPr>
              <w:t>其中，净调入电力消耗碳排放量（AE净调入电力）计算方法见公式（6）</w:t>
            </w:r>
          </w:p>
          <w:p w14:paraId="3A85048C">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净调入电力</w:t>
            </w:r>
            <w:r>
              <w:rPr>
                <w:color w:val="auto"/>
                <w:kern w:val="0"/>
              </w:rPr>
              <w:t>=AD</w:t>
            </w:r>
            <w:r>
              <w:rPr>
                <w:color w:val="auto"/>
                <w:kern w:val="0"/>
                <w:vertAlign w:val="subscript"/>
              </w:rPr>
              <w:t>净调入电量</w:t>
            </w:r>
            <w:r>
              <w:rPr>
                <w:color w:val="auto"/>
                <w:kern w:val="0"/>
              </w:rPr>
              <w:t>*EF</w:t>
            </w:r>
            <w:r>
              <w:rPr>
                <w:color w:val="auto"/>
                <w:kern w:val="0"/>
                <w:vertAlign w:val="subscript"/>
              </w:rPr>
              <w:t>电力</w:t>
            </w:r>
            <w:r>
              <w:rPr>
                <w:color w:val="auto"/>
                <w:kern w:val="0"/>
              </w:rPr>
              <w:t>（6）</w:t>
            </w:r>
          </w:p>
          <w:p w14:paraId="3A85048D">
            <w:pPr>
              <w:pStyle w:val="23"/>
              <w:ind w:firstLine="420" w:firstLineChars="200"/>
              <w:rPr>
                <w:color w:val="auto"/>
                <w:sz w:val="21"/>
                <w:szCs w:val="21"/>
              </w:rPr>
            </w:pPr>
            <w:r>
              <w:rPr>
                <w:color w:val="auto"/>
                <w:sz w:val="21"/>
                <w:szCs w:val="21"/>
              </w:rPr>
              <w:t>式中：</w:t>
            </w:r>
          </w:p>
          <w:p w14:paraId="3A85048E">
            <w:pPr>
              <w:adjustRightInd w:val="0"/>
              <w:snapToGrid w:val="0"/>
              <w:spacing w:line="360" w:lineRule="auto"/>
              <w:ind w:firstLine="420" w:firstLineChars="200"/>
              <w:rPr>
                <w:color w:val="auto"/>
                <w:kern w:val="0"/>
              </w:rPr>
            </w:pPr>
            <w:r>
              <w:rPr>
                <w:color w:val="auto"/>
                <w:kern w:val="0"/>
              </w:rPr>
              <w:t>AD</w:t>
            </w:r>
            <w:r>
              <w:rPr>
                <w:color w:val="auto"/>
                <w:kern w:val="0"/>
                <w:vertAlign w:val="subscript"/>
              </w:rPr>
              <w:t>净调入电量</w:t>
            </w:r>
            <w:r>
              <w:rPr>
                <w:color w:val="auto"/>
                <w:kern w:val="0"/>
              </w:rPr>
              <w:t>——净调入电力消耗量（MWh）；</w:t>
            </w:r>
          </w:p>
          <w:p w14:paraId="3A85048F">
            <w:pPr>
              <w:pStyle w:val="23"/>
              <w:ind w:firstLine="420" w:firstLineChars="200"/>
              <w:rPr>
                <w:color w:val="auto"/>
                <w:sz w:val="21"/>
                <w:szCs w:val="21"/>
              </w:rPr>
            </w:pPr>
            <w:r>
              <w:rPr>
                <w:color w:val="auto"/>
                <w:sz w:val="21"/>
                <w:szCs w:val="21"/>
              </w:rPr>
              <w:t>EF</w:t>
            </w:r>
            <w:r>
              <w:rPr>
                <w:color w:val="auto"/>
                <w:sz w:val="21"/>
                <w:szCs w:val="21"/>
                <w:vertAlign w:val="subscript"/>
              </w:rPr>
              <w:t>电力</w:t>
            </w:r>
            <w:r>
              <w:rPr>
                <w:color w:val="auto"/>
                <w:sz w:val="21"/>
                <w:szCs w:val="21"/>
              </w:rPr>
              <w:t>——电力排放因子（tCO</w:t>
            </w:r>
            <w:r>
              <w:rPr>
                <w:color w:val="auto"/>
                <w:sz w:val="21"/>
                <w:szCs w:val="21"/>
                <w:vertAlign w:val="subscript"/>
              </w:rPr>
              <w:t>2e</w:t>
            </w:r>
            <w:r>
              <w:rPr>
                <w:color w:val="auto"/>
                <w:sz w:val="21"/>
                <w:szCs w:val="21"/>
              </w:rPr>
              <w:t>/MWh），为0.</w:t>
            </w:r>
            <w:r>
              <w:rPr>
                <w:rFonts w:hint="eastAsia"/>
                <w:color w:val="auto"/>
                <w:sz w:val="21"/>
                <w:szCs w:val="21"/>
              </w:rPr>
              <w:t>5703</w:t>
            </w:r>
            <w:r>
              <w:rPr>
                <w:color w:val="auto"/>
                <w:sz w:val="21"/>
                <w:szCs w:val="21"/>
              </w:rPr>
              <w:t>tCO</w:t>
            </w:r>
            <w:r>
              <w:rPr>
                <w:color w:val="auto"/>
                <w:sz w:val="21"/>
                <w:szCs w:val="21"/>
                <w:vertAlign w:val="subscript"/>
              </w:rPr>
              <w:t>2e</w:t>
            </w:r>
            <w:r>
              <w:rPr>
                <w:color w:val="auto"/>
                <w:sz w:val="21"/>
                <w:szCs w:val="21"/>
              </w:rPr>
              <w:t>/MWh。其中，净调入热力消耗碳排放量（AE</w:t>
            </w:r>
            <w:r>
              <w:rPr>
                <w:color w:val="auto"/>
                <w:sz w:val="21"/>
                <w:szCs w:val="21"/>
                <w:vertAlign w:val="subscript"/>
              </w:rPr>
              <w:t>净调入热力</w:t>
            </w:r>
            <w:r>
              <w:rPr>
                <w:color w:val="auto"/>
                <w:sz w:val="21"/>
                <w:szCs w:val="21"/>
              </w:rPr>
              <w:t>）计算方法见公式（7）：</w:t>
            </w:r>
          </w:p>
          <w:p w14:paraId="3A850490">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净调入热力</w:t>
            </w:r>
            <w:r>
              <w:rPr>
                <w:color w:val="auto"/>
                <w:kern w:val="0"/>
              </w:rPr>
              <w:t>=AD</w:t>
            </w:r>
            <w:r>
              <w:rPr>
                <w:color w:val="auto"/>
                <w:kern w:val="0"/>
                <w:vertAlign w:val="subscript"/>
              </w:rPr>
              <w:t>净调入热力消耗量</w:t>
            </w:r>
            <w:r>
              <w:rPr>
                <w:color w:val="auto"/>
                <w:kern w:val="0"/>
              </w:rPr>
              <w:t>*EF</w:t>
            </w:r>
            <w:r>
              <w:rPr>
                <w:color w:val="auto"/>
                <w:kern w:val="0"/>
                <w:vertAlign w:val="subscript"/>
              </w:rPr>
              <w:t>热力</w:t>
            </w:r>
            <w:r>
              <w:rPr>
                <w:color w:val="auto"/>
                <w:kern w:val="0"/>
              </w:rPr>
              <w:t>（7）</w:t>
            </w:r>
          </w:p>
          <w:p w14:paraId="3A850491">
            <w:pPr>
              <w:pStyle w:val="23"/>
              <w:ind w:firstLine="420" w:firstLineChars="200"/>
              <w:rPr>
                <w:color w:val="auto"/>
                <w:sz w:val="21"/>
                <w:szCs w:val="21"/>
              </w:rPr>
            </w:pPr>
            <w:r>
              <w:rPr>
                <w:color w:val="auto"/>
                <w:sz w:val="21"/>
                <w:szCs w:val="21"/>
              </w:rPr>
              <w:t>式中：</w:t>
            </w:r>
          </w:p>
          <w:p w14:paraId="3A850492">
            <w:pPr>
              <w:adjustRightInd w:val="0"/>
              <w:snapToGrid w:val="0"/>
              <w:spacing w:line="360" w:lineRule="auto"/>
              <w:ind w:firstLine="420" w:firstLineChars="200"/>
              <w:rPr>
                <w:color w:val="auto"/>
                <w:kern w:val="0"/>
              </w:rPr>
            </w:pPr>
            <w:r>
              <w:rPr>
                <w:color w:val="auto"/>
                <w:kern w:val="0"/>
              </w:rPr>
              <w:t>AD</w:t>
            </w:r>
            <w:r>
              <w:rPr>
                <w:color w:val="auto"/>
                <w:kern w:val="0"/>
                <w:vertAlign w:val="subscript"/>
              </w:rPr>
              <w:t>净调入热力消耗量</w:t>
            </w:r>
            <w:r>
              <w:rPr>
                <w:color w:val="auto"/>
                <w:kern w:val="0"/>
              </w:rPr>
              <w:t>——净调入热力消耗量（Gj）</w:t>
            </w:r>
          </w:p>
          <w:p w14:paraId="3A850493">
            <w:pPr>
              <w:pStyle w:val="23"/>
              <w:ind w:firstLine="420" w:firstLineChars="200"/>
              <w:rPr>
                <w:color w:val="auto"/>
                <w:sz w:val="21"/>
                <w:szCs w:val="21"/>
              </w:rPr>
            </w:pPr>
            <w:r>
              <w:rPr>
                <w:color w:val="auto"/>
                <w:sz w:val="21"/>
                <w:szCs w:val="21"/>
              </w:rPr>
              <w:t>EF</w:t>
            </w:r>
            <w:r>
              <w:rPr>
                <w:color w:val="auto"/>
                <w:sz w:val="21"/>
                <w:szCs w:val="21"/>
                <w:vertAlign w:val="subscript"/>
              </w:rPr>
              <w:t>热力</w:t>
            </w:r>
            <w:r>
              <w:rPr>
                <w:color w:val="auto"/>
                <w:sz w:val="21"/>
                <w:szCs w:val="21"/>
              </w:rPr>
              <w:t>——热力排放因子（tCO</w:t>
            </w:r>
            <w:r>
              <w:rPr>
                <w:color w:val="auto"/>
                <w:sz w:val="21"/>
                <w:szCs w:val="21"/>
                <w:vertAlign w:val="subscript"/>
              </w:rPr>
              <w:t>2e</w:t>
            </w:r>
            <w:r>
              <w:rPr>
                <w:color w:val="auto"/>
                <w:sz w:val="21"/>
                <w:szCs w:val="21"/>
              </w:rPr>
              <w:t>/Gj），为0.11tCO</w:t>
            </w:r>
            <w:r>
              <w:rPr>
                <w:color w:val="auto"/>
                <w:sz w:val="21"/>
                <w:szCs w:val="21"/>
                <w:vertAlign w:val="subscript"/>
              </w:rPr>
              <w:t>2e</w:t>
            </w:r>
            <w:r>
              <w:rPr>
                <w:color w:val="auto"/>
                <w:sz w:val="21"/>
                <w:szCs w:val="21"/>
              </w:rPr>
              <w:t>/Gj。</w:t>
            </w:r>
          </w:p>
          <w:p w14:paraId="3A850494">
            <w:pPr>
              <w:autoSpaceDE w:val="0"/>
              <w:autoSpaceDN w:val="0"/>
              <w:adjustRightInd w:val="0"/>
              <w:snapToGrid w:val="0"/>
              <w:jc w:val="center"/>
              <w:rPr>
                <w:b/>
                <w:bCs/>
                <w:color w:val="auto"/>
                <w:kern w:val="0"/>
              </w:rPr>
            </w:pPr>
            <w:bookmarkStart w:id="18" w:name="_Toc68895592"/>
            <w:bookmarkStart w:id="19" w:name="_Toc71671776"/>
            <w:r>
              <w:rPr>
                <w:b/>
                <w:bCs/>
                <w:color w:val="auto"/>
                <w:kern w:val="0"/>
              </w:rPr>
              <w:t>表4-</w:t>
            </w:r>
            <w:r>
              <w:rPr>
                <w:rFonts w:hint="eastAsia"/>
                <w:b/>
                <w:bCs/>
                <w:color w:val="auto"/>
                <w:kern w:val="0"/>
              </w:rPr>
              <w:t xml:space="preserve">33  </w:t>
            </w:r>
            <w:r>
              <w:rPr>
                <w:b/>
                <w:bCs/>
                <w:color w:val="auto"/>
                <w:kern w:val="0"/>
              </w:rPr>
              <w:t xml:space="preserve"> 营运期使用的材料表</w:t>
            </w:r>
            <w:bookmarkEnd w:id="18"/>
            <w:bookmarkEnd w:id="19"/>
          </w:p>
          <w:tbl>
            <w:tblPr>
              <w:tblStyle w:val="59"/>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474"/>
              <w:gridCol w:w="5117"/>
            </w:tblGrid>
            <w:tr w14:paraId="3A8504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332" w:type="pct"/>
                  <w:vAlign w:val="center"/>
                </w:tcPr>
                <w:p w14:paraId="3A850495">
                  <w:pPr>
                    <w:pStyle w:val="635"/>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类别</w:t>
                  </w:r>
                </w:p>
              </w:tc>
              <w:tc>
                <w:tcPr>
                  <w:tcW w:w="2667" w:type="pct"/>
                  <w:vAlign w:val="center"/>
                </w:tcPr>
                <w:p w14:paraId="3A850496">
                  <w:pPr>
                    <w:pStyle w:val="635"/>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使用量</w:t>
                  </w:r>
                </w:p>
              </w:tc>
            </w:tr>
            <w:tr w14:paraId="3A8504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332" w:type="pct"/>
                  <w:vAlign w:val="center"/>
                </w:tcPr>
                <w:p w14:paraId="3A850498">
                  <w:pPr>
                    <w:pStyle w:val="635"/>
                    <w:adjustRightInd w:val="0"/>
                    <w:snapToGrid w:val="0"/>
                    <w:jc w:val="center"/>
                    <w:rPr>
                      <w:rFonts w:ascii="Times New Roman" w:hAnsi="Times New Roman"/>
                      <w:color w:val="auto"/>
                      <w:sz w:val="21"/>
                      <w:szCs w:val="21"/>
                    </w:rPr>
                  </w:pPr>
                  <w:r>
                    <w:rPr>
                      <w:rFonts w:ascii="Times New Roman" w:hAnsi="Times New Roman"/>
                      <w:color w:val="auto"/>
                      <w:sz w:val="21"/>
                      <w:szCs w:val="21"/>
                    </w:rPr>
                    <w:t>电力使用量</w:t>
                  </w:r>
                </w:p>
              </w:tc>
              <w:tc>
                <w:tcPr>
                  <w:tcW w:w="2667" w:type="pct"/>
                  <w:vAlign w:val="center"/>
                </w:tcPr>
                <w:p w14:paraId="3A850499">
                  <w:pPr>
                    <w:pStyle w:val="635"/>
                    <w:adjustRightInd w:val="0"/>
                    <w:snapToGrid w:val="0"/>
                    <w:jc w:val="center"/>
                    <w:rPr>
                      <w:rFonts w:ascii="Times New Roman" w:hAnsi="Times New Roman"/>
                      <w:color w:val="auto"/>
                      <w:sz w:val="21"/>
                      <w:szCs w:val="21"/>
                    </w:rPr>
                  </w:pPr>
                  <w:r>
                    <w:rPr>
                      <w:rFonts w:hint="eastAsia" w:ascii="Times New Roman" w:hAnsi="Times New Roman"/>
                      <w:color w:val="auto"/>
                      <w:sz w:val="21"/>
                      <w:szCs w:val="21"/>
                      <w:lang w:val="en-US" w:eastAsia="zh-CN"/>
                    </w:rPr>
                    <w:t>500</w:t>
                  </w:r>
                  <w:r>
                    <w:rPr>
                      <w:rFonts w:ascii="Times New Roman" w:hAnsi="Times New Roman"/>
                      <w:color w:val="auto"/>
                      <w:sz w:val="21"/>
                      <w:szCs w:val="21"/>
                    </w:rPr>
                    <w:t>MWh</w:t>
                  </w:r>
                </w:p>
              </w:tc>
            </w:tr>
          </w:tbl>
          <w:p w14:paraId="3A85049B">
            <w:pPr>
              <w:pStyle w:val="23"/>
              <w:widowControl w:val="0"/>
              <w:ind w:firstLine="420" w:firstLineChars="200"/>
              <w:rPr>
                <w:color w:val="auto"/>
                <w:sz w:val="21"/>
                <w:szCs w:val="21"/>
              </w:rPr>
            </w:pPr>
            <w:r>
              <w:rPr>
                <w:color w:val="auto"/>
                <w:sz w:val="21"/>
                <w:szCs w:val="21"/>
              </w:rPr>
              <w:t>本项目碳排放总量如下：</w:t>
            </w:r>
          </w:p>
          <w:p w14:paraId="3A85049C">
            <w:pPr>
              <w:pStyle w:val="23"/>
              <w:ind w:firstLine="420" w:firstLineChars="200"/>
              <w:rPr>
                <w:color w:val="auto"/>
                <w:sz w:val="21"/>
                <w:szCs w:val="21"/>
              </w:rPr>
            </w:pPr>
            <w:r>
              <w:rPr>
                <w:color w:val="auto"/>
                <w:sz w:val="21"/>
                <w:szCs w:val="21"/>
              </w:rPr>
              <w:t>AE</w:t>
            </w:r>
            <w:r>
              <w:rPr>
                <w:color w:val="auto"/>
                <w:sz w:val="21"/>
                <w:szCs w:val="21"/>
                <w:vertAlign w:val="subscript"/>
              </w:rPr>
              <w:t>电燃</w:t>
            </w:r>
            <w:r>
              <w:rPr>
                <w:color w:val="auto"/>
                <w:sz w:val="21"/>
                <w:szCs w:val="21"/>
              </w:rPr>
              <w:t>=0</w:t>
            </w:r>
          </w:p>
          <w:p w14:paraId="3A85049D">
            <w:pPr>
              <w:pStyle w:val="23"/>
              <w:ind w:firstLine="420" w:firstLineChars="200"/>
              <w:rPr>
                <w:color w:val="auto"/>
                <w:sz w:val="21"/>
                <w:szCs w:val="21"/>
              </w:rPr>
            </w:pPr>
            <w:r>
              <w:rPr>
                <w:color w:val="auto"/>
                <w:sz w:val="21"/>
                <w:szCs w:val="21"/>
              </w:rPr>
              <w:t>AE</w:t>
            </w:r>
            <w:r>
              <w:rPr>
                <w:color w:val="auto"/>
                <w:sz w:val="21"/>
                <w:szCs w:val="21"/>
                <w:vertAlign w:val="subscript"/>
              </w:rPr>
              <w:t>工业生产过程</w:t>
            </w:r>
            <w:r>
              <w:rPr>
                <w:color w:val="auto"/>
                <w:sz w:val="21"/>
                <w:szCs w:val="21"/>
              </w:rPr>
              <w:t>=0</w:t>
            </w:r>
          </w:p>
          <w:p w14:paraId="3A85049E">
            <w:pPr>
              <w:pStyle w:val="23"/>
              <w:ind w:firstLine="420" w:firstLineChars="200"/>
              <w:rPr>
                <w:color w:val="auto"/>
                <w:sz w:val="21"/>
                <w:szCs w:val="21"/>
              </w:rPr>
            </w:pPr>
            <w:r>
              <w:rPr>
                <w:color w:val="auto"/>
                <w:sz w:val="21"/>
                <w:szCs w:val="21"/>
              </w:rPr>
              <w:t>AE</w:t>
            </w:r>
            <w:r>
              <w:rPr>
                <w:color w:val="auto"/>
                <w:sz w:val="21"/>
                <w:szCs w:val="21"/>
                <w:vertAlign w:val="subscript"/>
              </w:rPr>
              <w:t>工燃</w:t>
            </w:r>
            <w:r>
              <w:rPr>
                <w:color w:val="auto"/>
                <w:sz w:val="21"/>
                <w:szCs w:val="21"/>
              </w:rPr>
              <w:t>=0</w:t>
            </w:r>
          </w:p>
          <w:p w14:paraId="3A85049F">
            <w:pPr>
              <w:pStyle w:val="23"/>
              <w:ind w:firstLine="420" w:firstLineChars="200"/>
              <w:rPr>
                <w:color w:val="auto"/>
                <w:sz w:val="21"/>
                <w:szCs w:val="21"/>
              </w:rPr>
            </w:pPr>
            <w:r>
              <w:rPr>
                <w:color w:val="auto"/>
                <w:sz w:val="21"/>
                <w:szCs w:val="21"/>
              </w:rPr>
              <w:t>AE</w:t>
            </w:r>
            <w:r>
              <w:rPr>
                <w:color w:val="auto"/>
                <w:sz w:val="21"/>
                <w:szCs w:val="21"/>
                <w:vertAlign w:val="subscript"/>
              </w:rPr>
              <w:t>净调入电力</w:t>
            </w:r>
            <w:r>
              <w:rPr>
                <w:color w:val="auto"/>
                <w:sz w:val="21"/>
                <w:szCs w:val="21"/>
              </w:rPr>
              <w:t>=</w:t>
            </w:r>
            <w:r>
              <w:rPr>
                <w:rFonts w:hint="eastAsia"/>
                <w:color w:val="auto"/>
                <w:sz w:val="21"/>
                <w:szCs w:val="21"/>
                <w:lang w:val="en-US" w:eastAsia="zh-CN"/>
              </w:rPr>
              <w:t>500</w:t>
            </w:r>
            <w:r>
              <w:rPr>
                <w:color w:val="auto"/>
                <w:sz w:val="21"/>
                <w:szCs w:val="21"/>
              </w:rPr>
              <w:t>MWh*0.</w:t>
            </w:r>
            <w:r>
              <w:rPr>
                <w:rFonts w:hint="eastAsia"/>
                <w:color w:val="auto"/>
                <w:sz w:val="21"/>
                <w:szCs w:val="21"/>
              </w:rPr>
              <w:t>5703</w:t>
            </w:r>
            <w:r>
              <w:rPr>
                <w:color w:val="auto"/>
                <w:sz w:val="21"/>
                <w:szCs w:val="21"/>
              </w:rPr>
              <w:t>tCO</w:t>
            </w:r>
            <w:r>
              <w:rPr>
                <w:color w:val="auto"/>
                <w:sz w:val="21"/>
                <w:szCs w:val="21"/>
                <w:vertAlign w:val="subscript"/>
              </w:rPr>
              <w:t>2e</w:t>
            </w:r>
            <w:r>
              <w:rPr>
                <w:color w:val="auto"/>
                <w:sz w:val="21"/>
                <w:szCs w:val="21"/>
              </w:rPr>
              <w:t>/MWh=</w:t>
            </w:r>
            <w:r>
              <w:rPr>
                <w:rFonts w:hint="eastAsia"/>
                <w:color w:val="auto"/>
                <w:sz w:val="21"/>
                <w:szCs w:val="21"/>
                <w:lang w:val="en-US" w:eastAsia="zh-CN"/>
              </w:rPr>
              <w:t>285.15</w:t>
            </w:r>
            <w:r>
              <w:rPr>
                <w:color w:val="auto"/>
                <w:sz w:val="21"/>
                <w:szCs w:val="21"/>
              </w:rPr>
              <w:t>tCO</w:t>
            </w:r>
            <w:r>
              <w:rPr>
                <w:color w:val="auto"/>
                <w:sz w:val="21"/>
                <w:szCs w:val="21"/>
                <w:vertAlign w:val="subscript"/>
              </w:rPr>
              <w:t>2e</w:t>
            </w:r>
          </w:p>
          <w:p w14:paraId="3A8504A0">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净调入热力</w:t>
            </w:r>
            <w:r>
              <w:rPr>
                <w:color w:val="auto"/>
                <w:kern w:val="0"/>
              </w:rPr>
              <w:t>=0</w:t>
            </w:r>
          </w:p>
          <w:p w14:paraId="3A8504A1">
            <w:pPr>
              <w:pStyle w:val="23"/>
              <w:ind w:firstLine="420" w:firstLineChars="200"/>
              <w:rPr>
                <w:color w:val="auto"/>
                <w:sz w:val="21"/>
                <w:szCs w:val="21"/>
              </w:rPr>
            </w:pPr>
            <w:r>
              <w:rPr>
                <w:color w:val="auto"/>
                <w:sz w:val="21"/>
                <w:szCs w:val="21"/>
              </w:rPr>
              <w:t>AE</w:t>
            </w:r>
            <w:r>
              <w:rPr>
                <w:color w:val="auto"/>
                <w:sz w:val="21"/>
                <w:szCs w:val="21"/>
                <w:vertAlign w:val="subscript"/>
              </w:rPr>
              <w:t>总</w:t>
            </w:r>
            <w:r>
              <w:rPr>
                <w:color w:val="auto"/>
                <w:sz w:val="21"/>
                <w:szCs w:val="21"/>
              </w:rPr>
              <w:t>=</w:t>
            </w:r>
            <w:r>
              <w:rPr>
                <w:rFonts w:hint="eastAsia"/>
                <w:color w:val="auto"/>
                <w:sz w:val="21"/>
                <w:szCs w:val="21"/>
                <w:lang w:val="en-US" w:eastAsia="zh-CN"/>
              </w:rPr>
              <w:t>285.15</w:t>
            </w:r>
            <w:r>
              <w:rPr>
                <w:color w:val="auto"/>
                <w:sz w:val="21"/>
                <w:szCs w:val="21"/>
              </w:rPr>
              <w:t>tCO</w:t>
            </w:r>
            <w:r>
              <w:rPr>
                <w:color w:val="auto"/>
                <w:sz w:val="21"/>
                <w:szCs w:val="21"/>
                <w:vertAlign w:val="subscript"/>
              </w:rPr>
              <w:t>2e</w:t>
            </w:r>
          </w:p>
          <w:p w14:paraId="3A8504A2">
            <w:pPr>
              <w:pStyle w:val="23"/>
              <w:ind w:firstLine="420" w:firstLineChars="200"/>
              <w:rPr>
                <w:color w:val="auto"/>
                <w:sz w:val="21"/>
                <w:szCs w:val="21"/>
              </w:rPr>
            </w:pPr>
            <w:r>
              <w:rPr>
                <w:color w:val="auto"/>
                <w:sz w:val="21"/>
                <w:szCs w:val="21"/>
              </w:rPr>
              <w:t>碳排放强度（单位用地碳排放量）=</w:t>
            </w:r>
            <w:r>
              <w:rPr>
                <w:rFonts w:hint="eastAsia"/>
                <w:color w:val="auto"/>
                <w:sz w:val="21"/>
                <w:szCs w:val="21"/>
                <w:lang w:val="en-US" w:eastAsia="zh-CN"/>
              </w:rPr>
              <w:t>285.15</w:t>
            </w:r>
            <w:r>
              <w:rPr>
                <w:rFonts w:hint="eastAsia"/>
                <w:color w:val="auto"/>
                <w:sz w:val="21"/>
                <w:szCs w:val="21"/>
              </w:rPr>
              <w:t>/</w:t>
            </w:r>
            <w:r>
              <w:rPr>
                <w:rFonts w:hint="eastAsia"/>
                <w:color w:val="auto"/>
                <w:sz w:val="21"/>
                <w:szCs w:val="21"/>
                <w:lang w:val="en-US" w:eastAsia="zh-CN"/>
              </w:rPr>
              <w:t>3936</w:t>
            </w:r>
            <w:r>
              <w:rPr>
                <w:color w:val="auto"/>
                <w:sz w:val="21"/>
                <w:szCs w:val="21"/>
              </w:rPr>
              <w:t>=</w:t>
            </w:r>
            <w:r>
              <w:rPr>
                <w:rFonts w:hint="eastAsia"/>
                <w:color w:val="auto"/>
                <w:sz w:val="21"/>
                <w:szCs w:val="21"/>
              </w:rPr>
              <w:t>0.</w:t>
            </w:r>
            <w:r>
              <w:rPr>
                <w:rFonts w:hint="eastAsia"/>
                <w:color w:val="auto"/>
                <w:sz w:val="21"/>
                <w:szCs w:val="21"/>
                <w:lang w:val="en-US" w:eastAsia="zh-CN"/>
              </w:rPr>
              <w:t>072</w:t>
            </w:r>
            <w:r>
              <w:rPr>
                <w:color w:val="auto"/>
                <w:sz w:val="21"/>
                <w:szCs w:val="21"/>
              </w:rPr>
              <w:t>tCO</w:t>
            </w:r>
            <w:r>
              <w:rPr>
                <w:color w:val="auto"/>
                <w:sz w:val="21"/>
                <w:szCs w:val="21"/>
                <w:vertAlign w:val="subscript"/>
              </w:rPr>
              <w:t>2e</w:t>
            </w:r>
            <w:r>
              <w:rPr>
                <w:color w:val="auto"/>
                <w:sz w:val="21"/>
                <w:szCs w:val="21"/>
              </w:rPr>
              <w:t>/m</w:t>
            </w:r>
            <w:r>
              <w:rPr>
                <w:color w:val="auto"/>
                <w:sz w:val="21"/>
                <w:szCs w:val="21"/>
                <w:vertAlign w:val="superscript"/>
              </w:rPr>
              <w:t>2</w:t>
            </w:r>
          </w:p>
          <w:p w14:paraId="3A8504A3">
            <w:pPr>
              <w:pStyle w:val="23"/>
              <w:widowControl w:val="0"/>
              <w:ind w:firstLine="420" w:firstLineChars="200"/>
              <w:rPr>
                <w:color w:val="auto"/>
                <w:sz w:val="21"/>
                <w:szCs w:val="21"/>
              </w:rPr>
            </w:pPr>
            <w:r>
              <w:rPr>
                <w:color w:val="auto"/>
                <w:sz w:val="21"/>
                <w:szCs w:val="21"/>
              </w:rPr>
              <w:t>碳排放强度（单位工业总产值碳排放量）=</w:t>
            </w:r>
            <w:r>
              <w:rPr>
                <w:rFonts w:hint="eastAsia"/>
                <w:color w:val="auto"/>
                <w:sz w:val="21"/>
                <w:szCs w:val="21"/>
                <w:lang w:val="en-US" w:eastAsia="zh-CN"/>
              </w:rPr>
              <w:t>285.15</w:t>
            </w:r>
            <w:r>
              <w:rPr>
                <w:color w:val="auto"/>
                <w:sz w:val="21"/>
                <w:szCs w:val="21"/>
              </w:rPr>
              <w:t>/</w:t>
            </w:r>
            <w:r>
              <w:rPr>
                <w:rFonts w:hint="eastAsia"/>
                <w:color w:val="auto"/>
                <w:sz w:val="21"/>
                <w:szCs w:val="21"/>
              </w:rPr>
              <w:t>7</w:t>
            </w:r>
            <w:r>
              <w:rPr>
                <w:rFonts w:hint="eastAsia"/>
                <w:color w:val="auto"/>
                <w:sz w:val="21"/>
                <w:szCs w:val="21"/>
                <w:lang w:val="en-US" w:eastAsia="zh-CN"/>
              </w:rPr>
              <w:t>42000</w:t>
            </w:r>
            <w:r>
              <w:rPr>
                <w:color w:val="auto"/>
                <w:sz w:val="21"/>
                <w:szCs w:val="21"/>
              </w:rPr>
              <w:t>=0.</w:t>
            </w:r>
            <w:r>
              <w:rPr>
                <w:rFonts w:hint="eastAsia"/>
                <w:color w:val="auto"/>
                <w:sz w:val="21"/>
                <w:szCs w:val="21"/>
                <w:lang w:val="en-US" w:eastAsia="zh-CN"/>
              </w:rPr>
              <w:t>0068</w:t>
            </w:r>
            <w:r>
              <w:rPr>
                <w:color w:val="auto"/>
                <w:sz w:val="21"/>
                <w:szCs w:val="21"/>
              </w:rPr>
              <w:t>tCO</w:t>
            </w:r>
            <w:r>
              <w:rPr>
                <w:color w:val="auto"/>
                <w:sz w:val="21"/>
                <w:szCs w:val="21"/>
                <w:vertAlign w:val="subscript"/>
              </w:rPr>
              <w:t>2e</w:t>
            </w:r>
            <w:r>
              <w:rPr>
                <w:color w:val="auto"/>
                <w:sz w:val="21"/>
                <w:szCs w:val="21"/>
              </w:rPr>
              <w:t>/万元</w:t>
            </w:r>
          </w:p>
          <w:p w14:paraId="3A8504A4">
            <w:pPr>
              <w:autoSpaceDE w:val="0"/>
              <w:autoSpaceDN w:val="0"/>
              <w:jc w:val="center"/>
              <w:rPr>
                <w:b/>
                <w:bCs/>
                <w:color w:val="auto"/>
                <w:kern w:val="0"/>
              </w:rPr>
            </w:pPr>
            <w:bookmarkStart w:id="20" w:name="_Toc71671777"/>
            <w:bookmarkStart w:id="21" w:name="_Toc68895593"/>
            <w:r>
              <w:rPr>
                <w:b/>
                <w:bCs/>
                <w:color w:val="auto"/>
                <w:kern w:val="0"/>
              </w:rPr>
              <w:t>表4-</w:t>
            </w:r>
            <w:r>
              <w:rPr>
                <w:rFonts w:hint="eastAsia"/>
                <w:b/>
                <w:bCs/>
                <w:color w:val="auto"/>
                <w:kern w:val="0"/>
              </w:rPr>
              <w:t>34</w:t>
            </w:r>
            <w:r>
              <w:rPr>
                <w:b/>
                <w:bCs/>
                <w:color w:val="auto"/>
                <w:kern w:val="0"/>
              </w:rPr>
              <w:t xml:space="preserve"> </w:t>
            </w:r>
            <w:r>
              <w:rPr>
                <w:rFonts w:hint="eastAsia"/>
                <w:b/>
                <w:bCs/>
                <w:color w:val="auto"/>
                <w:kern w:val="0"/>
              </w:rPr>
              <w:t xml:space="preserve">  </w:t>
            </w:r>
            <w:r>
              <w:rPr>
                <w:b/>
                <w:bCs/>
                <w:color w:val="auto"/>
                <w:kern w:val="0"/>
              </w:rPr>
              <w:t>碳排放汇总表</w:t>
            </w:r>
            <w:bookmarkEnd w:id="20"/>
            <w:bookmarkEnd w:id="21"/>
          </w:p>
          <w:tbl>
            <w:tblPr>
              <w:tblStyle w:val="59"/>
              <w:tblW w:w="4999"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504"/>
              <w:gridCol w:w="2046"/>
              <w:gridCol w:w="3178"/>
              <w:gridCol w:w="2865"/>
            </w:tblGrid>
            <w:tr w14:paraId="3A8504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506" w:type="pct"/>
                  <w:gridSpan w:val="3"/>
                  <w:vAlign w:val="center"/>
                </w:tcPr>
                <w:p w14:paraId="3A8504A5">
                  <w:pPr>
                    <w:pStyle w:val="635"/>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排放类型</w:t>
                  </w:r>
                </w:p>
              </w:tc>
              <w:tc>
                <w:tcPr>
                  <w:tcW w:w="1493" w:type="pct"/>
                  <w:vAlign w:val="center"/>
                </w:tcPr>
                <w:p w14:paraId="3A8504A6">
                  <w:pPr>
                    <w:pStyle w:val="635"/>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碳排放量</w:t>
                  </w:r>
                </w:p>
              </w:tc>
            </w:tr>
            <w:tr w14:paraId="3A8504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84" w:type="pct"/>
                  <w:vAlign w:val="center"/>
                </w:tcPr>
                <w:p w14:paraId="3A8504A8">
                  <w:pPr>
                    <w:pStyle w:val="635"/>
                    <w:adjustRightInd w:val="0"/>
                    <w:snapToGrid w:val="0"/>
                    <w:jc w:val="center"/>
                    <w:rPr>
                      <w:rFonts w:ascii="Times New Roman" w:hAnsi="Times New Roman"/>
                      <w:color w:val="auto"/>
                      <w:sz w:val="21"/>
                      <w:szCs w:val="21"/>
                    </w:rPr>
                  </w:pPr>
                  <w:r>
                    <w:rPr>
                      <w:rFonts w:ascii="Times New Roman" w:hAnsi="Times New Roman"/>
                      <w:color w:val="auto"/>
                      <w:sz w:val="21"/>
                      <w:szCs w:val="21"/>
                    </w:rPr>
                    <w:t>营运期</w:t>
                  </w:r>
                </w:p>
              </w:tc>
              <w:tc>
                <w:tcPr>
                  <w:tcW w:w="1066" w:type="pct"/>
                  <w:vAlign w:val="center"/>
                </w:tcPr>
                <w:p w14:paraId="3A8504A9">
                  <w:pPr>
                    <w:pStyle w:val="635"/>
                    <w:adjustRightInd w:val="0"/>
                    <w:snapToGrid w:val="0"/>
                    <w:jc w:val="center"/>
                    <w:rPr>
                      <w:rFonts w:ascii="Times New Roman" w:hAnsi="Times New Roman"/>
                      <w:color w:val="auto"/>
                      <w:sz w:val="21"/>
                      <w:szCs w:val="21"/>
                    </w:rPr>
                  </w:pPr>
                  <w:r>
                    <w:rPr>
                      <w:rFonts w:ascii="Times New Roman" w:hAnsi="Times New Roman"/>
                      <w:color w:val="auto"/>
                      <w:sz w:val="21"/>
                      <w:szCs w:val="21"/>
                    </w:rPr>
                    <w:t>间接排放</w:t>
                  </w:r>
                </w:p>
              </w:tc>
              <w:tc>
                <w:tcPr>
                  <w:tcW w:w="1655" w:type="pct"/>
                  <w:vAlign w:val="center"/>
                </w:tcPr>
                <w:p w14:paraId="3A8504AA">
                  <w:pPr>
                    <w:pStyle w:val="635"/>
                    <w:adjustRightInd w:val="0"/>
                    <w:snapToGrid w:val="0"/>
                    <w:jc w:val="center"/>
                    <w:rPr>
                      <w:rFonts w:ascii="Times New Roman" w:hAnsi="Times New Roman"/>
                      <w:color w:val="auto"/>
                      <w:sz w:val="21"/>
                      <w:szCs w:val="21"/>
                    </w:rPr>
                  </w:pPr>
                  <w:r>
                    <w:rPr>
                      <w:rFonts w:ascii="Times New Roman" w:hAnsi="Times New Roman"/>
                      <w:color w:val="auto"/>
                      <w:sz w:val="21"/>
                      <w:szCs w:val="21"/>
                    </w:rPr>
                    <w:t>净调入电力和热力</w:t>
                  </w:r>
                </w:p>
              </w:tc>
              <w:tc>
                <w:tcPr>
                  <w:tcW w:w="1493" w:type="pct"/>
                  <w:vAlign w:val="center"/>
                </w:tcPr>
                <w:p w14:paraId="3A8504AB">
                  <w:pPr>
                    <w:pStyle w:val="635"/>
                    <w:adjustRightInd w:val="0"/>
                    <w:snapToGrid w:val="0"/>
                    <w:jc w:val="center"/>
                    <w:rPr>
                      <w:rFonts w:ascii="Times New Roman" w:hAnsi="Times New Roman"/>
                      <w:color w:val="auto"/>
                      <w:sz w:val="21"/>
                      <w:szCs w:val="21"/>
                    </w:rPr>
                  </w:pPr>
                  <w:r>
                    <w:rPr>
                      <w:rFonts w:hint="eastAsia" w:ascii="Times New Roman" w:hAnsi="Times New Roman"/>
                      <w:color w:val="auto"/>
                      <w:sz w:val="21"/>
                      <w:szCs w:val="21"/>
                      <w:lang w:val="en-US" w:eastAsia="zh-CN"/>
                    </w:rPr>
                    <w:t>285.15</w:t>
                  </w:r>
                  <w:r>
                    <w:rPr>
                      <w:rFonts w:ascii="Times New Roman" w:hAnsi="Times New Roman"/>
                      <w:color w:val="auto"/>
                      <w:sz w:val="21"/>
                      <w:szCs w:val="21"/>
                    </w:rPr>
                    <w:t>tCO</w:t>
                  </w:r>
                  <w:r>
                    <w:rPr>
                      <w:rFonts w:ascii="Times New Roman" w:hAnsi="Times New Roman"/>
                      <w:color w:val="auto"/>
                      <w:sz w:val="21"/>
                      <w:szCs w:val="21"/>
                      <w:vertAlign w:val="subscript"/>
                    </w:rPr>
                    <w:t>2e</w:t>
                  </w:r>
                </w:p>
              </w:tc>
            </w:tr>
          </w:tbl>
          <w:p w14:paraId="3A8504AD">
            <w:pPr>
              <w:pStyle w:val="697"/>
              <w:adjustRightInd w:val="0"/>
              <w:snapToGrid w:val="0"/>
              <w:spacing w:line="360" w:lineRule="auto"/>
              <w:ind w:firstLine="420"/>
              <w:rPr>
                <w:rFonts w:eastAsia="宋体"/>
                <w:color w:val="auto"/>
                <w:kern w:val="0"/>
                <w:sz w:val="21"/>
                <w:szCs w:val="21"/>
              </w:rPr>
            </w:pPr>
            <w:r>
              <w:rPr>
                <w:rFonts w:hint="eastAsia" w:ascii="宋体" w:hAnsi="宋体" w:eastAsia="宋体" w:cs="宋体"/>
                <w:color w:val="auto"/>
                <w:kern w:val="0"/>
                <w:sz w:val="21"/>
                <w:szCs w:val="21"/>
              </w:rPr>
              <w:t>②</w:t>
            </w:r>
            <w:r>
              <w:rPr>
                <w:rFonts w:eastAsia="宋体"/>
                <w:color w:val="auto"/>
                <w:kern w:val="0"/>
                <w:sz w:val="21"/>
                <w:szCs w:val="21"/>
              </w:rPr>
              <w:t>碳排放评价</w:t>
            </w:r>
          </w:p>
          <w:p w14:paraId="3A8504AE">
            <w:pPr>
              <w:pStyle w:val="697"/>
              <w:adjustRightInd w:val="0"/>
              <w:snapToGrid w:val="0"/>
              <w:spacing w:line="360" w:lineRule="auto"/>
              <w:ind w:firstLine="420"/>
              <w:jc w:val="both"/>
              <w:rPr>
                <w:rFonts w:eastAsia="宋体"/>
                <w:color w:val="auto"/>
                <w:kern w:val="0"/>
                <w:sz w:val="21"/>
                <w:szCs w:val="21"/>
              </w:rPr>
            </w:pPr>
            <w:r>
              <w:rPr>
                <w:rFonts w:eastAsia="宋体"/>
                <w:color w:val="auto"/>
                <w:kern w:val="0"/>
                <w:sz w:val="21"/>
                <w:szCs w:val="21"/>
              </w:rPr>
              <w:t>综上可知，本项目碳排放量为</w:t>
            </w:r>
            <w:r>
              <w:rPr>
                <w:rFonts w:hint="eastAsia" w:eastAsia="宋体"/>
                <w:color w:val="auto"/>
                <w:kern w:val="0"/>
                <w:sz w:val="21"/>
                <w:szCs w:val="21"/>
                <w:lang w:val="en-US" w:eastAsia="zh-CN"/>
              </w:rPr>
              <w:t>285.15</w:t>
            </w:r>
            <w:r>
              <w:rPr>
                <w:rFonts w:eastAsia="宋体"/>
                <w:color w:val="auto"/>
                <w:kern w:val="0"/>
                <w:sz w:val="21"/>
                <w:szCs w:val="21"/>
              </w:rPr>
              <w:t>tCO</w:t>
            </w:r>
            <w:r>
              <w:rPr>
                <w:rFonts w:eastAsia="宋体"/>
                <w:color w:val="auto"/>
                <w:kern w:val="0"/>
                <w:sz w:val="21"/>
                <w:szCs w:val="21"/>
                <w:vertAlign w:val="subscript"/>
              </w:rPr>
              <w:t>2e</w:t>
            </w:r>
            <w:r>
              <w:rPr>
                <w:rFonts w:eastAsia="宋体"/>
                <w:color w:val="auto"/>
                <w:kern w:val="0"/>
                <w:sz w:val="21"/>
                <w:szCs w:val="21"/>
              </w:rPr>
              <w:t>，单位用地碳排放强度</w:t>
            </w:r>
            <w:r>
              <w:rPr>
                <w:rFonts w:hint="eastAsia" w:eastAsia="宋体"/>
                <w:color w:val="auto"/>
                <w:kern w:val="0"/>
                <w:sz w:val="21"/>
                <w:szCs w:val="21"/>
              </w:rPr>
              <w:t>0.</w:t>
            </w:r>
            <w:r>
              <w:rPr>
                <w:rFonts w:hint="eastAsia" w:eastAsia="宋体"/>
                <w:color w:val="auto"/>
                <w:kern w:val="0"/>
                <w:sz w:val="21"/>
                <w:szCs w:val="21"/>
                <w:lang w:val="en-US" w:eastAsia="zh-CN"/>
              </w:rPr>
              <w:t>072</w:t>
            </w:r>
            <w:r>
              <w:rPr>
                <w:rFonts w:eastAsia="宋体"/>
                <w:color w:val="auto"/>
                <w:kern w:val="0"/>
                <w:sz w:val="21"/>
                <w:szCs w:val="21"/>
              </w:rPr>
              <w:t>tCO</w:t>
            </w:r>
            <w:r>
              <w:rPr>
                <w:rFonts w:eastAsia="宋体"/>
                <w:color w:val="auto"/>
                <w:kern w:val="0"/>
                <w:sz w:val="21"/>
                <w:szCs w:val="21"/>
                <w:vertAlign w:val="subscript"/>
              </w:rPr>
              <w:t>2e</w:t>
            </w:r>
            <w:r>
              <w:rPr>
                <w:rFonts w:eastAsia="宋体"/>
                <w:color w:val="auto"/>
                <w:kern w:val="0"/>
                <w:sz w:val="21"/>
                <w:szCs w:val="21"/>
              </w:rPr>
              <w:t>/m</w:t>
            </w:r>
            <w:r>
              <w:rPr>
                <w:rFonts w:eastAsia="宋体"/>
                <w:color w:val="auto"/>
                <w:kern w:val="0"/>
                <w:sz w:val="21"/>
                <w:szCs w:val="21"/>
                <w:vertAlign w:val="superscript"/>
              </w:rPr>
              <w:t>2</w:t>
            </w:r>
            <w:r>
              <w:rPr>
                <w:rFonts w:eastAsia="宋体"/>
                <w:color w:val="auto"/>
                <w:kern w:val="0"/>
                <w:sz w:val="21"/>
                <w:szCs w:val="21"/>
              </w:rPr>
              <w:t>，单位工业总产值碳排放强度为</w:t>
            </w:r>
            <w:r>
              <w:rPr>
                <w:rFonts w:hint="eastAsia" w:eastAsia="宋体"/>
                <w:color w:val="auto"/>
                <w:kern w:val="0"/>
                <w:sz w:val="21"/>
                <w:szCs w:val="21"/>
              </w:rPr>
              <w:t>0.</w:t>
            </w:r>
            <w:r>
              <w:rPr>
                <w:rFonts w:hint="eastAsia" w:eastAsia="宋体"/>
                <w:color w:val="auto"/>
                <w:kern w:val="0"/>
                <w:sz w:val="21"/>
                <w:szCs w:val="21"/>
                <w:lang w:val="en-US" w:eastAsia="zh-CN"/>
              </w:rPr>
              <w:t>0068</w:t>
            </w:r>
            <w:r>
              <w:rPr>
                <w:rFonts w:eastAsia="宋体"/>
                <w:color w:val="auto"/>
                <w:kern w:val="0"/>
                <w:sz w:val="21"/>
                <w:szCs w:val="21"/>
              </w:rPr>
              <w:t>tCO</w:t>
            </w:r>
            <w:r>
              <w:rPr>
                <w:rFonts w:eastAsia="宋体"/>
                <w:color w:val="auto"/>
                <w:kern w:val="0"/>
                <w:sz w:val="21"/>
                <w:szCs w:val="21"/>
                <w:vertAlign w:val="subscript"/>
              </w:rPr>
              <w:t>2e</w:t>
            </w:r>
            <w:r>
              <w:rPr>
                <w:rFonts w:eastAsia="宋体"/>
                <w:color w:val="auto"/>
                <w:kern w:val="0"/>
                <w:sz w:val="21"/>
                <w:szCs w:val="21"/>
              </w:rPr>
              <w:t>/万元。</w:t>
            </w:r>
          </w:p>
          <w:p w14:paraId="3A8504AF">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t>（4）碳减排潜力分析及建议</w:t>
            </w:r>
          </w:p>
          <w:p w14:paraId="3A8504B0">
            <w:pPr>
              <w:pStyle w:val="697"/>
              <w:adjustRightInd w:val="0"/>
              <w:snapToGrid w:val="0"/>
              <w:spacing w:line="360" w:lineRule="auto"/>
              <w:ind w:firstLine="420"/>
              <w:jc w:val="both"/>
              <w:rPr>
                <w:rFonts w:eastAsia="宋体"/>
                <w:color w:val="auto"/>
                <w:kern w:val="0"/>
                <w:sz w:val="21"/>
                <w:szCs w:val="21"/>
              </w:rPr>
            </w:pPr>
            <w:r>
              <w:rPr>
                <w:rFonts w:eastAsia="宋体"/>
                <w:color w:val="auto"/>
                <w:kern w:val="0"/>
                <w:sz w:val="21"/>
                <w:szCs w:val="21"/>
              </w:rPr>
              <w:t>根据上述分析，本项目的碳排放主要为净电力输入，因此建设单位碳减排潜力主要为降低净电力输入，具体可从以下方面降低碳排放。</w:t>
            </w:r>
          </w:p>
          <w:p w14:paraId="3A8504B1">
            <w:pPr>
              <w:pStyle w:val="697"/>
              <w:adjustRightInd w:val="0"/>
              <w:snapToGrid w:val="0"/>
              <w:spacing w:line="360" w:lineRule="auto"/>
              <w:ind w:firstLine="420"/>
              <w:jc w:val="both"/>
              <w:rPr>
                <w:rFonts w:eastAsia="宋体"/>
                <w:color w:val="auto"/>
                <w:kern w:val="0"/>
                <w:sz w:val="21"/>
                <w:szCs w:val="21"/>
              </w:rPr>
            </w:pPr>
            <w:r>
              <w:rPr>
                <w:rFonts w:hint="eastAsia" w:ascii="宋体" w:hAnsi="宋体" w:eastAsia="宋体" w:cs="宋体"/>
                <w:color w:val="auto"/>
                <w:kern w:val="0"/>
                <w:sz w:val="21"/>
                <w:szCs w:val="21"/>
              </w:rPr>
              <w:t>①</w:t>
            </w:r>
            <w:r>
              <w:rPr>
                <w:rFonts w:eastAsia="宋体"/>
                <w:color w:val="auto"/>
                <w:kern w:val="0"/>
                <w:sz w:val="21"/>
                <w:szCs w:val="21"/>
              </w:rPr>
              <w:t>加强对设备的维护运行，避免设备老化等引起的耗电量增加；</w:t>
            </w:r>
          </w:p>
          <w:p w14:paraId="3A8504B2">
            <w:pPr>
              <w:pStyle w:val="697"/>
              <w:adjustRightInd w:val="0"/>
              <w:snapToGrid w:val="0"/>
              <w:spacing w:line="360" w:lineRule="auto"/>
              <w:ind w:firstLine="420"/>
              <w:jc w:val="both"/>
              <w:rPr>
                <w:rFonts w:eastAsia="宋体"/>
                <w:color w:val="auto"/>
                <w:kern w:val="0"/>
                <w:sz w:val="21"/>
                <w:szCs w:val="21"/>
              </w:rPr>
            </w:pPr>
            <w:r>
              <w:rPr>
                <w:rFonts w:hint="eastAsia" w:ascii="宋体" w:hAnsi="宋体" w:eastAsia="宋体" w:cs="宋体"/>
                <w:color w:val="auto"/>
                <w:kern w:val="0"/>
                <w:sz w:val="21"/>
                <w:szCs w:val="21"/>
              </w:rPr>
              <w:t>②</w:t>
            </w:r>
            <w:r>
              <w:rPr>
                <w:rFonts w:eastAsia="宋体"/>
                <w:color w:val="auto"/>
                <w:kern w:val="0"/>
                <w:sz w:val="21"/>
                <w:szCs w:val="21"/>
              </w:rPr>
              <w:t>建设单位经济允许条件下，建议更换生产效率更高更节能的设备；</w:t>
            </w:r>
          </w:p>
          <w:p w14:paraId="3A8504B3">
            <w:pPr>
              <w:adjustRightInd w:val="0"/>
              <w:snapToGrid w:val="0"/>
              <w:spacing w:line="360" w:lineRule="auto"/>
              <w:ind w:firstLine="420" w:firstLineChars="200"/>
              <w:jc w:val="left"/>
              <w:rPr>
                <w:color w:val="auto"/>
                <w:kern w:val="0"/>
              </w:rPr>
            </w:pPr>
            <w:r>
              <w:rPr>
                <w:rFonts w:hint="eastAsia" w:ascii="宋体" w:hAnsi="宋体" w:cs="宋体"/>
                <w:color w:val="auto"/>
                <w:kern w:val="0"/>
              </w:rPr>
              <w:t>③</w:t>
            </w:r>
            <w:r>
              <w:rPr>
                <w:bCs/>
                <w:color w:val="auto"/>
                <w:kern w:val="0"/>
              </w:rPr>
              <w:t>公司成立专门的环保管理系统，促进和管理一切环保减排的目标和政策</w:t>
            </w:r>
            <w:r>
              <w:rPr>
                <w:color w:val="auto"/>
                <w:kern w:val="0"/>
              </w:rPr>
              <w:t>。</w:t>
            </w:r>
          </w:p>
          <w:p w14:paraId="504AE978">
            <w:pPr>
              <w:pStyle w:val="697"/>
              <w:numPr>
                <w:ilvl w:val="0"/>
                <w:numId w:val="0"/>
              </w:numPr>
              <w:adjustRightInd w:val="0"/>
              <w:snapToGrid w:val="0"/>
              <w:spacing w:line="360" w:lineRule="auto"/>
              <w:rPr>
                <w:rFonts w:hint="default" w:eastAsia="宋体"/>
                <w:b/>
                <w:bCs/>
                <w:color w:val="FF0000"/>
                <w:kern w:val="0"/>
                <w:sz w:val="21"/>
                <w:szCs w:val="21"/>
                <w:lang w:val="en-US" w:eastAsia="zh-CN"/>
              </w:rPr>
            </w:pPr>
            <w:r>
              <w:rPr>
                <w:rFonts w:hint="eastAsia" w:eastAsia="宋体"/>
                <w:b/>
                <w:bCs/>
                <w:color w:val="FF0000"/>
                <w:kern w:val="0"/>
                <w:sz w:val="21"/>
                <w:szCs w:val="21"/>
                <w:lang w:val="en-US" w:eastAsia="zh-CN"/>
              </w:rPr>
              <w:t>8、排污口规范化整治</w:t>
            </w:r>
          </w:p>
          <w:p w14:paraId="36C6F2F4">
            <w:pPr>
              <w:pStyle w:val="69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b w:val="0"/>
                <w:bCs w:val="0"/>
                <w:color w:val="FF0000"/>
                <w:kern w:val="0"/>
                <w:sz w:val="21"/>
                <w:szCs w:val="21"/>
              </w:rPr>
            </w:pPr>
            <w:r>
              <w:rPr>
                <w:rFonts w:hint="eastAsia" w:eastAsia="宋体"/>
                <w:b w:val="0"/>
                <w:bCs w:val="0"/>
                <w:color w:val="FF0000"/>
                <w:kern w:val="0"/>
                <w:sz w:val="21"/>
                <w:szCs w:val="21"/>
              </w:rPr>
              <w:t>按《江苏省排污口设置及规范化整治管理办法》[苏环控（97）122号]要求，该建设项目废水排放口、废气烟囱、固定噪声源扰民处、固废堆放处必须进行规范化设置。</w:t>
            </w:r>
          </w:p>
          <w:p w14:paraId="0043CF44">
            <w:pPr>
              <w:pStyle w:val="69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b w:val="0"/>
                <w:bCs w:val="0"/>
                <w:color w:val="FF0000"/>
                <w:kern w:val="0"/>
                <w:sz w:val="21"/>
                <w:szCs w:val="21"/>
              </w:rPr>
            </w:pPr>
            <w:r>
              <w:rPr>
                <w:rFonts w:hint="eastAsia" w:eastAsia="宋体"/>
                <w:b w:val="0"/>
                <w:bCs w:val="0"/>
                <w:color w:val="FF0000"/>
                <w:kern w:val="0"/>
                <w:sz w:val="21"/>
                <w:szCs w:val="21"/>
                <w:lang w:eastAsia="zh-CN"/>
              </w:rPr>
              <w:t>（</w:t>
            </w:r>
            <w:r>
              <w:rPr>
                <w:rFonts w:hint="eastAsia" w:eastAsia="宋体"/>
                <w:b w:val="0"/>
                <w:bCs w:val="0"/>
                <w:color w:val="FF0000"/>
                <w:kern w:val="0"/>
                <w:sz w:val="21"/>
                <w:szCs w:val="21"/>
                <w:lang w:val="en-US" w:eastAsia="zh-CN"/>
              </w:rPr>
              <w:t>1</w:t>
            </w:r>
            <w:r>
              <w:rPr>
                <w:rFonts w:hint="eastAsia" w:eastAsia="宋体"/>
                <w:b w:val="0"/>
                <w:bCs w:val="0"/>
                <w:color w:val="FF0000"/>
                <w:kern w:val="0"/>
                <w:sz w:val="21"/>
                <w:szCs w:val="21"/>
                <w:lang w:eastAsia="zh-CN"/>
              </w:rPr>
              <w:t>）</w:t>
            </w:r>
            <w:r>
              <w:rPr>
                <w:rFonts w:hint="eastAsia" w:eastAsia="宋体"/>
                <w:b w:val="0"/>
                <w:bCs w:val="0"/>
                <w:color w:val="FF0000"/>
                <w:kern w:val="0"/>
                <w:sz w:val="21"/>
                <w:szCs w:val="21"/>
              </w:rPr>
              <w:t>污水排放口规范化</w:t>
            </w:r>
          </w:p>
          <w:p w14:paraId="47550FB0">
            <w:pPr>
              <w:pStyle w:val="69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b w:val="0"/>
                <w:bCs w:val="0"/>
                <w:color w:val="FF0000"/>
                <w:kern w:val="0"/>
                <w:sz w:val="21"/>
                <w:szCs w:val="21"/>
              </w:rPr>
            </w:pPr>
            <w:r>
              <w:rPr>
                <w:rFonts w:hint="eastAsia" w:eastAsia="宋体"/>
                <w:b w:val="0"/>
                <w:bCs w:val="0"/>
                <w:color w:val="FF0000"/>
                <w:kern w:val="0"/>
                <w:sz w:val="21"/>
                <w:szCs w:val="21"/>
              </w:rPr>
              <w:t>本项目厂区</w:t>
            </w:r>
            <w:r>
              <w:rPr>
                <w:rFonts w:hint="eastAsia" w:eastAsia="宋体"/>
                <w:b w:val="0"/>
                <w:bCs w:val="0"/>
                <w:color w:val="FF0000"/>
                <w:kern w:val="0"/>
                <w:sz w:val="21"/>
                <w:szCs w:val="21"/>
                <w:lang w:val="en-US" w:eastAsia="zh-CN"/>
              </w:rPr>
              <w:t>雨</w:t>
            </w:r>
            <w:r>
              <w:rPr>
                <w:rFonts w:hint="eastAsia" w:eastAsia="宋体"/>
                <w:b w:val="0"/>
                <w:bCs w:val="0"/>
                <w:color w:val="FF0000"/>
                <w:kern w:val="0"/>
                <w:sz w:val="21"/>
                <w:szCs w:val="21"/>
              </w:rPr>
              <w:t>污水排放口。污水接管口要设置标志牌、监控探头及装备污水流量计等在线监控，污水符合“一明显，二合理，三便于”的要求，便于采取水样和监测计量。雨水接管口要设置标志牌及监控探头，清下水符合“一明显，二合理，三便于”的要求，设置合理，便于采取水样和监测计量。</w:t>
            </w:r>
          </w:p>
          <w:p w14:paraId="1B6C45D2">
            <w:pPr>
              <w:pStyle w:val="69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b w:val="0"/>
                <w:bCs w:val="0"/>
                <w:color w:val="FF0000"/>
                <w:kern w:val="0"/>
                <w:sz w:val="21"/>
                <w:szCs w:val="21"/>
              </w:rPr>
            </w:pPr>
            <w:r>
              <w:rPr>
                <w:rFonts w:hint="eastAsia" w:eastAsia="宋体"/>
                <w:b w:val="0"/>
                <w:bCs w:val="0"/>
                <w:color w:val="FF0000"/>
                <w:kern w:val="0"/>
                <w:sz w:val="21"/>
                <w:szCs w:val="21"/>
                <w:lang w:eastAsia="zh-CN"/>
              </w:rPr>
              <w:t>（</w:t>
            </w:r>
            <w:r>
              <w:rPr>
                <w:rFonts w:hint="eastAsia" w:eastAsia="宋体"/>
                <w:b w:val="0"/>
                <w:bCs w:val="0"/>
                <w:color w:val="FF0000"/>
                <w:kern w:val="0"/>
                <w:sz w:val="21"/>
                <w:szCs w:val="21"/>
                <w:lang w:val="en-US" w:eastAsia="zh-CN"/>
              </w:rPr>
              <w:t>2</w:t>
            </w:r>
            <w:r>
              <w:rPr>
                <w:rFonts w:hint="eastAsia" w:eastAsia="宋体"/>
                <w:b w:val="0"/>
                <w:bCs w:val="0"/>
                <w:color w:val="FF0000"/>
                <w:kern w:val="0"/>
                <w:sz w:val="21"/>
                <w:szCs w:val="21"/>
                <w:lang w:eastAsia="zh-CN"/>
              </w:rPr>
              <w:t>）</w:t>
            </w:r>
            <w:r>
              <w:rPr>
                <w:rFonts w:hint="eastAsia" w:eastAsia="宋体"/>
                <w:b w:val="0"/>
                <w:bCs w:val="0"/>
                <w:color w:val="FF0000"/>
                <w:kern w:val="0"/>
                <w:sz w:val="21"/>
                <w:szCs w:val="21"/>
              </w:rPr>
              <w:t>废气排气筒（烟囱）规范化</w:t>
            </w:r>
          </w:p>
          <w:p w14:paraId="427B6A6D">
            <w:pPr>
              <w:pStyle w:val="69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b w:val="0"/>
                <w:bCs w:val="0"/>
                <w:color w:val="FF0000"/>
                <w:kern w:val="0"/>
                <w:sz w:val="21"/>
                <w:szCs w:val="21"/>
              </w:rPr>
            </w:pPr>
            <w:r>
              <w:rPr>
                <w:rFonts w:hint="eastAsia" w:eastAsia="宋体"/>
                <w:b w:val="0"/>
                <w:bCs w:val="0"/>
                <w:color w:val="FF0000"/>
                <w:kern w:val="0"/>
                <w:sz w:val="21"/>
                <w:szCs w:val="21"/>
              </w:rPr>
              <w:t>本项目废气排放口要按要求装好标志牌。有组织排放废气的排气筒高度符合国家大气污染物排放标准的有关规定，并设置永久采样孔。根据《关于印发&lt;江苏省污染源自动监控管理办法（试行）&gt;的通知》（苏环发〔2021〕3号）要求：“单排放口VOC</w:t>
            </w:r>
            <w:r>
              <w:rPr>
                <w:rFonts w:hint="eastAsia" w:eastAsia="宋体"/>
                <w:b w:val="0"/>
                <w:bCs w:val="0"/>
                <w:color w:val="FF0000"/>
                <w:kern w:val="0"/>
                <w:sz w:val="21"/>
                <w:szCs w:val="21"/>
                <w:lang w:val="en-US" w:eastAsia="zh-CN"/>
              </w:rPr>
              <w:t>s</w:t>
            </w:r>
            <w:r>
              <w:rPr>
                <w:rFonts w:hint="eastAsia" w:eastAsia="宋体"/>
                <w:b w:val="0"/>
                <w:bCs w:val="0"/>
                <w:color w:val="FF0000"/>
                <w:kern w:val="0"/>
                <w:sz w:val="21"/>
                <w:szCs w:val="21"/>
              </w:rPr>
              <w:t>排放涉及小时废气排放量3万立方米及以上的其它行业安装VOC</w:t>
            </w:r>
            <w:r>
              <w:rPr>
                <w:rFonts w:hint="eastAsia" w:eastAsia="宋体"/>
                <w:b w:val="0"/>
                <w:bCs w:val="0"/>
                <w:color w:val="FF0000"/>
                <w:kern w:val="0"/>
                <w:sz w:val="21"/>
                <w:szCs w:val="21"/>
                <w:lang w:val="en-US" w:eastAsia="zh-CN"/>
              </w:rPr>
              <w:t>s</w:t>
            </w:r>
            <w:r>
              <w:rPr>
                <w:rFonts w:hint="eastAsia" w:eastAsia="宋体"/>
                <w:b w:val="0"/>
                <w:bCs w:val="0"/>
                <w:color w:val="FF0000"/>
                <w:kern w:val="0"/>
                <w:sz w:val="21"/>
                <w:szCs w:val="21"/>
              </w:rPr>
              <w:t>自动监测设备。”</w:t>
            </w:r>
          </w:p>
          <w:p w14:paraId="742C4969">
            <w:pPr>
              <w:pStyle w:val="69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b w:val="0"/>
                <w:bCs w:val="0"/>
                <w:color w:val="FF0000"/>
                <w:kern w:val="0"/>
                <w:sz w:val="21"/>
                <w:szCs w:val="21"/>
              </w:rPr>
            </w:pPr>
            <w:r>
              <w:rPr>
                <w:rFonts w:hint="eastAsia" w:eastAsia="宋体"/>
                <w:b w:val="0"/>
                <w:bCs w:val="0"/>
                <w:color w:val="FF0000"/>
                <w:kern w:val="0"/>
                <w:sz w:val="21"/>
                <w:szCs w:val="21"/>
                <w:lang w:eastAsia="zh-CN"/>
              </w:rPr>
              <w:t>（</w:t>
            </w:r>
            <w:r>
              <w:rPr>
                <w:rFonts w:hint="eastAsia" w:eastAsia="宋体"/>
                <w:b w:val="0"/>
                <w:bCs w:val="0"/>
                <w:color w:val="FF0000"/>
                <w:kern w:val="0"/>
                <w:sz w:val="21"/>
                <w:szCs w:val="21"/>
                <w:lang w:val="en-US" w:eastAsia="zh-CN"/>
              </w:rPr>
              <w:t>3</w:t>
            </w:r>
            <w:r>
              <w:rPr>
                <w:rFonts w:hint="eastAsia" w:eastAsia="宋体"/>
                <w:b w:val="0"/>
                <w:bCs w:val="0"/>
                <w:color w:val="FF0000"/>
                <w:kern w:val="0"/>
                <w:sz w:val="21"/>
                <w:szCs w:val="21"/>
                <w:lang w:eastAsia="zh-CN"/>
              </w:rPr>
              <w:t>）</w:t>
            </w:r>
            <w:r>
              <w:rPr>
                <w:rFonts w:hint="eastAsia" w:eastAsia="宋体"/>
                <w:b w:val="0"/>
                <w:bCs w:val="0"/>
                <w:color w:val="FF0000"/>
                <w:kern w:val="0"/>
                <w:sz w:val="21"/>
                <w:szCs w:val="21"/>
              </w:rPr>
              <w:t>固定噪声污染源扰民处规范化整治</w:t>
            </w:r>
          </w:p>
          <w:p w14:paraId="4DC829C2">
            <w:pPr>
              <w:pStyle w:val="69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b w:val="0"/>
                <w:bCs w:val="0"/>
                <w:color w:val="FF0000"/>
                <w:kern w:val="0"/>
                <w:sz w:val="21"/>
                <w:szCs w:val="21"/>
              </w:rPr>
            </w:pPr>
            <w:r>
              <w:rPr>
                <w:rFonts w:hint="eastAsia" w:eastAsia="宋体"/>
                <w:b w:val="0"/>
                <w:bCs w:val="0"/>
                <w:color w:val="FF0000"/>
                <w:kern w:val="0"/>
                <w:sz w:val="21"/>
                <w:szCs w:val="21"/>
              </w:rPr>
              <w:t>对固定噪声污染源（即其产生的噪声超标国家标准并干扰他人正常生活、工作和学习的固定噪声源）对边界影响最大处，设置环境噪声监测点，并在该处附近醒目处设置环境保护图形标志牌；边界上有若干个在声环境中相对独立的固定噪声污染源扰民处，应分别设置环境噪声监测点和环境保护图形标志牌。</w:t>
            </w:r>
          </w:p>
          <w:p w14:paraId="2355CD68">
            <w:pPr>
              <w:pStyle w:val="69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b w:val="0"/>
                <w:bCs w:val="0"/>
                <w:color w:val="FF0000"/>
                <w:kern w:val="0"/>
                <w:sz w:val="21"/>
                <w:szCs w:val="21"/>
              </w:rPr>
            </w:pPr>
            <w:r>
              <w:rPr>
                <w:rFonts w:hint="eastAsia" w:eastAsia="宋体"/>
                <w:b w:val="0"/>
                <w:bCs w:val="0"/>
                <w:color w:val="FF0000"/>
                <w:kern w:val="0"/>
                <w:sz w:val="21"/>
                <w:szCs w:val="21"/>
                <w:lang w:eastAsia="zh-CN"/>
              </w:rPr>
              <w:t>（</w:t>
            </w:r>
            <w:r>
              <w:rPr>
                <w:rFonts w:hint="eastAsia" w:eastAsia="宋体"/>
                <w:b w:val="0"/>
                <w:bCs w:val="0"/>
                <w:color w:val="FF0000"/>
                <w:kern w:val="0"/>
                <w:sz w:val="21"/>
                <w:szCs w:val="21"/>
                <w:lang w:val="en-US" w:eastAsia="zh-CN"/>
              </w:rPr>
              <w:t>4</w:t>
            </w:r>
            <w:r>
              <w:rPr>
                <w:rFonts w:hint="eastAsia" w:eastAsia="宋体"/>
                <w:b w:val="0"/>
                <w:bCs w:val="0"/>
                <w:color w:val="FF0000"/>
                <w:kern w:val="0"/>
                <w:sz w:val="21"/>
                <w:szCs w:val="21"/>
                <w:lang w:eastAsia="zh-CN"/>
              </w:rPr>
              <w:t>）</w:t>
            </w:r>
            <w:r>
              <w:rPr>
                <w:rFonts w:hint="eastAsia" w:eastAsia="宋体"/>
                <w:b w:val="0"/>
                <w:bCs w:val="0"/>
                <w:color w:val="FF0000"/>
                <w:kern w:val="0"/>
                <w:sz w:val="21"/>
                <w:szCs w:val="21"/>
              </w:rPr>
              <w:t>固废（液）堆放规范化整治</w:t>
            </w:r>
          </w:p>
          <w:p w14:paraId="73AF5872">
            <w:pPr>
              <w:pStyle w:val="69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b w:val="0"/>
                <w:bCs w:val="0"/>
                <w:color w:val="FF0000"/>
                <w:kern w:val="0"/>
                <w:sz w:val="21"/>
                <w:szCs w:val="21"/>
              </w:rPr>
            </w:pPr>
            <w:r>
              <w:rPr>
                <w:rFonts w:hint="eastAsia" w:eastAsia="宋体"/>
                <w:b w:val="0"/>
                <w:bCs w:val="0"/>
                <w:color w:val="FF0000"/>
                <w:kern w:val="0"/>
                <w:sz w:val="21"/>
                <w:szCs w:val="21"/>
              </w:rPr>
              <w:t>公司为固体废物污染防治的责任主体，应按《中华人民共和国固体废物污染环境防治法》、《危险废物贮存污染控制标准》等要求，建立风险管理及应急救援体系，执行环境监测计划、转移联单管理制度及国家和省有关转移管理的相关规定、处置过程安全操作规程、人员培训考核制度、档案管理制度、处置全过程管理制度等。同时，应通过“江苏省危险废物动态管理信息系统”（江苏省环保厅网站）进行危险废物申报登记。将危险废物的实际产生、贮存、利用、处置等情况纳入生产记录，建立危险废物管理台账和企业内部产生和收集、贮存、转移等部门危险废物交接制度。</w:t>
            </w:r>
          </w:p>
          <w:p w14:paraId="255FB98E">
            <w:pPr>
              <w:pStyle w:val="69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eastAsia="宋体"/>
                <w:b w:val="0"/>
                <w:bCs w:val="0"/>
                <w:color w:val="FF0000"/>
                <w:kern w:val="0"/>
                <w:sz w:val="21"/>
                <w:szCs w:val="21"/>
              </w:rPr>
            </w:pPr>
            <w:r>
              <w:rPr>
                <w:rFonts w:hint="eastAsia" w:eastAsia="宋体"/>
                <w:b w:val="0"/>
                <w:bCs w:val="0"/>
                <w:color w:val="FF0000"/>
                <w:kern w:val="0"/>
                <w:sz w:val="21"/>
                <w:szCs w:val="21"/>
              </w:rPr>
              <w:t>固废（液）堆场应设置环境保护图形标志牌，将生活垃圾、工业固废等分开堆放，做到防火、防扬散、防渗漏，确保不对周围环境形成二次污染。</w:t>
            </w:r>
          </w:p>
          <w:p w14:paraId="493C825A">
            <w:pPr>
              <w:pStyle w:val="69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eastAsia="宋体"/>
                <w:b w:val="0"/>
                <w:bCs w:val="0"/>
                <w:color w:val="auto"/>
                <w:kern w:val="0"/>
                <w:sz w:val="21"/>
                <w:szCs w:val="21"/>
              </w:rPr>
            </w:pPr>
          </w:p>
          <w:p w14:paraId="547352B2">
            <w:pPr>
              <w:pStyle w:val="69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eastAsia="宋体"/>
                <w:b w:val="0"/>
                <w:bCs w:val="0"/>
                <w:color w:val="auto"/>
                <w:kern w:val="0"/>
                <w:sz w:val="21"/>
                <w:szCs w:val="21"/>
              </w:rPr>
            </w:pPr>
          </w:p>
          <w:p w14:paraId="6D95B3A8">
            <w:pPr>
              <w:pStyle w:val="697"/>
              <w:widowControl w:val="0"/>
              <w:numPr>
                <w:ilvl w:val="0"/>
                <w:numId w:val="0"/>
              </w:numPr>
              <w:adjustRightInd w:val="0"/>
              <w:snapToGrid w:val="0"/>
              <w:spacing w:line="360" w:lineRule="auto"/>
              <w:jc w:val="left"/>
              <w:rPr>
                <w:rFonts w:eastAsia="宋体"/>
                <w:b/>
                <w:bCs/>
                <w:color w:val="auto"/>
                <w:kern w:val="0"/>
                <w:sz w:val="21"/>
                <w:szCs w:val="21"/>
              </w:rPr>
            </w:pPr>
          </w:p>
        </w:tc>
      </w:tr>
    </w:tbl>
    <w:p w14:paraId="5D541630">
      <w:pPr>
        <w:pStyle w:val="5"/>
        <w:rPr>
          <w:color w:val="auto"/>
        </w:rPr>
        <w:sectPr>
          <w:pgSz w:w="11907" w:h="16840"/>
          <w:pgMar w:top="1418" w:right="1361" w:bottom="1418" w:left="1361" w:header="851" w:footer="851" w:gutter="0"/>
          <w:pgBorders>
            <w:top w:val="none" w:sz="0" w:space="0"/>
            <w:left w:val="none" w:sz="0" w:space="0"/>
            <w:bottom w:val="none" w:sz="0" w:space="0"/>
            <w:right w:val="none" w:sz="0" w:space="0"/>
          </w:pgBorders>
          <w:cols w:space="720" w:num="1"/>
          <w:docGrid w:linePitch="312" w:charSpace="0"/>
        </w:sectPr>
      </w:pPr>
    </w:p>
    <w:p w14:paraId="3A8504B6">
      <w:pPr>
        <w:pStyle w:val="55"/>
        <w:rPr>
          <w:color w:val="auto"/>
        </w:rPr>
      </w:pPr>
      <w:bookmarkStart w:id="22" w:name="_Hlk54167917"/>
      <w:bookmarkStart w:id="23" w:name="_Toc21098"/>
      <w:bookmarkStart w:id="24" w:name="_Toc137559023"/>
      <w:bookmarkStart w:id="25" w:name="_Toc21167"/>
      <w:r>
        <w:rPr>
          <w:color w:val="auto"/>
        </w:rPr>
        <w:t>五、环境保护措施监督检查清单</w:t>
      </w:r>
      <w:bookmarkEnd w:id="22"/>
      <w:bookmarkEnd w:id="23"/>
      <w:bookmarkEnd w:id="24"/>
      <w:bookmarkEnd w:id="25"/>
    </w:p>
    <w:tbl>
      <w:tblPr>
        <w:tblStyle w:val="59"/>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514"/>
        <w:gridCol w:w="730"/>
        <w:gridCol w:w="540"/>
        <w:gridCol w:w="784"/>
        <w:gridCol w:w="1710"/>
        <w:gridCol w:w="2914"/>
      </w:tblGrid>
      <w:tr w14:paraId="3A8504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tcBorders>
              <w:bottom w:val="single" w:color="auto" w:sz="8" w:space="0"/>
              <w:tl2br w:val="single" w:color="auto" w:sz="4" w:space="0"/>
            </w:tcBorders>
            <w:vAlign w:val="center"/>
          </w:tcPr>
          <w:p w14:paraId="3A8504B7">
            <w:pPr>
              <w:adjustRightInd w:val="0"/>
              <w:snapToGrid w:val="0"/>
              <w:jc w:val="right"/>
              <w:rPr>
                <w:b/>
                <w:color w:val="auto"/>
              </w:rPr>
            </w:pPr>
            <w:r>
              <w:rPr>
                <w:b/>
                <w:color w:val="auto"/>
              </w:rPr>
              <w:t>内容</w:t>
            </w:r>
          </w:p>
          <w:p w14:paraId="3A8504B8">
            <w:pPr>
              <w:adjustRightInd w:val="0"/>
              <w:snapToGrid w:val="0"/>
              <w:jc w:val="left"/>
              <w:rPr>
                <w:b/>
                <w:color w:val="auto"/>
              </w:rPr>
            </w:pPr>
            <w:r>
              <w:rPr>
                <w:b/>
                <w:color w:val="auto"/>
              </w:rPr>
              <w:t>要素</w:t>
            </w:r>
          </w:p>
        </w:tc>
        <w:tc>
          <w:tcPr>
            <w:tcW w:w="836" w:type="pct"/>
            <w:tcBorders>
              <w:bottom w:val="single" w:color="auto" w:sz="8" w:space="0"/>
            </w:tcBorders>
            <w:vAlign w:val="center"/>
          </w:tcPr>
          <w:p w14:paraId="3A8504B9">
            <w:pPr>
              <w:adjustRightInd w:val="0"/>
              <w:snapToGrid w:val="0"/>
              <w:jc w:val="center"/>
              <w:rPr>
                <w:b/>
                <w:color w:val="auto"/>
              </w:rPr>
            </w:pPr>
            <w:r>
              <w:rPr>
                <w:b/>
                <w:color w:val="auto"/>
              </w:rPr>
              <w:t>排放口</w:t>
            </w:r>
            <w:r>
              <w:rPr>
                <w:rFonts w:hint="eastAsia"/>
                <w:b/>
                <w:color w:val="auto"/>
              </w:rPr>
              <w:t>（</w:t>
            </w:r>
            <w:r>
              <w:rPr>
                <w:b/>
                <w:color w:val="auto"/>
              </w:rPr>
              <w:t>编号、名称</w:t>
            </w:r>
            <w:r>
              <w:rPr>
                <w:rFonts w:hint="eastAsia"/>
                <w:b/>
                <w:color w:val="auto"/>
              </w:rPr>
              <w:t>）</w:t>
            </w:r>
            <w:r>
              <w:rPr>
                <w:b/>
                <w:color w:val="auto"/>
              </w:rPr>
              <w:t>/污染源</w:t>
            </w:r>
          </w:p>
        </w:tc>
        <w:tc>
          <w:tcPr>
            <w:tcW w:w="701" w:type="pct"/>
            <w:gridSpan w:val="2"/>
            <w:tcBorders>
              <w:bottom w:val="single" w:color="auto" w:sz="8" w:space="0"/>
            </w:tcBorders>
            <w:vAlign w:val="center"/>
          </w:tcPr>
          <w:p w14:paraId="3A8504BA">
            <w:pPr>
              <w:adjustRightInd w:val="0"/>
              <w:snapToGrid w:val="0"/>
              <w:jc w:val="center"/>
              <w:rPr>
                <w:b/>
                <w:color w:val="auto"/>
              </w:rPr>
            </w:pPr>
            <w:r>
              <w:rPr>
                <w:b/>
                <w:color w:val="auto"/>
              </w:rPr>
              <w:t>污染物项目</w:t>
            </w:r>
          </w:p>
        </w:tc>
        <w:tc>
          <w:tcPr>
            <w:tcW w:w="1377" w:type="pct"/>
            <w:gridSpan w:val="2"/>
            <w:tcBorders>
              <w:bottom w:val="single" w:color="auto" w:sz="8" w:space="0"/>
            </w:tcBorders>
            <w:vAlign w:val="center"/>
          </w:tcPr>
          <w:p w14:paraId="3A8504BB">
            <w:pPr>
              <w:adjustRightInd w:val="0"/>
              <w:snapToGrid w:val="0"/>
              <w:jc w:val="center"/>
              <w:rPr>
                <w:b/>
                <w:color w:val="auto"/>
              </w:rPr>
            </w:pPr>
            <w:r>
              <w:rPr>
                <w:b/>
                <w:color w:val="auto"/>
              </w:rPr>
              <w:t>环境保护措施</w:t>
            </w:r>
          </w:p>
        </w:tc>
        <w:tc>
          <w:tcPr>
            <w:tcW w:w="1609" w:type="pct"/>
            <w:tcBorders>
              <w:bottom w:val="single" w:color="auto" w:sz="8" w:space="0"/>
            </w:tcBorders>
            <w:vAlign w:val="center"/>
          </w:tcPr>
          <w:p w14:paraId="3A8504BC">
            <w:pPr>
              <w:adjustRightInd w:val="0"/>
              <w:snapToGrid w:val="0"/>
              <w:jc w:val="center"/>
              <w:rPr>
                <w:b/>
                <w:color w:val="auto"/>
              </w:rPr>
            </w:pPr>
            <w:r>
              <w:rPr>
                <w:b/>
                <w:color w:val="auto"/>
              </w:rPr>
              <w:t>执行标准</w:t>
            </w:r>
          </w:p>
        </w:tc>
      </w:tr>
      <w:tr w14:paraId="3A8504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restart"/>
            <w:tcBorders>
              <w:top w:val="single" w:color="auto" w:sz="8" w:space="0"/>
              <w:bottom w:val="single" w:color="auto" w:sz="8" w:space="0"/>
              <w:right w:val="single" w:color="auto" w:sz="8" w:space="0"/>
            </w:tcBorders>
            <w:vAlign w:val="center"/>
          </w:tcPr>
          <w:p w14:paraId="3A8504BE">
            <w:pPr>
              <w:adjustRightInd w:val="0"/>
              <w:snapToGrid w:val="0"/>
              <w:jc w:val="center"/>
              <w:rPr>
                <w:color w:val="auto"/>
              </w:rPr>
            </w:pPr>
            <w:r>
              <w:rPr>
                <w:color w:val="auto"/>
              </w:rPr>
              <w:t>大气</w:t>
            </w:r>
          </w:p>
          <w:p w14:paraId="3A8504BF">
            <w:pPr>
              <w:adjustRightInd w:val="0"/>
              <w:snapToGrid w:val="0"/>
              <w:jc w:val="center"/>
              <w:rPr>
                <w:color w:val="auto"/>
              </w:rPr>
            </w:pPr>
            <w:r>
              <w:rPr>
                <w:color w:val="auto"/>
              </w:rPr>
              <w:t>环境</w:t>
            </w:r>
          </w:p>
        </w:tc>
        <w:tc>
          <w:tcPr>
            <w:tcW w:w="836" w:type="pct"/>
            <w:vMerge w:val="restart"/>
            <w:tcBorders>
              <w:top w:val="single" w:color="auto" w:sz="8" w:space="0"/>
              <w:left w:val="single" w:color="auto" w:sz="8" w:space="0"/>
              <w:bottom w:val="single" w:color="auto" w:sz="8" w:space="0"/>
              <w:right w:val="single" w:color="auto" w:sz="8" w:space="0"/>
            </w:tcBorders>
            <w:vAlign w:val="center"/>
          </w:tcPr>
          <w:p w14:paraId="3A8504C0">
            <w:pPr>
              <w:adjustRightInd w:val="0"/>
              <w:snapToGrid w:val="0"/>
              <w:jc w:val="center"/>
              <w:rPr>
                <w:color w:val="auto"/>
              </w:rPr>
            </w:pPr>
            <w:r>
              <w:rPr>
                <w:rFonts w:hint="eastAsia"/>
                <w:color w:val="auto"/>
              </w:rPr>
              <w:t>有组织</w:t>
            </w: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3A8504C1">
            <w:pPr>
              <w:pStyle w:val="656"/>
              <w:snapToGrid w:val="0"/>
              <w:rPr>
                <w:color w:val="auto"/>
                <w:sz w:val="21"/>
                <w:szCs w:val="21"/>
              </w:rPr>
            </w:pPr>
            <w:r>
              <w:rPr>
                <w:rFonts w:hint="eastAsia" w:eastAsia="宋体"/>
                <w:color w:val="auto"/>
                <w:sz w:val="21"/>
                <w:szCs w:val="21"/>
                <w:lang w:val="en-US" w:eastAsia="zh-CN"/>
              </w:rPr>
              <w:t>颗粒物</w:t>
            </w:r>
          </w:p>
        </w:tc>
        <w:tc>
          <w:tcPr>
            <w:tcW w:w="1377" w:type="pct"/>
            <w:gridSpan w:val="2"/>
            <w:vMerge w:val="restart"/>
            <w:tcBorders>
              <w:top w:val="single" w:color="auto" w:sz="8" w:space="0"/>
              <w:left w:val="single" w:color="auto" w:sz="8" w:space="0"/>
              <w:right w:val="single" w:color="auto" w:sz="8" w:space="0"/>
            </w:tcBorders>
            <w:vAlign w:val="center"/>
          </w:tcPr>
          <w:p w14:paraId="3A8504C2">
            <w:pPr>
              <w:adjustRightInd w:val="0"/>
              <w:snapToGrid w:val="0"/>
              <w:jc w:val="center"/>
              <w:rPr>
                <w:color w:val="auto"/>
              </w:rPr>
            </w:pPr>
            <w:r>
              <w:rPr>
                <w:rFonts w:hint="eastAsia"/>
                <w:color w:val="auto"/>
              </w:rPr>
              <w:t>经</w:t>
            </w:r>
            <w:r>
              <w:rPr>
                <w:rFonts w:hint="eastAsia"/>
                <w:color w:val="auto"/>
                <w:lang w:eastAsia="zh-CN"/>
              </w:rPr>
              <w:t>“</w:t>
            </w:r>
            <w:r>
              <w:rPr>
                <w:rFonts w:hint="eastAsia"/>
                <w:color w:val="auto"/>
              </w:rPr>
              <w:t>SNCR脱硝+急冷除盐+干粉吸收+布袋除尘+臭氧氧化+碱喷淋吸收</w:t>
            </w:r>
            <w:r>
              <w:rPr>
                <w:rFonts w:hint="eastAsia"/>
                <w:color w:val="auto"/>
                <w:lang w:eastAsia="zh-CN"/>
              </w:rPr>
              <w:t>”</w:t>
            </w:r>
            <w:r>
              <w:rPr>
                <w:rFonts w:hint="eastAsia"/>
                <w:color w:val="auto"/>
                <w:lang w:val="en-US" w:eastAsia="zh-CN"/>
              </w:rPr>
              <w:t>装置</w:t>
            </w:r>
            <w:r>
              <w:rPr>
                <w:rFonts w:hint="eastAsia"/>
                <w:color w:val="auto"/>
              </w:rPr>
              <w:t>处理后通过</w:t>
            </w:r>
            <w:r>
              <w:rPr>
                <w:rFonts w:hint="eastAsia"/>
                <w:color w:val="auto"/>
                <w:lang w:val="en-US" w:eastAsia="zh-CN"/>
              </w:rPr>
              <w:t>25</w:t>
            </w:r>
            <w:r>
              <w:rPr>
                <w:rFonts w:hint="eastAsia"/>
                <w:color w:val="auto"/>
              </w:rPr>
              <w:t>m高的排气筒</w:t>
            </w:r>
            <w:r>
              <w:rPr>
                <w:rFonts w:hint="eastAsia"/>
                <w:color w:val="auto"/>
                <w:lang w:val="en-US" w:eastAsia="zh-CN"/>
              </w:rPr>
              <w:t>3#</w:t>
            </w:r>
            <w:r>
              <w:rPr>
                <w:rFonts w:hint="eastAsia"/>
                <w:color w:val="auto"/>
              </w:rPr>
              <w:t>排放</w:t>
            </w:r>
          </w:p>
        </w:tc>
        <w:tc>
          <w:tcPr>
            <w:tcW w:w="1609" w:type="pct"/>
            <w:vMerge w:val="restart"/>
            <w:tcBorders>
              <w:top w:val="single" w:color="auto" w:sz="8" w:space="0"/>
              <w:left w:val="single" w:color="auto" w:sz="8" w:space="0"/>
            </w:tcBorders>
            <w:vAlign w:val="center"/>
          </w:tcPr>
          <w:p w14:paraId="3A8504C3">
            <w:pPr>
              <w:adjustRightInd w:val="0"/>
              <w:snapToGrid w:val="0"/>
              <w:jc w:val="center"/>
              <w:rPr>
                <w:color w:val="auto"/>
              </w:rPr>
            </w:pPr>
            <w:r>
              <w:rPr>
                <w:rFonts w:hint="eastAsia"/>
                <w:color w:val="auto"/>
                <w:kern w:val="0"/>
              </w:rPr>
              <w:t>《危险废物焚烧污染控制标准》（GB 18484-2020）</w:t>
            </w:r>
            <w:r>
              <w:rPr>
                <w:rFonts w:hint="eastAsia"/>
                <w:color w:val="auto"/>
                <w:kern w:val="0"/>
                <w:lang w:val="en-US" w:eastAsia="zh-CN"/>
              </w:rPr>
              <w:t>表3</w:t>
            </w:r>
          </w:p>
        </w:tc>
      </w:tr>
      <w:tr w14:paraId="3F10A5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continue"/>
            <w:tcBorders>
              <w:top w:val="single" w:color="auto" w:sz="8" w:space="0"/>
              <w:bottom w:val="single" w:color="auto" w:sz="8" w:space="0"/>
              <w:right w:val="single" w:color="auto" w:sz="8" w:space="0"/>
            </w:tcBorders>
            <w:vAlign w:val="center"/>
          </w:tcPr>
          <w:p w14:paraId="2F9D84CF">
            <w:pPr>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3D6F8C06">
            <w:pPr>
              <w:adjustRightInd w:val="0"/>
              <w:snapToGrid w:val="0"/>
              <w:jc w:val="center"/>
              <w:rPr>
                <w:rFonts w:hint="eastAsia"/>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37D528FD">
            <w:pPr>
              <w:pStyle w:val="656"/>
              <w:snapToGrid w:val="0"/>
              <w:rPr>
                <w:rFonts w:hint="eastAsia"/>
                <w:color w:val="auto"/>
                <w:sz w:val="21"/>
                <w:szCs w:val="21"/>
              </w:rPr>
            </w:pPr>
            <w:r>
              <w:rPr>
                <w:rFonts w:hint="eastAsia" w:eastAsia="宋体"/>
                <w:color w:val="auto"/>
                <w:sz w:val="21"/>
                <w:szCs w:val="21"/>
                <w:lang w:val="en-US" w:eastAsia="zh-CN"/>
              </w:rPr>
              <w:t>SO</w:t>
            </w:r>
            <w:r>
              <w:rPr>
                <w:rFonts w:hint="eastAsia" w:eastAsia="宋体"/>
                <w:color w:val="auto"/>
                <w:sz w:val="21"/>
                <w:szCs w:val="21"/>
                <w:vertAlign w:val="subscript"/>
                <w:lang w:val="en-US" w:eastAsia="zh-CN"/>
              </w:rPr>
              <w:t>2</w:t>
            </w:r>
          </w:p>
        </w:tc>
        <w:tc>
          <w:tcPr>
            <w:tcW w:w="1377" w:type="pct"/>
            <w:gridSpan w:val="2"/>
            <w:vMerge w:val="continue"/>
            <w:tcBorders>
              <w:left w:val="single" w:color="auto" w:sz="8" w:space="0"/>
              <w:right w:val="single" w:color="auto" w:sz="8" w:space="0"/>
            </w:tcBorders>
            <w:vAlign w:val="center"/>
          </w:tcPr>
          <w:p w14:paraId="48169F45">
            <w:pPr>
              <w:adjustRightInd w:val="0"/>
              <w:snapToGrid w:val="0"/>
              <w:jc w:val="center"/>
              <w:rPr>
                <w:rFonts w:hint="eastAsia"/>
                <w:color w:val="auto"/>
              </w:rPr>
            </w:pPr>
          </w:p>
        </w:tc>
        <w:tc>
          <w:tcPr>
            <w:tcW w:w="1609" w:type="pct"/>
            <w:vMerge w:val="continue"/>
            <w:tcBorders>
              <w:left w:val="single" w:color="auto" w:sz="8" w:space="0"/>
            </w:tcBorders>
            <w:vAlign w:val="center"/>
          </w:tcPr>
          <w:p w14:paraId="733E1444">
            <w:pPr>
              <w:adjustRightInd w:val="0"/>
              <w:snapToGrid w:val="0"/>
              <w:jc w:val="center"/>
              <w:rPr>
                <w:rFonts w:hint="eastAsia"/>
                <w:color w:val="auto"/>
                <w:kern w:val="0"/>
              </w:rPr>
            </w:pPr>
          </w:p>
        </w:tc>
      </w:tr>
      <w:tr w14:paraId="610091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continue"/>
            <w:tcBorders>
              <w:top w:val="single" w:color="auto" w:sz="8" w:space="0"/>
              <w:bottom w:val="single" w:color="auto" w:sz="8" w:space="0"/>
              <w:right w:val="single" w:color="auto" w:sz="8" w:space="0"/>
            </w:tcBorders>
            <w:vAlign w:val="center"/>
          </w:tcPr>
          <w:p w14:paraId="6D93F0C5">
            <w:pPr>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0CCE6452">
            <w:pPr>
              <w:adjustRightInd w:val="0"/>
              <w:snapToGrid w:val="0"/>
              <w:jc w:val="center"/>
              <w:rPr>
                <w:rFonts w:hint="eastAsia"/>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760FA9A5">
            <w:pPr>
              <w:pStyle w:val="656"/>
              <w:snapToGrid w:val="0"/>
              <w:rPr>
                <w:rFonts w:hint="eastAsia"/>
                <w:color w:val="auto"/>
                <w:sz w:val="21"/>
                <w:szCs w:val="21"/>
              </w:rPr>
            </w:pPr>
            <w:r>
              <w:rPr>
                <w:rFonts w:hint="eastAsia" w:eastAsia="宋体"/>
                <w:color w:val="auto"/>
                <w:sz w:val="21"/>
                <w:szCs w:val="21"/>
                <w:lang w:val="en-US" w:eastAsia="zh-CN"/>
              </w:rPr>
              <w:t>NOx</w:t>
            </w:r>
          </w:p>
        </w:tc>
        <w:tc>
          <w:tcPr>
            <w:tcW w:w="1377" w:type="pct"/>
            <w:gridSpan w:val="2"/>
            <w:vMerge w:val="continue"/>
            <w:tcBorders>
              <w:left w:val="single" w:color="auto" w:sz="8" w:space="0"/>
              <w:right w:val="single" w:color="auto" w:sz="8" w:space="0"/>
            </w:tcBorders>
            <w:vAlign w:val="center"/>
          </w:tcPr>
          <w:p w14:paraId="73E0490A">
            <w:pPr>
              <w:adjustRightInd w:val="0"/>
              <w:snapToGrid w:val="0"/>
              <w:jc w:val="center"/>
              <w:rPr>
                <w:rFonts w:hint="eastAsia"/>
                <w:color w:val="auto"/>
              </w:rPr>
            </w:pPr>
          </w:p>
        </w:tc>
        <w:tc>
          <w:tcPr>
            <w:tcW w:w="1609" w:type="pct"/>
            <w:vMerge w:val="continue"/>
            <w:tcBorders>
              <w:left w:val="single" w:color="auto" w:sz="8" w:space="0"/>
            </w:tcBorders>
            <w:vAlign w:val="center"/>
          </w:tcPr>
          <w:p w14:paraId="7BC26EAE">
            <w:pPr>
              <w:adjustRightInd w:val="0"/>
              <w:snapToGrid w:val="0"/>
              <w:jc w:val="center"/>
              <w:rPr>
                <w:rFonts w:hint="eastAsia"/>
                <w:color w:val="auto"/>
                <w:kern w:val="0"/>
              </w:rPr>
            </w:pPr>
          </w:p>
        </w:tc>
      </w:tr>
      <w:tr w14:paraId="4F5F7D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continue"/>
            <w:tcBorders>
              <w:top w:val="single" w:color="auto" w:sz="8" w:space="0"/>
              <w:bottom w:val="single" w:color="auto" w:sz="8" w:space="0"/>
              <w:right w:val="single" w:color="auto" w:sz="8" w:space="0"/>
            </w:tcBorders>
            <w:vAlign w:val="center"/>
          </w:tcPr>
          <w:p w14:paraId="16E08E64">
            <w:pPr>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2198F05A">
            <w:pPr>
              <w:adjustRightInd w:val="0"/>
              <w:snapToGrid w:val="0"/>
              <w:jc w:val="center"/>
              <w:rPr>
                <w:rFonts w:hint="eastAsia"/>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5BABFCB6">
            <w:pPr>
              <w:pStyle w:val="656"/>
              <w:snapToGrid w:val="0"/>
              <w:rPr>
                <w:rFonts w:hint="eastAsia"/>
                <w:color w:val="auto"/>
                <w:sz w:val="21"/>
                <w:szCs w:val="21"/>
              </w:rPr>
            </w:pPr>
            <w:r>
              <w:rPr>
                <w:rFonts w:hint="eastAsia" w:eastAsia="宋体"/>
                <w:color w:val="auto"/>
                <w:sz w:val="21"/>
                <w:szCs w:val="21"/>
                <w:lang w:val="en-US" w:eastAsia="zh-CN"/>
              </w:rPr>
              <w:t>CO</w:t>
            </w:r>
          </w:p>
        </w:tc>
        <w:tc>
          <w:tcPr>
            <w:tcW w:w="1377" w:type="pct"/>
            <w:gridSpan w:val="2"/>
            <w:vMerge w:val="continue"/>
            <w:tcBorders>
              <w:left w:val="single" w:color="auto" w:sz="8" w:space="0"/>
              <w:right w:val="single" w:color="auto" w:sz="8" w:space="0"/>
            </w:tcBorders>
            <w:vAlign w:val="center"/>
          </w:tcPr>
          <w:p w14:paraId="77B88C4B">
            <w:pPr>
              <w:adjustRightInd w:val="0"/>
              <w:snapToGrid w:val="0"/>
              <w:jc w:val="center"/>
              <w:rPr>
                <w:rFonts w:hint="eastAsia"/>
                <w:color w:val="auto"/>
              </w:rPr>
            </w:pPr>
          </w:p>
        </w:tc>
        <w:tc>
          <w:tcPr>
            <w:tcW w:w="1609" w:type="pct"/>
            <w:vMerge w:val="continue"/>
            <w:tcBorders>
              <w:left w:val="single" w:color="auto" w:sz="8" w:space="0"/>
            </w:tcBorders>
            <w:vAlign w:val="center"/>
          </w:tcPr>
          <w:p w14:paraId="6316CEDD">
            <w:pPr>
              <w:adjustRightInd w:val="0"/>
              <w:snapToGrid w:val="0"/>
              <w:jc w:val="center"/>
              <w:rPr>
                <w:rFonts w:hint="eastAsia"/>
                <w:color w:val="auto"/>
                <w:kern w:val="0"/>
              </w:rPr>
            </w:pPr>
          </w:p>
        </w:tc>
      </w:tr>
      <w:tr w14:paraId="007210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continue"/>
            <w:tcBorders>
              <w:top w:val="single" w:color="auto" w:sz="8" w:space="0"/>
              <w:bottom w:val="single" w:color="auto" w:sz="8" w:space="0"/>
              <w:right w:val="single" w:color="auto" w:sz="8" w:space="0"/>
            </w:tcBorders>
            <w:vAlign w:val="center"/>
          </w:tcPr>
          <w:p w14:paraId="1C57A407">
            <w:pPr>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14A4EE3D">
            <w:pPr>
              <w:adjustRightInd w:val="0"/>
              <w:snapToGrid w:val="0"/>
              <w:jc w:val="center"/>
              <w:rPr>
                <w:rFonts w:hint="eastAsia"/>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621AF83A">
            <w:pPr>
              <w:pStyle w:val="656"/>
              <w:snapToGrid w:val="0"/>
              <w:rPr>
                <w:rFonts w:hint="eastAsia"/>
                <w:color w:val="auto"/>
                <w:sz w:val="21"/>
                <w:szCs w:val="21"/>
              </w:rPr>
            </w:pPr>
            <w:r>
              <w:rPr>
                <w:rFonts w:hint="eastAsia" w:eastAsia="宋体"/>
                <w:color w:val="auto"/>
                <w:sz w:val="21"/>
                <w:szCs w:val="21"/>
                <w:lang w:val="en-US" w:eastAsia="zh-CN"/>
              </w:rPr>
              <w:t>HCl</w:t>
            </w:r>
          </w:p>
        </w:tc>
        <w:tc>
          <w:tcPr>
            <w:tcW w:w="1377" w:type="pct"/>
            <w:gridSpan w:val="2"/>
            <w:vMerge w:val="continue"/>
            <w:tcBorders>
              <w:left w:val="single" w:color="auto" w:sz="8" w:space="0"/>
              <w:right w:val="single" w:color="auto" w:sz="8" w:space="0"/>
            </w:tcBorders>
            <w:vAlign w:val="center"/>
          </w:tcPr>
          <w:p w14:paraId="7443ABF2">
            <w:pPr>
              <w:adjustRightInd w:val="0"/>
              <w:snapToGrid w:val="0"/>
              <w:jc w:val="center"/>
              <w:rPr>
                <w:rFonts w:hint="eastAsia"/>
                <w:color w:val="auto"/>
              </w:rPr>
            </w:pPr>
          </w:p>
        </w:tc>
        <w:tc>
          <w:tcPr>
            <w:tcW w:w="1609" w:type="pct"/>
            <w:vMerge w:val="continue"/>
            <w:tcBorders>
              <w:left w:val="single" w:color="auto" w:sz="8" w:space="0"/>
            </w:tcBorders>
            <w:vAlign w:val="center"/>
          </w:tcPr>
          <w:p w14:paraId="2C326ABE">
            <w:pPr>
              <w:adjustRightInd w:val="0"/>
              <w:snapToGrid w:val="0"/>
              <w:jc w:val="center"/>
              <w:rPr>
                <w:rFonts w:hint="eastAsia"/>
                <w:color w:val="auto"/>
                <w:kern w:val="0"/>
              </w:rPr>
            </w:pPr>
          </w:p>
        </w:tc>
      </w:tr>
      <w:tr w14:paraId="709757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continue"/>
            <w:tcBorders>
              <w:top w:val="single" w:color="auto" w:sz="8" w:space="0"/>
              <w:bottom w:val="single" w:color="auto" w:sz="8" w:space="0"/>
              <w:right w:val="single" w:color="auto" w:sz="8" w:space="0"/>
            </w:tcBorders>
            <w:vAlign w:val="center"/>
          </w:tcPr>
          <w:p w14:paraId="23FD4EA0">
            <w:pPr>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7D2407B2">
            <w:pPr>
              <w:adjustRightInd w:val="0"/>
              <w:snapToGrid w:val="0"/>
              <w:jc w:val="center"/>
              <w:rPr>
                <w:rFonts w:hint="eastAsia"/>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19C82757">
            <w:pPr>
              <w:pStyle w:val="656"/>
              <w:snapToGrid w:val="0"/>
              <w:rPr>
                <w:rFonts w:hint="eastAsia"/>
                <w:color w:val="auto"/>
                <w:sz w:val="21"/>
                <w:szCs w:val="21"/>
              </w:rPr>
            </w:pPr>
            <w:r>
              <w:rPr>
                <w:rFonts w:hint="eastAsia" w:eastAsia="宋体"/>
                <w:color w:val="auto"/>
                <w:sz w:val="21"/>
                <w:szCs w:val="21"/>
                <w:lang w:val="en-US" w:eastAsia="zh-CN"/>
              </w:rPr>
              <w:t>铜及其化合物（以Cu计）</w:t>
            </w:r>
          </w:p>
        </w:tc>
        <w:tc>
          <w:tcPr>
            <w:tcW w:w="1377" w:type="pct"/>
            <w:gridSpan w:val="2"/>
            <w:vMerge w:val="continue"/>
            <w:tcBorders>
              <w:left w:val="single" w:color="auto" w:sz="8" w:space="0"/>
              <w:right w:val="single" w:color="auto" w:sz="8" w:space="0"/>
            </w:tcBorders>
            <w:vAlign w:val="center"/>
          </w:tcPr>
          <w:p w14:paraId="10254632">
            <w:pPr>
              <w:adjustRightInd w:val="0"/>
              <w:snapToGrid w:val="0"/>
              <w:jc w:val="center"/>
              <w:rPr>
                <w:rFonts w:hint="eastAsia"/>
                <w:color w:val="auto"/>
              </w:rPr>
            </w:pPr>
          </w:p>
        </w:tc>
        <w:tc>
          <w:tcPr>
            <w:tcW w:w="1609" w:type="pct"/>
            <w:vMerge w:val="continue"/>
            <w:tcBorders>
              <w:left w:val="single" w:color="auto" w:sz="8" w:space="0"/>
            </w:tcBorders>
            <w:vAlign w:val="center"/>
          </w:tcPr>
          <w:p w14:paraId="40218462">
            <w:pPr>
              <w:adjustRightInd w:val="0"/>
              <w:snapToGrid w:val="0"/>
              <w:jc w:val="center"/>
              <w:rPr>
                <w:rFonts w:hint="eastAsia"/>
                <w:color w:val="auto"/>
                <w:kern w:val="0"/>
              </w:rPr>
            </w:pPr>
          </w:p>
        </w:tc>
      </w:tr>
      <w:tr w14:paraId="1B8221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continue"/>
            <w:tcBorders>
              <w:top w:val="single" w:color="auto" w:sz="8" w:space="0"/>
              <w:bottom w:val="single" w:color="auto" w:sz="8" w:space="0"/>
              <w:right w:val="single" w:color="auto" w:sz="8" w:space="0"/>
            </w:tcBorders>
            <w:vAlign w:val="center"/>
          </w:tcPr>
          <w:p w14:paraId="666815DE">
            <w:pPr>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7CA8327B">
            <w:pPr>
              <w:adjustRightInd w:val="0"/>
              <w:snapToGrid w:val="0"/>
              <w:jc w:val="center"/>
              <w:rPr>
                <w:rFonts w:hint="eastAsia"/>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54646AF7">
            <w:pPr>
              <w:pStyle w:val="656"/>
              <w:snapToGrid w:val="0"/>
              <w:rPr>
                <w:rFonts w:hint="eastAsia"/>
                <w:color w:val="auto"/>
                <w:sz w:val="21"/>
                <w:szCs w:val="21"/>
              </w:rPr>
            </w:pPr>
            <w:r>
              <w:rPr>
                <w:rFonts w:hint="eastAsia" w:eastAsia="宋体"/>
                <w:color w:val="auto"/>
                <w:sz w:val="21"/>
                <w:szCs w:val="21"/>
                <w:lang w:val="en-US" w:eastAsia="zh-CN"/>
              </w:rPr>
              <w:t>二噁英类</w:t>
            </w:r>
          </w:p>
        </w:tc>
        <w:tc>
          <w:tcPr>
            <w:tcW w:w="1377" w:type="pct"/>
            <w:gridSpan w:val="2"/>
            <w:vMerge w:val="continue"/>
            <w:tcBorders>
              <w:left w:val="single" w:color="auto" w:sz="8" w:space="0"/>
              <w:right w:val="single" w:color="auto" w:sz="8" w:space="0"/>
            </w:tcBorders>
            <w:vAlign w:val="center"/>
          </w:tcPr>
          <w:p w14:paraId="69EEF6F6">
            <w:pPr>
              <w:adjustRightInd w:val="0"/>
              <w:snapToGrid w:val="0"/>
              <w:jc w:val="center"/>
              <w:rPr>
                <w:rFonts w:hint="eastAsia"/>
                <w:color w:val="auto"/>
              </w:rPr>
            </w:pPr>
          </w:p>
        </w:tc>
        <w:tc>
          <w:tcPr>
            <w:tcW w:w="1609" w:type="pct"/>
            <w:vMerge w:val="continue"/>
            <w:tcBorders>
              <w:left w:val="single" w:color="auto" w:sz="8" w:space="0"/>
              <w:bottom w:val="single" w:color="auto" w:sz="8" w:space="0"/>
            </w:tcBorders>
            <w:vAlign w:val="center"/>
          </w:tcPr>
          <w:p w14:paraId="2CC1ACBE">
            <w:pPr>
              <w:adjustRightInd w:val="0"/>
              <w:snapToGrid w:val="0"/>
              <w:jc w:val="center"/>
              <w:rPr>
                <w:rFonts w:hint="eastAsia"/>
                <w:color w:val="auto"/>
                <w:kern w:val="0"/>
              </w:rPr>
            </w:pPr>
          </w:p>
        </w:tc>
      </w:tr>
      <w:tr w14:paraId="3DCAFB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continue"/>
            <w:tcBorders>
              <w:top w:val="single" w:color="auto" w:sz="8" w:space="0"/>
              <w:bottom w:val="single" w:color="auto" w:sz="8" w:space="0"/>
              <w:right w:val="single" w:color="auto" w:sz="8" w:space="0"/>
            </w:tcBorders>
            <w:vAlign w:val="center"/>
          </w:tcPr>
          <w:p w14:paraId="6D406286">
            <w:pPr>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28B9BC05">
            <w:pPr>
              <w:adjustRightInd w:val="0"/>
              <w:snapToGrid w:val="0"/>
              <w:jc w:val="center"/>
              <w:rPr>
                <w:rFonts w:hint="eastAsia"/>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43E37EE1">
            <w:pPr>
              <w:pStyle w:val="656"/>
              <w:snapToGrid w:val="0"/>
              <w:rPr>
                <w:rFonts w:hint="eastAsia"/>
                <w:color w:val="auto"/>
                <w:sz w:val="21"/>
                <w:szCs w:val="21"/>
              </w:rPr>
            </w:pPr>
            <w:r>
              <w:rPr>
                <w:rFonts w:hint="eastAsia" w:eastAsia="宋体"/>
                <w:color w:val="auto"/>
                <w:sz w:val="21"/>
                <w:szCs w:val="21"/>
                <w:lang w:val="en-US" w:eastAsia="zh-CN"/>
              </w:rPr>
              <w:t>氨</w:t>
            </w:r>
          </w:p>
        </w:tc>
        <w:tc>
          <w:tcPr>
            <w:tcW w:w="1377" w:type="pct"/>
            <w:gridSpan w:val="2"/>
            <w:vMerge w:val="continue"/>
            <w:tcBorders>
              <w:left w:val="single" w:color="auto" w:sz="8" w:space="0"/>
              <w:right w:val="single" w:color="auto" w:sz="8" w:space="0"/>
            </w:tcBorders>
            <w:vAlign w:val="center"/>
          </w:tcPr>
          <w:p w14:paraId="61D5472C">
            <w:pPr>
              <w:adjustRightInd w:val="0"/>
              <w:snapToGrid w:val="0"/>
              <w:jc w:val="center"/>
              <w:rPr>
                <w:rFonts w:hint="eastAsia"/>
                <w:color w:val="auto"/>
              </w:rPr>
            </w:pPr>
          </w:p>
        </w:tc>
        <w:tc>
          <w:tcPr>
            <w:tcW w:w="1609" w:type="pct"/>
            <w:tcBorders>
              <w:top w:val="single" w:color="auto" w:sz="8" w:space="0"/>
              <w:left w:val="single" w:color="auto" w:sz="8" w:space="0"/>
              <w:bottom w:val="single" w:color="auto" w:sz="8" w:space="0"/>
            </w:tcBorders>
            <w:vAlign w:val="center"/>
          </w:tcPr>
          <w:p w14:paraId="646BF5FD">
            <w:pPr>
              <w:jc w:val="center"/>
              <w:rPr>
                <w:rFonts w:hint="eastAsia"/>
                <w:color w:val="auto"/>
                <w:kern w:val="0"/>
              </w:rPr>
            </w:pPr>
            <w:r>
              <w:rPr>
                <w:rFonts w:hint="eastAsia"/>
                <w:bCs/>
                <w:color w:val="auto"/>
                <w:kern w:val="0"/>
              </w:rPr>
              <w:t>《恶臭污染物排放标准》（GB14554-1993）</w:t>
            </w:r>
          </w:p>
        </w:tc>
      </w:tr>
      <w:tr w14:paraId="6AE1D9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continue"/>
            <w:tcBorders>
              <w:top w:val="single" w:color="auto" w:sz="8" w:space="0"/>
              <w:bottom w:val="single" w:color="auto" w:sz="8" w:space="0"/>
              <w:right w:val="single" w:color="auto" w:sz="8" w:space="0"/>
            </w:tcBorders>
            <w:vAlign w:val="center"/>
          </w:tcPr>
          <w:p w14:paraId="084BB843">
            <w:pPr>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3C803111">
            <w:pPr>
              <w:adjustRightInd w:val="0"/>
              <w:snapToGrid w:val="0"/>
              <w:jc w:val="center"/>
              <w:rPr>
                <w:rFonts w:hint="eastAsia"/>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5EB47CB2">
            <w:pPr>
              <w:pStyle w:val="656"/>
              <w:snapToGrid w:val="0"/>
              <w:rPr>
                <w:rFonts w:hint="eastAsia"/>
                <w:color w:val="auto"/>
                <w:sz w:val="21"/>
                <w:szCs w:val="21"/>
              </w:rPr>
            </w:pPr>
            <w:r>
              <w:rPr>
                <w:rFonts w:hint="eastAsia" w:eastAsia="宋体"/>
                <w:color w:val="auto"/>
                <w:sz w:val="21"/>
                <w:szCs w:val="21"/>
                <w:lang w:val="en-US" w:eastAsia="zh-CN"/>
              </w:rPr>
              <w:t>非甲烷总烃</w:t>
            </w:r>
          </w:p>
        </w:tc>
        <w:tc>
          <w:tcPr>
            <w:tcW w:w="1377" w:type="pct"/>
            <w:gridSpan w:val="2"/>
            <w:vMerge w:val="continue"/>
            <w:tcBorders>
              <w:left w:val="single" w:color="auto" w:sz="8" w:space="0"/>
              <w:bottom w:val="single" w:color="auto" w:sz="8" w:space="0"/>
              <w:right w:val="single" w:color="auto" w:sz="8" w:space="0"/>
            </w:tcBorders>
            <w:vAlign w:val="center"/>
          </w:tcPr>
          <w:p w14:paraId="6853F4E0">
            <w:pPr>
              <w:adjustRightInd w:val="0"/>
              <w:snapToGrid w:val="0"/>
              <w:jc w:val="center"/>
              <w:rPr>
                <w:rFonts w:hint="eastAsia"/>
                <w:color w:val="auto"/>
              </w:rPr>
            </w:pPr>
          </w:p>
        </w:tc>
        <w:tc>
          <w:tcPr>
            <w:tcW w:w="1609" w:type="pct"/>
            <w:tcBorders>
              <w:top w:val="single" w:color="auto" w:sz="8" w:space="0"/>
              <w:left w:val="single" w:color="auto" w:sz="8" w:space="0"/>
              <w:bottom w:val="single" w:color="auto" w:sz="8" w:space="0"/>
            </w:tcBorders>
            <w:vAlign w:val="center"/>
          </w:tcPr>
          <w:p w14:paraId="4BFFD169">
            <w:pPr>
              <w:jc w:val="center"/>
              <w:rPr>
                <w:rFonts w:hint="eastAsia"/>
                <w:color w:val="auto"/>
                <w:kern w:val="0"/>
              </w:rPr>
            </w:pPr>
            <w:r>
              <w:rPr>
                <w:rFonts w:hint="eastAsia"/>
                <w:bCs/>
                <w:color w:val="auto"/>
                <w:kern w:val="0"/>
              </w:rPr>
              <w:t>《大气污染物综合排放标准》（DB32/4041-2021）</w:t>
            </w:r>
          </w:p>
        </w:tc>
      </w:tr>
      <w:tr w14:paraId="3A8504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restart"/>
            <w:tcBorders>
              <w:top w:val="single" w:color="auto" w:sz="8" w:space="0"/>
              <w:bottom w:val="single" w:color="auto" w:sz="8" w:space="0"/>
              <w:right w:val="single" w:color="auto" w:sz="8" w:space="0"/>
            </w:tcBorders>
            <w:vAlign w:val="center"/>
          </w:tcPr>
          <w:p w14:paraId="3A8504D7">
            <w:pPr>
              <w:adjustRightInd w:val="0"/>
              <w:snapToGrid w:val="0"/>
              <w:jc w:val="center"/>
              <w:rPr>
                <w:color w:val="auto"/>
              </w:rPr>
            </w:pPr>
            <w:r>
              <w:rPr>
                <w:rFonts w:hint="eastAsia"/>
                <w:color w:val="auto"/>
              </w:rPr>
              <w:t>地表水环境</w:t>
            </w:r>
          </w:p>
        </w:tc>
        <w:tc>
          <w:tcPr>
            <w:tcW w:w="836" w:type="pct"/>
            <w:vMerge w:val="restart"/>
            <w:tcBorders>
              <w:top w:val="single" w:color="auto" w:sz="8" w:space="0"/>
              <w:left w:val="single" w:color="auto" w:sz="8" w:space="0"/>
              <w:bottom w:val="single" w:color="auto" w:sz="8" w:space="0"/>
              <w:right w:val="single" w:color="auto" w:sz="8" w:space="0"/>
            </w:tcBorders>
            <w:vAlign w:val="center"/>
          </w:tcPr>
          <w:p w14:paraId="3A8504D8">
            <w:pPr>
              <w:pStyle w:val="277"/>
              <w:spacing w:beforeLines="0" w:afterLines="0" w:line="240" w:lineRule="auto"/>
              <w:ind w:left="0" w:firstLine="0" w:firstLineChars="0"/>
              <w:rPr>
                <w:rFonts w:ascii="Times New Roman" w:eastAsia="宋体"/>
                <w:bCs/>
                <w:color w:val="auto"/>
                <w:kern w:val="2"/>
                <w:sz w:val="21"/>
                <w:szCs w:val="21"/>
              </w:rPr>
            </w:pPr>
            <w:r>
              <w:rPr>
                <w:rFonts w:hint="eastAsia" w:ascii="Times New Roman" w:eastAsia="宋体"/>
                <w:bCs/>
                <w:color w:val="auto"/>
                <w:kern w:val="2"/>
                <w:sz w:val="21"/>
                <w:szCs w:val="21"/>
              </w:rPr>
              <w:t>生活污水</w:t>
            </w: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3A8504D9">
            <w:pPr>
              <w:widowControl/>
              <w:adjustRightInd w:val="0"/>
              <w:snapToGrid w:val="0"/>
              <w:jc w:val="center"/>
              <w:rPr>
                <w:bCs/>
                <w:color w:val="auto"/>
              </w:rPr>
            </w:pPr>
            <w:r>
              <w:rPr>
                <w:color w:val="auto"/>
                <w:kern w:val="0"/>
              </w:rPr>
              <w:t>COD</w:t>
            </w:r>
          </w:p>
        </w:tc>
        <w:tc>
          <w:tcPr>
            <w:tcW w:w="1377" w:type="pct"/>
            <w:gridSpan w:val="2"/>
            <w:vMerge w:val="restart"/>
            <w:tcBorders>
              <w:top w:val="single" w:color="auto" w:sz="8" w:space="0"/>
              <w:left w:val="single" w:color="auto" w:sz="8" w:space="0"/>
              <w:bottom w:val="single" w:color="auto" w:sz="8" w:space="0"/>
              <w:right w:val="single" w:color="auto" w:sz="8" w:space="0"/>
            </w:tcBorders>
            <w:vAlign w:val="center"/>
          </w:tcPr>
          <w:p w14:paraId="3A8504DA">
            <w:pPr>
              <w:pStyle w:val="703"/>
              <w:adjustRightInd w:val="0"/>
              <w:snapToGrid w:val="0"/>
              <w:rPr>
                <w:color w:val="auto"/>
              </w:rPr>
            </w:pPr>
            <w:r>
              <w:rPr>
                <w:rFonts w:hint="eastAsia" w:eastAsia="宋体"/>
                <w:color w:val="auto"/>
                <w:sz w:val="21"/>
                <w:szCs w:val="21"/>
              </w:rPr>
              <w:t>接管至常州市金坛区茅东污水处理厂</w:t>
            </w:r>
          </w:p>
        </w:tc>
        <w:tc>
          <w:tcPr>
            <w:tcW w:w="1609" w:type="pct"/>
            <w:vMerge w:val="restart"/>
            <w:tcBorders>
              <w:top w:val="single" w:color="auto" w:sz="8" w:space="0"/>
              <w:left w:val="single" w:color="auto" w:sz="8" w:space="0"/>
              <w:bottom w:val="single" w:color="auto" w:sz="8" w:space="0"/>
            </w:tcBorders>
            <w:vAlign w:val="center"/>
          </w:tcPr>
          <w:p w14:paraId="3A8504DB">
            <w:pPr>
              <w:pStyle w:val="703"/>
              <w:adjustRightInd w:val="0"/>
              <w:snapToGrid w:val="0"/>
              <w:rPr>
                <w:bCs/>
                <w:color w:val="auto"/>
              </w:rPr>
            </w:pPr>
            <w:r>
              <w:rPr>
                <w:rFonts w:hint="eastAsia" w:eastAsia="宋体"/>
                <w:color w:val="auto"/>
                <w:sz w:val="21"/>
                <w:szCs w:val="21"/>
              </w:rPr>
              <w:t>常州市金坛区茅东污水处理厂</w:t>
            </w:r>
            <w:r>
              <w:rPr>
                <w:rFonts w:eastAsia="宋体"/>
                <w:color w:val="auto"/>
                <w:sz w:val="21"/>
                <w:szCs w:val="21"/>
              </w:rPr>
              <w:t>接管限值要求和</w:t>
            </w:r>
            <w:r>
              <w:rPr>
                <w:rFonts w:hint="eastAsia" w:eastAsia="宋体"/>
                <w:color w:val="auto"/>
                <w:sz w:val="21"/>
                <w:szCs w:val="21"/>
              </w:rPr>
              <w:t>《污水综合排放标准》（GB8978-1996）表4三级标准</w:t>
            </w:r>
          </w:p>
        </w:tc>
      </w:tr>
      <w:tr w14:paraId="3A8504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continue"/>
            <w:tcBorders>
              <w:top w:val="single" w:color="auto" w:sz="8" w:space="0"/>
              <w:bottom w:val="single" w:color="auto" w:sz="8" w:space="0"/>
              <w:right w:val="single" w:color="auto" w:sz="8" w:space="0"/>
            </w:tcBorders>
            <w:vAlign w:val="center"/>
          </w:tcPr>
          <w:p w14:paraId="3A8504DD">
            <w:pPr>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3A8504DE">
            <w:pPr>
              <w:pStyle w:val="277"/>
              <w:spacing w:beforeLines="0" w:afterLines="0" w:line="240" w:lineRule="auto"/>
              <w:ind w:left="0" w:firstLine="0" w:firstLineChars="0"/>
              <w:rPr>
                <w:rFonts w:ascii="Times New Roman" w:eastAsia="宋体"/>
                <w:bCs/>
                <w:color w:val="auto"/>
                <w:kern w:val="2"/>
                <w:sz w:val="21"/>
                <w:szCs w:val="21"/>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3A8504DF">
            <w:pPr>
              <w:widowControl/>
              <w:adjustRightInd w:val="0"/>
              <w:snapToGrid w:val="0"/>
              <w:jc w:val="center"/>
              <w:rPr>
                <w:bCs/>
                <w:color w:val="auto"/>
              </w:rPr>
            </w:pPr>
            <w:r>
              <w:rPr>
                <w:color w:val="auto"/>
                <w:kern w:val="0"/>
              </w:rPr>
              <w:t>SS</w:t>
            </w:r>
          </w:p>
        </w:tc>
        <w:tc>
          <w:tcPr>
            <w:tcW w:w="1377" w:type="pct"/>
            <w:gridSpan w:val="2"/>
            <w:vMerge w:val="continue"/>
            <w:tcBorders>
              <w:top w:val="single" w:color="auto" w:sz="8" w:space="0"/>
              <w:left w:val="single" w:color="auto" w:sz="8" w:space="0"/>
              <w:bottom w:val="single" w:color="auto" w:sz="8" w:space="0"/>
              <w:right w:val="single" w:color="auto" w:sz="8" w:space="0"/>
            </w:tcBorders>
            <w:vAlign w:val="center"/>
          </w:tcPr>
          <w:p w14:paraId="3A8504E0">
            <w:pPr>
              <w:adjustRightInd w:val="0"/>
              <w:snapToGrid w:val="0"/>
              <w:jc w:val="center"/>
              <w:rPr>
                <w:color w:val="auto"/>
              </w:rPr>
            </w:pPr>
          </w:p>
        </w:tc>
        <w:tc>
          <w:tcPr>
            <w:tcW w:w="1609" w:type="pct"/>
            <w:vMerge w:val="continue"/>
            <w:tcBorders>
              <w:top w:val="single" w:color="auto" w:sz="8" w:space="0"/>
              <w:left w:val="single" w:color="auto" w:sz="8" w:space="0"/>
              <w:bottom w:val="single" w:color="auto" w:sz="8" w:space="0"/>
            </w:tcBorders>
            <w:vAlign w:val="center"/>
          </w:tcPr>
          <w:p w14:paraId="3A8504E1">
            <w:pPr>
              <w:adjustRightInd w:val="0"/>
              <w:snapToGrid w:val="0"/>
              <w:jc w:val="center"/>
              <w:rPr>
                <w:bCs/>
                <w:color w:val="auto"/>
              </w:rPr>
            </w:pPr>
          </w:p>
        </w:tc>
      </w:tr>
      <w:tr w14:paraId="3A8504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continue"/>
            <w:tcBorders>
              <w:top w:val="single" w:color="auto" w:sz="8" w:space="0"/>
              <w:bottom w:val="single" w:color="auto" w:sz="8" w:space="0"/>
              <w:right w:val="single" w:color="auto" w:sz="8" w:space="0"/>
            </w:tcBorders>
            <w:vAlign w:val="center"/>
          </w:tcPr>
          <w:p w14:paraId="3A8504E3">
            <w:pPr>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3A8504E4">
            <w:pPr>
              <w:pStyle w:val="277"/>
              <w:spacing w:beforeLines="0" w:afterLines="0" w:line="240" w:lineRule="auto"/>
              <w:ind w:left="0" w:firstLine="0" w:firstLineChars="0"/>
              <w:rPr>
                <w:rFonts w:ascii="Times New Roman" w:eastAsia="宋体"/>
                <w:bCs/>
                <w:color w:val="auto"/>
                <w:kern w:val="2"/>
                <w:sz w:val="21"/>
                <w:szCs w:val="21"/>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3A8504E5">
            <w:pPr>
              <w:widowControl/>
              <w:adjustRightInd w:val="0"/>
              <w:snapToGrid w:val="0"/>
              <w:jc w:val="center"/>
              <w:rPr>
                <w:bCs/>
                <w:color w:val="auto"/>
              </w:rPr>
            </w:pPr>
            <w:r>
              <w:rPr>
                <w:color w:val="auto"/>
                <w:kern w:val="0"/>
              </w:rPr>
              <w:t>NH</w:t>
            </w:r>
            <w:r>
              <w:rPr>
                <w:color w:val="auto"/>
                <w:kern w:val="0"/>
                <w:vertAlign w:val="subscript"/>
              </w:rPr>
              <w:t>3</w:t>
            </w:r>
            <w:r>
              <w:rPr>
                <w:color w:val="auto"/>
                <w:kern w:val="0"/>
              </w:rPr>
              <w:t>-N</w:t>
            </w:r>
          </w:p>
        </w:tc>
        <w:tc>
          <w:tcPr>
            <w:tcW w:w="1377" w:type="pct"/>
            <w:gridSpan w:val="2"/>
            <w:vMerge w:val="continue"/>
            <w:tcBorders>
              <w:top w:val="single" w:color="auto" w:sz="8" w:space="0"/>
              <w:left w:val="single" w:color="auto" w:sz="8" w:space="0"/>
              <w:bottom w:val="single" w:color="auto" w:sz="8" w:space="0"/>
              <w:right w:val="single" w:color="auto" w:sz="8" w:space="0"/>
            </w:tcBorders>
            <w:vAlign w:val="center"/>
          </w:tcPr>
          <w:p w14:paraId="3A8504E6">
            <w:pPr>
              <w:adjustRightInd w:val="0"/>
              <w:snapToGrid w:val="0"/>
              <w:jc w:val="center"/>
              <w:rPr>
                <w:color w:val="auto"/>
              </w:rPr>
            </w:pPr>
          </w:p>
        </w:tc>
        <w:tc>
          <w:tcPr>
            <w:tcW w:w="1609" w:type="pct"/>
            <w:vMerge w:val="continue"/>
            <w:tcBorders>
              <w:top w:val="single" w:color="auto" w:sz="8" w:space="0"/>
              <w:left w:val="single" w:color="auto" w:sz="8" w:space="0"/>
              <w:bottom w:val="single" w:color="auto" w:sz="8" w:space="0"/>
            </w:tcBorders>
            <w:vAlign w:val="center"/>
          </w:tcPr>
          <w:p w14:paraId="3A8504E7">
            <w:pPr>
              <w:adjustRightInd w:val="0"/>
              <w:snapToGrid w:val="0"/>
              <w:jc w:val="center"/>
              <w:rPr>
                <w:bCs/>
                <w:color w:val="auto"/>
              </w:rPr>
            </w:pPr>
          </w:p>
        </w:tc>
      </w:tr>
      <w:tr w14:paraId="3A8504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continue"/>
            <w:tcBorders>
              <w:top w:val="single" w:color="auto" w:sz="8" w:space="0"/>
              <w:bottom w:val="single" w:color="auto" w:sz="8" w:space="0"/>
              <w:right w:val="single" w:color="auto" w:sz="8" w:space="0"/>
            </w:tcBorders>
            <w:vAlign w:val="center"/>
          </w:tcPr>
          <w:p w14:paraId="3A8504E9">
            <w:pPr>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3A8504EA">
            <w:pPr>
              <w:pStyle w:val="277"/>
              <w:spacing w:beforeLines="0" w:afterLines="0" w:line="240" w:lineRule="auto"/>
              <w:ind w:left="0" w:firstLine="0" w:firstLineChars="0"/>
              <w:rPr>
                <w:rFonts w:ascii="Times New Roman" w:eastAsia="宋体"/>
                <w:bCs/>
                <w:color w:val="auto"/>
                <w:kern w:val="2"/>
                <w:sz w:val="21"/>
                <w:szCs w:val="21"/>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3A8504EB">
            <w:pPr>
              <w:adjustRightInd w:val="0"/>
              <w:snapToGrid w:val="0"/>
              <w:jc w:val="center"/>
              <w:textAlignment w:val="center"/>
              <w:rPr>
                <w:bCs/>
                <w:color w:val="auto"/>
              </w:rPr>
            </w:pPr>
            <w:r>
              <w:rPr>
                <w:color w:val="auto"/>
                <w:kern w:val="0"/>
              </w:rPr>
              <w:t>TP</w:t>
            </w:r>
          </w:p>
        </w:tc>
        <w:tc>
          <w:tcPr>
            <w:tcW w:w="1377" w:type="pct"/>
            <w:gridSpan w:val="2"/>
            <w:vMerge w:val="continue"/>
            <w:tcBorders>
              <w:top w:val="single" w:color="auto" w:sz="8" w:space="0"/>
              <w:left w:val="single" w:color="auto" w:sz="8" w:space="0"/>
              <w:bottom w:val="single" w:color="auto" w:sz="8" w:space="0"/>
              <w:right w:val="single" w:color="auto" w:sz="8" w:space="0"/>
            </w:tcBorders>
            <w:vAlign w:val="center"/>
          </w:tcPr>
          <w:p w14:paraId="3A8504EC">
            <w:pPr>
              <w:adjustRightInd w:val="0"/>
              <w:snapToGrid w:val="0"/>
              <w:jc w:val="center"/>
              <w:rPr>
                <w:color w:val="auto"/>
              </w:rPr>
            </w:pPr>
          </w:p>
        </w:tc>
        <w:tc>
          <w:tcPr>
            <w:tcW w:w="1609" w:type="pct"/>
            <w:vMerge w:val="continue"/>
            <w:tcBorders>
              <w:top w:val="single" w:color="auto" w:sz="8" w:space="0"/>
              <w:left w:val="single" w:color="auto" w:sz="8" w:space="0"/>
              <w:bottom w:val="single" w:color="auto" w:sz="8" w:space="0"/>
            </w:tcBorders>
            <w:vAlign w:val="center"/>
          </w:tcPr>
          <w:p w14:paraId="3A8504ED">
            <w:pPr>
              <w:adjustRightInd w:val="0"/>
              <w:snapToGrid w:val="0"/>
              <w:jc w:val="center"/>
              <w:rPr>
                <w:bCs/>
                <w:color w:val="auto"/>
              </w:rPr>
            </w:pPr>
          </w:p>
        </w:tc>
      </w:tr>
      <w:tr w14:paraId="3A8504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continue"/>
            <w:tcBorders>
              <w:top w:val="single" w:color="auto" w:sz="8" w:space="0"/>
              <w:bottom w:val="single" w:color="auto" w:sz="8" w:space="0"/>
              <w:right w:val="single" w:color="auto" w:sz="8" w:space="0"/>
            </w:tcBorders>
            <w:vAlign w:val="center"/>
          </w:tcPr>
          <w:p w14:paraId="3A8504EF">
            <w:pPr>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3A8504F0">
            <w:pPr>
              <w:pStyle w:val="277"/>
              <w:spacing w:beforeLines="0" w:afterLines="0" w:line="240" w:lineRule="auto"/>
              <w:ind w:left="0" w:firstLine="0" w:firstLineChars="0"/>
              <w:rPr>
                <w:rFonts w:ascii="Times New Roman" w:eastAsia="宋体"/>
                <w:bCs/>
                <w:color w:val="auto"/>
                <w:kern w:val="2"/>
                <w:sz w:val="21"/>
                <w:szCs w:val="21"/>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3A8504F1">
            <w:pPr>
              <w:adjustRightInd w:val="0"/>
              <w:snapToGrid w:val="0"/>
              <w:jc w:val="center"/>
              <w:textAlignment w:val="center"/>
              <w:rPr>
                <w:bCs/>
                <w:color w:val="auto"/>
              </w:rPr>
            </w:pPr>
            <w:r>
              <w:rPr>
                <w:color w:val="auto"/>
                <w:kern w:val="0"/>
              </w:rPr>
              <w:t>TN</w:t>
            </w:r>
          </w:p>
        </w:tc>
        <w:tc>
          <w:tcPr>
            <w:tcW w:w="1377" w:type="pct"/>
            <w:gridSpan w:val="2"/>
            <w:vMerge w:val="continue"/>
            <w:tcBorders>
              <w:top w:val="single" w:color="auto" w:sz="8" w:space="0"/>
              <w:left w:val="single" w:color="auto" w:sz="8" w:space="0"/>
              <w:bottom w:val="single" w:color="auto" w:sz="8" w:space="0"/>
              <w:right w:val="single" w:color="auto" w:sz="8" w:space="0"/>
            </w:tcBorders>
            <w:vAlign w:val="center"/>
          </w:tcPr>
          <w:p w14:paraId="3A8504F2">
            <w:pPr>
              <w:adjustRightInd w:val="0"/>
              <w:snapToGrid w:val="0"/>
              <w:jc w:val="center"/>
              <w:rPr>
                <w:color w:val="auto"/>
              </w:rPr>
            </w:pPr>
          </w:p>
        </w:tc>
        <w:tc>
          <w:tcPr>
            <w:tcW w:w="1609" w:type="pct"/>
            <w:vMerge w:val="continue"/>
            <w:tcBorders>
              <w:top w:val="single" w:color="auto" w:sz="8" w:space="0"/>
              <w:left w:val="single" w:color="auto" w:sz="8" w:space="0"/>
              <w:bottom w:val="single" w:color="auto" w:sz="8" w:space="0"/>
            </w:tcBorders>
            <w:vAlign w:val="center"/>
          </w:tcPr>
          <w:p w14:paraId="3A8504F3">
            <w:pPr>
              <w:adjustRightInd w:val="0"/>
              <w:snapToGrid w:val="0"/>
              <w:jc w:val="center"/>
              <w:rPr>
                <w:bCs/>
                <w:color w:val="auto"/>
              </w:rPr>
            </w:pPr>
          </w:p>
        </w:tc>
      </w:tr>
      <w:tr w14:paraId="3A8504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tcBorders>
              <w:top w:val="single" w:color="auto" w:sz="8" w:space="0"/>
              <w:bottom w:val="single" w:color="auto" w:sz="8" w:space="0"/>
              <w:right w:val="single" w:color="auto" w:sz="8" w:space="0"/>
            </w:tcBorders>
            <w:vAlign w:val="center"/>
          </w:tcPr>
          <w:p w14:paraId="3A8504F5">
            <w:pPr>
              <w:adjustRightInd w:val="0"/>
              <w:snapToGrid w:val="0"/>
              <w:jc w:val="center"/>
              <w:rPr>
                <w:color w:val="auto"/>
              </w:rPr>
            </w:pPr>
            <w:r>
              <w:rPr>
                <w:color w:val="auto"/>
              </w:rPr>
              <w:t>声环境</w:t>
            </w:r>
          </w:p>
        </w:tc>
        <w:tc>
          <w:tcPr>
            <w:tcW w:w="836" w:type="pct"/>
            <w:tcBorders>
              <w:top w:val="single" w:color="auto" w:sz="8" w:space="0"/>
              <w:left w:val="single" w:color="auto" w:sz="8" w:space="0"/>
              <w:bottom w:val="single" w:color="auto" w:sz="8" w:space="0"/>
              <w:right w:val="single" w:color="auto" w:sz="8" w:space="0"/>
            </w:tcBorders>
            <w:vAlign w:val="center"/>
          </w:tcPr>
          <w:p w14:paraId="3A8504F6">
            <w:pPr>
              <w:pStyle w:val="277"/>
              <w:spacing w:beforeLines="0" w:afterLines="0" w:line="240" w:lineRule="auto"/>
              <w:ind w:left="0" w:firstLine="0" w:firstLineChars="0"/>
              <w:rPr>
                <w:rFonts w:ascii="Times New Roman" w:eastAsia="宋体"/>
                <w:color w:val="auto"/>
                <w:sz w:val="21"/>
                <w:szCs w:val="21"/>
              </w:rPr>
            </w:pPr>
            <w:r>
              <w:rPr>
                <w:rFonts w:ascii="Times New Roman" w:eastAsia="宋体"/>
                <w:bCs/>
                <w:color w:val="auto"/>
                <w:kern w:val="2"/>
                <w:sz w:val="21"/>
                <w:szCs w:val="21"/>
              </w:rPr>
              <w:t>设备</w:t>
            </w:r>
            <w:r>
              <w:rPr>
                <w:rFonts w:ascii="Times New Roman" w:eastAsia="宋体"/>
                <w:bCs/>
                <w:color w:val="auto"/>
                <w:sz w:val="21"/>
                <w:szCs w:val="21"/>
              </w:rPr>
              <w:t>运行噪声</w:t>
            </w: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3A8504F7">
            <w:pPr>
              <w:adjustRightInd w:val="0"/>
              <w:snapToGrid w:val="0"/>
              <w:jc w:val="center"/>
              <w:rPr>
                <w:color w:val="auto"/>
              </w:rPr>
            </w:pPr>
            <w:r>
              <w:rPr>
                <w:bCs/>
                <w:color w:val="auto"/>
              </w:rPr>
              <w:t>噪声</w:t>
            </w:r>
          </w:p>
        </w:tc>
        <w:tc>
          <w:tcPr>
            <w:tcW w:w="1377" w:type="pct"/>
            <w:gridSpan w:val="2"/>
            <w:tcBorders>
              <w:top w:val="single" w:color="auto" w:sz="8" w:space="0"/>
              <w:left w:val="single" w:color="auto" w:sz="8" w:space="0"/>
              <w:bottom w:val="single" w:color="auto" w:sz="8" w:space="0"/>
              <w:right w:val="single" w:color="auto" w:sz="8" w:space="0"/>
            </w:tcBorders>
            <w:vAlign w:val="center"/>
          </w:tcPr>
          <w:p w14:paraId="3A8504F8">
            <w:pPr>
              <w:adjustRightInd w:val="0"/>
              <w:snapToGrid w:val="0"/>
              <w:jc w:val="center"/>
              <w:rPr>
                <w:color w:val="auto"/>
              </w:rPr>
            </w:pPr>
            <w:bookmarkStart w:id="26" w:name="_Hlk42861764"/>
            <w:r>
              <w:rPr>
                <w:color w:val="auto"/>
              </w:rPr>
              <w:t>选购低噪声、低振动型设备；</w:t>
            </w:r>
            <w:r>
              <w:rPr>
                <w:rFonts w:hint="eastAsia"/>
                <w:color w:val="auto"/>
              </w:rPr>
              <w:t>车间</w:t>
            </w:r>
            <w:r>
              <w:rPr>
                <w:color w:val="auto"/>
              </w:rPr>
              <w:t>内合理布局</w:t>
            </w:r>
            <w:r>
              <w:rPr>
                <w:rFonts w:hint="eastAsia"/>
                <w:color w:val="auto"/>
              </w:rPr>
              <w:t>，</w:t>
            </w:r>
            <w:r>
              <w:rPr>
                <w:color w:val="auto"/>
              </w:rPr>
              <w:t>基础减振</w:t>
            </w:r>
            <w:r>
              <w:rPr>
                <w:rFonts w:hint="eastAsia"/>
                <w:color w:val="auto"/>
              </w:rPr>
              <w:t>、</w:t>
            </w:r>
            <w:r>
              <w:rPr>
                <w:color w:val="auto"/>
              </w:rPr>
              <w:t>建筑隔声</w:t>
            </w:r>
            <w:bookmarkEnd w:id="26"/>
          </w:p>
        </w:tc>
        <w:tc>
          <w:tcPr>
            <w:tcW w:w="1609" w:type="pct"/>
            <w:tcBorders>
              <w:top w:val="single" w:color="auto" w:sz="8" w:space="0"/>
              <w:left w:val="single" w:color="auto" w:sz="8" w:space="0"/>
              <w:bottom w:val="single" w:color="auto" w:sz="8" w:space="0"/>
            </w:tcBorders>
            <w:vAlign w:val="center"/>
          </w:tcPr>
          <w:p w14:paraId="3A8504F9">
            <w:pPr>
              <w:adjustRightInd w:val="0"/>
              <w:snapToGrid w:val="0"/>
              <w:jc w:val="center"/>
              <w:rPr>
                <w:color w:val="auto"/>
              </w:rPr>
            </w:pPr>
            <w:r>
              <w:rPr>
                <w:bCs/>
                <w:color w:val="auto"/>
              </w:rPr>
              <w:t>厂界噪声满足《工业企业厂界环境噪声排放标准》</w:t>
            </w:r>
            <w:r>
              <w:rPr>
                <w:rFonts w:hint="eastAsia"/>
                <w:bCs/>
                <w:color w:val="auto"/>
              </w:rPr>
              <w:t>（</w:t>
            </w:r>
            <w:r>
              <w:rPr>
                <w:bCs/>
                <w:color w:val="auto"/>
              </w:rPr>
              <w:t>GB12348-2008</w:t>
            </w:r>
            <w:r>
              <w:rPr>
                <w:rFonts w:hint="eastAsia"/>
                <w:bCs/>
                <w:color w:val="auto"/>
              </w:rPr>
              <w:t>）</w:t>
            </w:r>
            <w:r>
              <w:rPr>
                <w:bCs/>
                <w:color w:val="auto"/>
              </w:rPr>
              <w:t>中的</w:t>
            </w:r>
            <w:r>
              <w:rPr>
                <w:rFonts w:hint="eastAsia"/>
                <w:bCs/>
                <w:color w:val="auto"/>
                <w:lang w:eastAsia="zh-CN"/>
              </w:rPr>
              <w:t>2类</w:t>
            </w:r>
            <w:r>
              <w:rPr>
                <w:bCs/>
                <w:color w:val="auto"/>
              </w:rPr>
              <w:t>标准</w:t>
            </w:r>
          </w:p>
        </w:tc>
      </w:tr>
      <w:tr w14:paraId="3A8504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tcBorders>
              <w:top w:val="single" w:color="auto" w:sz="8" w:space="0"/>
              <w:bottom w:val="single" w:color="auto" w:sz="8" w:space="0"/>
              <w:right w:val="single" w:color="auto" w:sz="8" w:space="0"/>
            </w:tcBorders>
            <w:vAlign w:val="center"/>
          </w:tcPr>
          <w:p w14:paraId="3A8504FB">
            <w:pPr>
              <w:adjustRightInd w:val="0"/>
              <w:snapToGrid w:val="0"/>
              <w:jc w:val="center"/>
              <w:rPr>
                <w:color w:val="auto"/>
              </w:rPr>
            </w:pPr>
            <w:r>
              <w:rPr>
                <w:color w:val="auto"/>
              </w:rPr>
              <w:t>电磁</w:t>
            </w:r>
          </w:p>
          <w:p w14:paraId="3A8504FC">
            <w:pPr>
              <w:adjustRightInd w:val="0"/>
              <w:snapToGrid w:val="0"/>
              <w:jc w:val="center"/>
              <w:rPr>
                <w:color w:val="auto"/>
              </w:rPr>
            </w:pPr>
            <w:r>
              <w:rPr>
                <w:color w:val="auto"/>
              </w:rPr>
              <w:t>辐射</w:t>
            </w:r>
          </w:p>
        </w:tc>
        <w:tc>
          <w:tcPr>
            <w:tcW w:w="4523" w:type="pct"/>
            <w:gridSpan w:val="6"/>
            <w:tcBorders>
              <w:top w:val="single" w:color="auto" w:sz="8" w:space="0"/>
              <w:left w:val="single" w:color="auto" w:sz="8" w:space="0"/>
              <w:bottom w:val="single" w:color="auto" w:sz="8" w:space="0"/>
            </w:tcBorders>
            <w:vAlign w:val="center"/>
          </w:tcPr>
          <w:p w14:paraId="3A8504FD">
            <w:pPr>
              <w:adjustRightInd w:val="0"/>
              <w:snapToGrid w:val="0"/>
              <w:jc w:val="center"/>
              <w:rPr>
                <w:color w:val="auto"/>
              </w:rPr>
            </w:pPr>
            <w:r>
              <w:rPr>
                <w:color w:val="auto"/>
              </w:rPr>
              <w:t>本报告不对电磁辐射现状开展监测与评价</w:t>
            </w:r>
          </w:p>
        </w:tc>
      </w:tr>
      <w:tr w14:paraId="3A8505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restart"/>
            <w:tcBorders>
              <w:top w:val="single" w:color="auto" w:sz="8" w:space="0"/>
              <w:right w:val="single" w:color="auto" w:sz="8" w:space="0"/>
            </w:tcBorders>
            <w:vAlign w:val="center"/>
          </w:tcPr>
          <w:p w14:paraId="3A8504FF">
            <w:pPr>
              <w:adjustRightInd w:val="0"/>
              <w:snapToGrid w:val="0"/>
              <w:jc w:val="center"/>
              <w:rPr>
                <w:color w:val="auto"/>
              </w:rPr>
            </w:pPr>
            <w:r>
              <w:rPr>
                <w:color w:val="auto"/>
              </w:rPr>
              <w:t>固体</w:t>
            </w:r>
          </w:p>
          <w:p w14:paraId="3A850500">
            <w:pPr>
              <w:adjustRightInd w:val="0"/>
              <w:snapToGrid w:val="0"/>
              <w:jc w:val="center"/>
              <w:rPr>
                <w:color w:val="auto"/>
              </w:rPr>
            </w:pPr>
            <w:r>
              <w:rPr>
                <w:color w:val="auto"/>
              </w:rPr>
              <w:t>废物</w:t>
            </w: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3A850501">
            <w:pPr>
              <w:pStyle w:val="5"/>
              <w:adjustRightInd w:val="0"/>
              <w:snapToGrid w:val="0"/>
              <w:ind w:firstLine="0" w:firstLineChars="0"/>
              <w:jc w:val="center"/>
              <w:rPr>
                <w:color w:val="auto"/>
                <w:szCs w:val="21"/>
              </w:rPr>
            </w:pPr>
            <w:r>
              <w:rPr>
                <w:rFonts w:hint="eastAsia"/>
                <w:bCs/>
                <w:color w:val="auto"/>
                <w:kern w:val="0"/>
                <w:szCs w:val="21"/>
                <w:lang w:val="en-US" w:eastAsia="zh-CN"/>
              </w:rPr>
              <w:t>废包装盒/袋</w:t>
            </w:r>
          </w:p>
        </w:tc>
        <w:tc>
          <w:tcPr>
            <w:tcW w:w="731" w:type="pct"/>
            <w:gridSpan w:val="2"/>
            <w:vMerge w:val="restart"/>
            <w:tcBorders>
              <w:top w:val="single" w:color="auto" w:sz="8" w:space="0"/>
              <w:left w:val="single" w:color="auto" w:sz="8" w:space="0"/>
              <w:bottom w:val="single" w:color="auto" w:sz="8" w:space="0"/>
              <w:right w:val="single" w:color="auto" w:sz="8" w:space="0"/>
            </w:tcBorders>
            <w:vAlign w:val="center"/>
          </w:tcPr>
          <w:p w14:paraId="3A850502">
            <w:pPr>
              <w:adjustRightInd w:val="0"/>
              <w:snapToGrid w:val="0"/>
              <w:jc w:val="center"/>
              <w:rPr>
                <w:color w:val="auto"/>
              </w:rPr>
            </w:pPr>
            <w:r>
              <w:rPr>
                <w:rFonts w:hint="eastAsia"/>
                <w:color w:val="auto"/>
              </w:rPr>
              <w:t>外售处置</w:t>
            </w:r>
          </w:p>
        </w:tc>
        <w:tc>
          <w:tcPr>
            <w:tcW w:w="2553" w:type="pct"/>
            <w:gridSpan w:val="2"/>
            <w:vMerge w:val="restart"/>
            <w:tcBorders>
              <w:top w:val="single" w:color="auto" w:sz="8" w:space="0"/>
              <w:left w:val="single" w:color="auto" w:sz="8" w:space="0"/>
              <w:bottom w:val="single" w:color="auto" w:sz="8" w:space="0"/>
            </w:tcBorders>
            <w:vAlign w:val="center"/>
          </w:tcPr>
          <w:p w14:paraId="3A850503">
            <w:pPr>
              <w:adjustRightInd w:val="0"/>
              <w:snapToGrid w:val="0"/>
              <w:jc w:val="center"/>
              <w:rPr>
                <w:color w:val="auto"/>
              </w:rPr>
            </w:pPr>
            <w:r>
              <w:rPr>
                <w:color w:val="auto"/>
              </w:rPr>
              <w:t>《一般工业固体废物贮存和填埋污染控制标准》（GB18599-2020）中的相关规定。</w:t>
            </w:r>
          </w:p>
        </w:tc>
      </w:tr>
      <w:tr w14:paraId="3A8505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continue"/>
            <w:tcBorders>
              <w:right w:val="single" w:color="auto" w:sz="8" w:space="0"/>
            </w:tcBorders>
            <w:vAlign w:val="center"/>
          </w:tcPr>
          <w:p w14:paraId="3A850505">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3A850506">
            <w:pPr>
              <w:pStyle w:val="5"/>
              <w:adjustRightInd w:val="0"/>
              <w:snapToGrid w:val="0"/>
              <w:ind w:firstLine="0" w:firstLineChars="0"/>
              <w:jc w:val="center"/>
              <w:rPr>
                <w:color w:val="auto"/>
                <w:szCs w:val="21"/>
              </w:rPr>
            </w:pPr>
            <w:r>
              <w:rPr>
                <w:rFonts w:hint="eastAsia"/>
                <w:bCs/>
                <w:color w:val="auto"/>
                <w:kern w:val="0"/>
                <w:szCs w:val="21"/>
                <w:lang w:val="en-US" w:eastAsia="zh-CN"/>
              </w:rPr>
              <w:t>废金属壳</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3A850507">
            <w:pPr>
              <w:adjustRightInd w:val="0"/>
              <w:snapToGrid w:val="0"/>
              <w:jc w:val="center"/>
              <w:rPr>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3A850508">
            <w:pPr>
              <w:adjustRightInd w:val="0"/>
              <w:snapToGrid w:val="0"/>
              <w:jc w:val="center"/>
              <w:rPr>
                <w:color w:val="auto"/>
              </w:rPr>
            </w:pPr>
          </w:p>
        </w:tc>
      </w:tr>
      <w:tr w14:paraId="3A8505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continue"/>
            <w:tcBorders>
              <w:right w:val="single" w:color="auto" w:sz="8" w:space="0"/>
            </w:tcBorders>
            <w:vAlign w:val="center"/>
          </w:tcPr>
          <w:p w14:paraId="3A850514">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3A850515">
            <w:pPr>
              <w:pStyle w:val="5"/>
              <w:adjustRightInd w:val="0"/>
              <w:snapToGrid w:val="0"/>
              <w:ind w:firstLine="0" w:firstLineChars="0"/>
              <w:jc w:val="center"/>
              <w:rPr>
                <w:color w:val="auto"/>
                <w:szCs w:val="21"/>
              </w:rPr>
            </w:pPr>
            <w:r>
              <w:rPr>
                <w:rFonts w:hint="eastAsia"/>
                <w:bCs/>
                <w:color w:val="auto"/>
                <w:kern w:val="0"/>
                <w:szCs w:val="21"/>
                <w:lang w:val="en-US" w:eastAsia="zh-CN"/>
              </w:rPr>
              <w:t>不合格品</w:t>
            </w:r>
          </w:p>
        </w:tc>
        <w:tc>
          <w:tcPr>
            <w:tcW w:w="731" w:type="pct"/>
            <w:gridSpan w:val="2"/>
            <w:vMerge w:val="restart"/>
            <w:tcBorders>
              <w:top w:val="single" w:color="auto" w:sz="8" w:space="0"/>
              <w:left w:val="single" w:color="auto" w:sz="8" w:space="0"/>
              <w:right w:val="single" w:color="auto" w:sz="8" w:space="0"/>
            </w:tcBorders>
            <w:vAlign w:val="center"/>
          </w:tcPr>
          <w:p w14:paraId="3A850516">
            <w:pPr>
              <w:adjustRightInd w:val="0"/>
              <w:snapToGrid w:val="0"/>
              <w:jc w:val="center"/>
              <w:rPr>
                <w:color w:val="auto"/>
              </w:rPr>
            </w:pPr>
            <w:r>
              <w:rPr>
                <w:color w:val="auto"/>
              </w:rPr>
              <w:t>委托有资质单位处理</w:t>
            </w:r>
          </w:p>
        </w:tc>
        <w:tc>
          <w:tcPr>
            <w:tcW w:w="2553" w:type="pct"/>
            <w:gridSpan w:val="2"/>
            <w:vMerge w:val="restart"/>
            <w:tcBorders>
              <w:top w:val="single" w:color="auto" w:sz="8" w:space="0"/>
              <w:left w:val="single" w:color="auto" w:sz="8" w:space="0"/>
            </w:tcBorders>
            <w:vAlign w:val="center"/>
          </w:tcPr>
          <w:p w14:paraId="3A850517">
            <w:pPr>
              <w:adjustRightInd w:val="0"/>
              <w:snapToGrid w:val="0"/>
              <w:jc w:val="center"/>
              <w:rPr>
                <w:color w:val="auto"/>
              </w:rPr>
            </w:pPr>
            <w:r>
              <w:rPr>
                <w:rFonts w:hint="eastAsia"/>
                <w:color w:val="auto"/>
              </w:rPr>
              <w:t>执行《危险废物收集、贮存、运输技术规范》（HJ2025 2012）、《危险废物贮存污染控制标准》（GB 18597-2023）</w:t>
            </w:r>
          </w:p>
        </w:tc>
      </w:tr>
      <w:tr w14:paraId="3A8505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continue"/>
            <w:tcBorders>
              <w:right w:val="single" w:color="auto" w:sz="8" w:space="0"/>
            </w:tcBorders>
            <w:vAlign w:val="center"/>
          </w:tcPr>
          <w:p w14:paraId="3A850519">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3A85051A">
            <w:pPr>
              <w:pStyle w:val="5"/>
              <w:adjustRightInd w:val="0"/>
              <w:snapToGrid w:val="0"/>
              <w:ind w:firstLine="0" w:firstLineChars="0"/>
              <w:jc w:val="center"/>
              <w:rPr>
                <w:color w:val="auto"/>
                <w:szCs w:val="21"/>
              </w:rPr>
            </w:pPr>
            <w:r>
              <w:rPr>
                <w:rFonts w:hint="eastAsia"/>
                <w:bCs/>
                <w:color w:val="auto"/>
                <w:kern w:val="0"/>
                <w:szCs w:val="21"/>
                <w:lang w:val="en-US" w:eastAsia="zh-CN"/>
              </w:rPr>
              <w:t>灰渣</w:t>
            </w:r>
          </w:p>
        </w:tc>
        <w:tc>
          <w:tcPr>
            <w:tcW w:w="731" w:type="pct"/>
            <w:gridSpan w:val="2"/>
            <w:vMerge w:val="continue"/>
            <w:tcBorders>
              <w:left w:val="single" w:color="auto" w:sz="8" w:space="0"/>
              <w:right w:val="single" w:color="auto" w:sz="8" w:space="0"/>
            </w:tcBorders>
            <w:vAlign w:val="center"/>
          </w:tcPr>
          <w:p w14:paraId="3A85051B">
            <w:pPr>
              <w:adjustRightInd w:val="0"/>
              <w:snapToGrid w:val="0"/>
              <w:jc w:val="center"/>
              <w:rPr>
                <w:color w:val="auto"/>
              </w:rPr>
            </w:pPr>
          </w:p>
        </w:tc>
        <w:tc>
          <w:tcPr>
            <w:tcW w:w="2553" w:type="pct"/>
            <w:gridSpan w:val="2"/>
            <w:vMerge w:val="continue"/>
            <w:tcBorders>
              <w:left w:val="single" w:color="auto" w:sz="8" w:space="0"/>
            </w:tcBorders>
            <w:vAlign w:val="center"/>
          </w:tcPr>
          <w:p w14:paraId="3A85051C">
            <w:pPr>
              <w:adjustRightInd w:val="0"/>
              <w:snapToGrid w:val="0"/>
              <w:jc w:val="center"/>
              <w:rPr>
                <w:color w:val="auto"/>
              </w:rPr>
            </w:pPr>
          </w:p>
        </w:tc>
      </w:tr>
      <w:tr w14:paraId="3A8505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continue"/>
            <w:tcBorders>
              <w:right w:val="single" w:color="auto" w:sz="8" w:space="0"/>
            </w:tcBorders>
            <w:vAlign w:val="center"/>
          </w:tcPr>
          <w:p w14:paraId="3A850523">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3A850524">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飞灰</w:t>
            </w:r>
          </w:p>
        </w:tc>
        <w:tc>
          <w:tcPr>
            <w:tcW w:w="731" w:type="pct"/>
            <w:gridSpan w:val="2"/>
            <w:vMerge w:val="continue"/>
            <w:tcBorders>
              <w:left w:val="single" w:color="auto" w:sz="8" w:space="0"/>
              <w:right w:val="single" w:color="auto" w:sz="8" w:space="0"/>
            </w:tcBorders>
            <w:vAlign w:val="center"/>
          </w:tcPr>
          <w:p w14:paraId="3A850525">
            <w:pPr>
              <w:adjustRightInd w:val="0"/>
              <w:snapToGrid w:val="0"/>
              <w:jc w:val="center"/>
              <w:rPr>
                <w:color w:val="auto"/>
              </w:rPr>
            </w:pPr>
          </w:p>
        </w:tc>
        <w:tc>
          <w:tcPr>
            <w:tcW w:w="2553" w:type="pct"/>
            <w:gridSpan w:val="2"/>
            <w:vMerge w:val="continue"/>
            <w:tcBorders>
              <w:left w:val="single" w:color="auto" w:sz="8" w:space="0"/>
            </w:tcBorders>
            <w:vAlign w:val="center"/>
          </w:tcPr>
          <w:p w14:paraId="3A850526">
            <w:pPr>
              <w:adjustRightInd w:val="0"/>
              <w:snapToGrid w:val="0"/>
              <w:jc w:val="center"/>
              <w:rPr>
                <w:color w:val="auto"/>
              </w:rPr>
            </w:pPr>
          </w:p>
        </w:tc>
      </w:tr>
      <w:tr w14:paraId="3316CB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vMerge w:val="continue"/>
            <w:tcBorders>
              <w:bottom w:val="single" w:color="auto" w:sz="8" w:space="0"/>
              <w:right w:val="single" w:color="auto" w:sz="8" w:space="0"/>
            </w:tcBorders>
            <w:vAlign w:val="center"/>
          </w:tcPr>
          <w:p w14:paraId="606332DF">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01DCE2E2">
            <w:pPr>
              <w:pStyle w:val="5"/>
              <w:adjustRightInd w:val="0"/>
              <w:snapToGrid w:val="0"/>
              <w:ind w:firstLine="0" w:firstLineChars="0"/>
              <w:jc w:val="center"/>
              <w:rPr>
                <w:rFonts w:hint="eastAsia"/>
                <w:bCs/>
                <w:color w:val="auto"/>
                <w:kern w:val="0"/>
                <w:szCs w:val="21"/>
              </w:rPr>
            </w:pPr>
            <w:r>
              <w:rPr>
                <w:rFonts w:hint="eastAsia"/>
                <w:bCs/>
                <w:color w:val="auto"/>
                <w:kern w:val="0"/>
                <w:szCs w:val="21"/>
              </w:rPr>
              <w:t>废</w:t>
            </w:r>
            <w:r>
              <w:rPr>
                <w:rFonts w:hint="eastAsia"/>
                <w:bCs/>
                <w:color w:val="auto"/>
                <w:kern w:val="0"/>
                <w:szCs w:val="21"/>
                <w:lang w:val="en-US" w:eastAsia="zh-CN"/>
              </w:rPr>
              <w:t>布袋</w:t>
            </w:r>
          </w:p>
        </w:tc>
        <w:tc>
          <w:tcPr>
            <w:tcW w:w="731" w:type="pct"/>
            <w:gridSpan w:val="2"/>
            <w:vMerge w:val="continue"/>
            <w:tcBorders>
              <w:left w:val="single" w:color="auto" w:sz="8" w:space="0"/>
              <w:bottom w:val="single" w:color="auto" w:sz="8" w:space="0"/>
              <w:right w:val="single" w:color="auto" w:sz="8" w:space="0"/>
            </w:tcBorders>
            <w:vAlign w:val="center"/>
          </w:tcPr>
          <w:p w14:paraId="4CB8F236">
            <w:pPr>
              <w:adjustRightInd w:val="0"/>
              <w:snapToGrid w:val="0"/>
              <w:jc w:val="center"/>
              <w:rPr>
                <w:color w:val="auto"/>
              </w:rPr>
            </w:pPr>
          </w:p>
        </w:tc>
        <w:tc>
          <w:tcPr>
            <w:tcW w:w="2553" w:type="pct"/>
            <w:gridSpan w:val="2"/>
            <w:vMerge w:val="continue"/>
            <w:tcBorders>
              <w:left w:val="single" w:color="auto" w:sz="8" w:space="0"/>
              <w:bottom w:val="single" w:color="auto" w:sz="8" w:space="0"/>
            </w:tcBorders>
            <w:vAlign w:val="center"/>
          </w:tcPr>
          <w:p w14:paraId="66E8F6EF">
            <w:pPr>
              <w:adjustRightInd w:val="0"/>
              <w:snapToGrid w:val="0"/>
              <w:jc w:val="center"/>
              <w:rPr>
                <w:color w:val="auto"/>
              </w:rPr>
            </w:pPr>
          </w:p>
        </w:tc>
      </w:tr>
      <w:tr w14:paraId="3A8505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6" w:hRule="atLeast"/>
          <w:jc w:val="center"/>
        </w:trPr>
        <w:tc>
          <w:tcPr>
            <w:tcW w:w="476" w:type="pct"/>
            <w:tcBorders>
              <w:top w:val="single" w:color="auto" w:sz="8" w:space="0"/>
              <w:bottom w:val="single" w:color="auto" w:sz="8" w:space="0"/>
              <w:right w:val="single" w:color="auto" w:sz="8" w:space="0"/>
            </w:tcBorders>
            <w:vAlign w:val="center"/>
          </w:tcPr>
          <w:p w14:paraId="3A850528">
            <w:pPr>
              <w:adjustRightInd w:val="0"/>
              <w:snapToGrid w:val="0"/>
              <w:jc w:val="center"/>
              <w:rPr>
                <w:color w:val="auto"/>
              </w:rPr>
            </w:pPr>
            <w:r>
              <w:rPr>
                <w:color w:val="auto"/>
              </w:rPr>
              <w:t>土壤及地下水污染防治措施</w:t>
            </w:r>
          </w:p>
        </w:tc>
        <w:tc>
          <w:tcPr>
            <w:tcW w:w="4523" w:type="pct"/>
            <w:gridSpan w:val="6"/>
            <w:tcBorders>
              <w:top w:val="single" w:color="auto" w:sz="8" w:space="0"/>
              <w:left w:val="single" w:color="auto" w:sz="8" w:space="0"/>
              <w:bottom w:val="single" w:color="auto" w:sz="8" w:space="0"/>
            </w:tcBorders>
            <w:vAlign w:val="center"/>
          </w:tcPr>
          <w:p w14:paraId="3A850529">
            <w:pPr>
              <w:adjustRightInd w:val="0"/>
              <w:snapToGrid w:val="0"/>
              <w:jc w:val="left"/>
              <w:rPr>
                <w:color w:val="auto"/>
              </w:rPr>
            </w:pPr>
            <w:r>
              <w:rPr>
                <w:rFonts w:hint="eastAsia"/>
                <w:color w:val="auto"/>
              </w:rPr>
              <w:t>厂区分一般防渗区、简单防渗区、重点防渗区，本项目将危废仓库、仓库设为重点防渗区，车间地面设为一般防渗区，办公区为简单防渗区。建设单位应确保做好危废仓库等容易渗漏引起土壤、地下水污染的区域的管理，做好防渗、防雨、防风、防淋等措施，定期巡查，避免发生跑冒滴漏现象，如发现应立即采取应急措施，确保不会对厂区地下水造成大的影响。</w:t>
            </w:r>
          </w:p>
        </w:tc>
      </w:tr>
      <w:tr w14:paraId="3A8505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476" w:type="pct"/>
            <w:tcBorders>
              <w:top w:val="single" w:color="auto" w:sz="8" w:space="0"/>
              <w:bottom w:val="single" w:color="auto" w:sz="8" w:space="0"/>
              <w:right w:val="single" w:color="auto" w:sz="8" w:space="0"/>
            </w:tcBorders>
            <w:vAlign w:val="center"/>
          </w:tcPr>
          <w:p w14:paraId="3A85052B">
            <w:pPr>
              <w:adjustRightInd w:val="0"/>
              <w:snapToGrid w:val="0"/>
              <w:jc w:val="center"/>
              <w:rPr>
                <w:color w:val="auto"/>
              </w:rPr>
            </w:pPr>
            <w:r>
              <w:rPr>
                <w:color w:val="auto"/>
              </w:rPr>
              <w:t>生态保护措施</w:t>
            </w:r>
          </w:p>
        </w:tc>
        <w:tc>
          <w:tcPr>
            <w:tcW w:w="4523" w:type="pct"/>
            <w:gridSpan w:val="6"/>
            <w:tcBorders>
              <w:top w:val="single" w:color="auto" w:sz="8" w:space="0"/>
              <w:left w:val="single" w:color="auto" w:sz="8" w:space="0"/>
              <w:bottom w:val="single" w:color="auto" w:sz="8" w:space="0"/>
            </w:tcBorders>
            <w:vAlign w:val="center"/>
          </w:tcPr>
          <w:p w14:paraId="3A85052C">
            <w:pPr>
              <w:adjustRightInd w:val="0"/>
              <w:snapToGrid w:val="0"/>
              <w:jc w:val="left"/>
              <w:rPr>
                <w:color w:val="auto"/>
              </w:rPr>
            </w:pPr>
            <w:r>
              <w:rPr>
                <w:color w:val="auto"/>
              </w:rPr>
              <w:t>根据《江苏省生态空间管控区域规划》（苏政发〔2020〕1号）和《省政府关于印发江苏省国家级生态保护红线规划的通知》（苏政发〔2018〕74号），项目不在常州市国家级生态保护红线和生态空间管控区域的保护区范围内</w:t>
            </w:r>
            <w:r>
              <w:rPr>
                <w:rFonts w:hint="eastAsia"/>
                <w:color w:val="auto"/>
              </w:rPr>
              <w:t>。</w:t>
            </w:r>
          </w:p>
        </w:tc>
      </w:tr>
      <w:tr w14:paraId="3A8505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tcBorders>
              <w:top w:val="single" w:color="auto" w:sz="8" w:space="0"/>
              <w:bottom w:val="single" w:color="auto" w:sz="8" w:space="0"/>
              <w:right w:val="single" w:color="auto" w:sz="8" w:space="0"/>
            </w:tcBorders>
            <w:vAlign w:val="center"/>
          </w:tcPr>
          <w:p w14:paraId="3A85052E">
            <w:pPr>
              <w:adjustRightInd w:val="0"/>
              <w:snapToGrid w:val="0"/>
              <w:jc w:val="center"/>
              <w:rPr>
                <w:color w:val="auto"/>
                <w:spacing w:val="-8"/>
              </w:rPr>
            </w:pPr>
            <w:r>
              <w:rPr>
                <w:color w:val="auto"/>
                <w:spacing w:val="-8"/>
              </w:rPr>
              <w:t>环境风险防范措施</w:t>
            </w:r>
          </w:p>
        </w:tc>
        <w:tc>
          <w:tcPr>
            <w:tcW w:w="4523" w:type="pct"/>
            <w:gridSpan w:val="6"/>
            <w:tcBorders>
              <w:top w:val="single" w:color="auto" w:sz="8" w:space="0"/>
              <w:left w:val="single" w:color="auto" w:sz="8" w:space="0"/>
              <w:bottom w:val="single" w:color="auto" w:sz="8" w:space="0"/>
            </w:tcBorders>
            <w:vAlign w:val="center"/>
          </w:tcPr>
          <w:p w14:paraId="3A85052F">
            <w:pPr>
              <w:adjustRightInd w:val="0"/>
              <w:snapToGrid w:val="0"/>
              <w:jc w:val="left"/>
              <w:rPr>
                <w:color w:val="auto"/>
              </w:rPr>
            </w:pPr>
            <w:r>
              <w:rPr>
                <w:color w:val="auto"/>
              </w:rPr>
              <w:t>1、厂区分区防渗；</w:t>
            </w:r>
          </w:p>
          <w:p w14:paraId="3A850530">
            <w:pPr>
              <w:pStyle w:val="703"/>
              <w:adjustRightInd w:val="0"/>
              <w:snapToGrid w:val="0"/>
              <w:jc w:val="left"/>
              <w:rPr>
                <w:rFonts w:eastAsia="宋体"/>
                <w:color w:val="auto"/>
                <w:sz w:val="21"/>
                <w:szCs w:val="21"/>
              </w:rPr>
            </w:pPr>
            <w:r>
              <w:rPr>
                <w:rFonts w:eastAsia="宋体"/>
                <w:color w:val="auto"/>
                <w:sz w:val="21"/>
                <w:szCs w:val="21"/>
              </w:rPr>
              <w:t>2、做好厂区环境风险管理、风险应急物质配备</w:t>
            </w:r>
            <w:r>
              <w:rPr>
                <w:rFonts w:hint="eastAsia" w:eastAsia="宋体"/>
                <w:color w:val="auto"/>
                <w:sz w:val="21"/>
                <w:szCs w:val="21"/>
              </w:rPr>
              <w:t>；</w:t>
            </w:r>
          </w:p>
          <w:p w14:paraId="3A850531">
            <w:pPr>
              <w:pStyle w:val="703"/>
              <w:adjustRightInd w:val="0"/>
              <w:snapToGrid w:val="0"/>
              <w:jc w:val="left"/>
              <w:rPr>
                <w:color w:val="auto"/>
                <w:sz w:val="21"/>
                <w:szCs w:val="21"/>
              </w:rPr>
            </w:pPr>
            <w:r>
              <w:rPr>
                <w:rFonts w:hint="eastAsia" w:eastAsia="宋体"/>
                <w:color w:val="auto"/>
                <w:sz w:val="21"/>
                <w:szCs w:val="21"/>
              </w:rPr>
              <w:t>3</w:t>
            </w:r>
            <w:r>
              <w:rPr>
                <w:rFonts w:eastAsia="宋体"/>
                <w:color w:val="auto"/>
                <w:sz w:val="21"/>
                <w:szCs w:val="21"/>
              </w:rPr>
              <w:t>、</w:t>
            </w:r>
            <w:r>
              <w:rPr>
                <w:rFonts w:hint="eastAsia" w:eastAsia="宋体"/>
                <w:color w:val="auto"/>
                <w:sz w:val="21"/>
                <w:szCs w:val="21"/>
              </w:rPr>
              <w:t>按照应急预案要求</w:t>
            </w:r>
            <w:r>
              <w:rPr>
                <w:rFonts w:eastAsia="宋体"/>
                <w:color w:val="auto"/>
                <w:sz w:val="21"/>
                <w:szCs w:val="21"/>
              </w:rPr>
              <w:t>定期进行应急演练。</w:t>
            </w:r>
          </w:p>
        </w:tc>
      </w:tr>
      <w:tr w14:paraId="3A8505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pct"/>
            <w:tcBorders>
              <w:top w:val="single" w:color="auto" w:sz="8" w:space="0"/>
              <w:right w:val="single" w:color="auto" w:sz="8" w:space="0"/>
            </w:tcBorders>
            <w:vAlign w:val="center"/>
          </w:tcPr>
          <w:p w14:paraId="3A850533">
            <w:pPr>
              <w:adjustRightInd w:val="0"/>
              <w:snapToGrid w:val="0"/>
              <w:jc w:val="center"/>
              <w:rPr>
                <w:color w:val="auto"/>
                <w:spacing w:val="-8"/>
              </w:rPr>
            </w:pPr>
            <w:r>
              <w:rPr>
                <w:color w:val="auto"/>
                <w:spacing w:val="-8"/>
              </w:rPr>
              <w:t>其他环境管理要求</w:t>
            </w:r>
          </w:p>
        </w:tc>
        <w:tc>
          <w:tcPr>
            <w:tcW w:w="4523" w:type="pct"/>
            <w:gridSpan w:val="6"/>
            <w:tcBorders>
              <w:top w:val="single" w:color="auto" w:sz="8" w:space="0"/>
              <w:left w:val="single" w:color="auto" w:sz="8" w:space="0"/>
            </w:tcBorders>
            <w:vAlign w:val="center"/>
          </w:tcPr>
          <w:p w14:paraId="3A850534">
            <w:pPr>
              <w:adjustRightInd w:val="0"/>
              <w:snapToGrid w:val="0"/>
              <w:jc w:val="left"/>
              <w:rPr>
                <w:color w:val="auto"/>
              </w:rPr>
            </w:pPr>
            <w:r>
              <w:rPr>
                <w:color w:val="auto"/>
              </w:rPr>
              <w:t>1、</w:t>
            </w:r>
            <w:r>
              <w:rPr>
                <w:rFonts w:hint="eastAsia" w:eastAsia="宋体"/>
                <w:bCs/>
                <w:color w:val="auto"/>
                <w:kern w:val="0"/>
                <w:sz w:val="21"/>
                <w:szCs w:val="21"/>
              </w:rPr>
              <w:t>本项目建成后</w:t>
            </w:r>
            <w:r>
              <w:rPr>
                <w:rFonts w:hint="eastAsia" w:eastAsia="宋体"/>
                <w:bCs/>
                <w:color w:val="auto"/>
                <w:kern w:val="0"/>
                <w:sz w:val="21"/>
                <w:szCs w:val="21"/>
                <w:lang w:val="en-US" w:eastAsia="zh-CN"/>
              </w:rPr>
              <w:t>依托</w:t>
            </w:r>
            <w:r>
              <w:rPr>
                <w:rFonts w:hint="eastAsia" w:eastAsia="宋体"/>
                <w:bCs/>
                <w:color w:val="auto"/>
                <w:kern w:val="0"/>
                <w:sz w:val="21"/>
                <w:szCs w:val="21"/>
              </w:rPr>
              <w:t>全厂卫生防护距离为：109工房、201工房、801工房、301工房、点火药生产工房</w:t>
            </w:r>
            <w:r>
              <w:rPr>
                <w:rFonts w:hint="eastAsia" w:eastAsia="宋体"/>
                <w:bCs/>
                <w:color w:val="auto"/>
                <w:kern w:val="0"/>
                <w:sz w:val="21"/>
                <w:szCs w:val="21"/>
                <w:lang w:eastAsia="zh-CN"/>
              </w:rPr>
              <w:t>（</w:t>
            </w:r>
            <w:r>
              <w:rPr>
                <w:rFonts w:hint="eastAsia" w:eastAsia="宋体"/>
                <w:bCs/>
                <w:color w:val="auto"/>
                <w:kern w:val="0"/>
                <w:sz w:val="21"/>
                <w:szCs w:val="21"/>
                <w:lang w:val="en-US" w:eastAsia="zh-CN"/>
              </w:rPr>
              <w:t>201.2</w:t>
            </w:r>
            <w:r>
              <w:rPr>
                <w:rFonts w:hint="eastAsia" w:eastAsia="宋体"/>
                <w:bCs/>
                <w:color w:val="auto"/>
                <w:kern w:val="0"/>
                <w:sz w:val="21"/>
                <w:szCs w:val="21"/>
                <w:lang w:eastAsia="zh-CN"/>
              </w:rPr>
              <w:t>）</w:t>
            </w:r>
            <w:r>
              <w:rPr>
                <w:rFonts w:hint="eastAsia" w:eastAsia="宋体"/>
                <w:bCs/>
                <w:color w:val="auto"/>
                <w:kern w:val="0"/>
                <w:sz w:val="21"/>
                <w:szCs w:val="21"/>
              </w:rPr>
              <w:t>、气体发生器生产工房（301）车间边界外扩50米；压片工房、清洗机配套污水处理站车间边界外扩100米形成的包络线范围</w:t>
            </w:r>
            <w:r>
              <w:rPr>
                <w:rFonts w:hint="eastAsia"/>
                <w:color w:val="auto"/>
              </w:rPr>
              <w:t>，</w:t>
            </w:r>
            <w:r>
              <w:rPr>
                <w:bCs/>
                <w:color w:val="auto"/>
              </w:rPr>
              <w:t>该范围内目前无居民、学校等环境敏感保护目标，可满足卫生防护距离设置要求，将来在该范围内也不得新建居民、学校、医院等属于环境保护目标的项目</w:t>
            </w:r>
            <w:r>
              <w:rPr>
                <w:color w:val="auto"/>
              </w:rPr>
              <w:t>；</w:t>
            </w:r>
          </w:p>
          <w:p w14:paraId="3A850535">
            <w:pPr>
              <w:adjustRightInd w:val="0"/>
              <w:snapToGrid w:val="0"/>
              <w:jc w:val="left"/>
              <w:rPr>
                <w:color w:val="auto"/>
              </w:rPr>
            </w:pPr>
            <w:r>
              <w:rPr>
                <w:color w:val="auto"/>
              </w:rPr>
              <w:t>2、项目正式运行时需签订一般固废处置协议、危险</w:t>
            </w:r>
            <w:r>
              <w:rPr>
                <w:rFonts w:hint="eastAsia"/>
                <w:color w:val="auto"/>
              </w:rPr>
              <w:t>废物</w:t>
            </w:r>
            <w:r>
              <w:rPr>
                <w:color w:val="auto"/>
              </w:rPr>
              <w:t>处置协议；</w:t>
            </w:r>
          </w:p>
          <w:p w14:paraId="3A850536">
            <w:pPr>
              <w:adjustRightInd w:val="0"/>
              <w:snapToGrid w:val="0"/>
              <w:jc w:val="left"/>
              <w:rPr>
                <w:color w:val="auto"/>
              </w:rPr>
            </w:pPr>
            <w:r>
              <w:rPr>
                <w:color w:val="auto"/>
              </w:rPr>
              <w:t>3、落实危险固废台账等要求；落实危险固废仓库、废气排放口等标识牌；</w:t>
            </w:r>
          </w:p>
          <w:p w14:paraId="3A850537">
            <w:pPr>
              <w:adjustRightInd w:val="0"/>
              <w:snapToGrid w:val="0"/>
              <w:jc w:val="left"/>
              <w:rPr>
                <w:rFonts w:hint="eastAsia"/>
                <w:color w:val="auto"/>
              </w:rPr>
            </w:pPr>
            <w:r>
              <w:rPr>
                <w:color w:val="auto"/>
              </w:rPr>
              <w:t>4、落实本报告的例行监测要求</w:t>
            </w:r>
            <w:r>
              <w:rPr>
                <w:rFonts w:hint="eastAsia"/>
                <w:color w:val="auto"/>
              </w:rPr>
              <w:t>。</w:t>
            </w:r>
          </w:p>
          <w:p w14:paraId="25A7A024">
            <w:pPr>
              <w:adjustRightInd w:val="0"/>
              <w:snapToGrid w:val="0"/>
              <w:jc w:val="left"/>
              <w:rPr>
                <w:rFonts w:hint="eastAsia"/>
                <w:color w:val="auto"/>
              </w:rPr>
            </w:pPr>
          </w:p>
          <w:p w14:paraId="40634A1D">
            <w:pPr>
              <w:adjustRightInd w:val="0"/>
              <w:snapToGrid w:val="0"/>
              <w:jc w:val="left"/>
              <w:rPr>
                <w:rFonts w:hint="eastAsia"/>
                <w:color w:val="auto"/>
              </w:rPr>
            </w:pPr>
          </w:p>
          <w:p w14:paraId="5A976215">
            <w:pPr>
              <w:adjustRightInd w:val="0"/>
              <w:snapToGrid w:val="0"/>
              <w:jc w:val="left"/>
              <w:rPr>
                <w:rFonts w:hint="eastAsia"/>
                <w:color w:val="auto"/>
              </w:rPr>
            </w:pPr>
          </w:p>
          <w:p w14:paraId="16491363">
            <w:pPr>
              <w:adjustRightInd w:val="0"/>
              <w:snapToGrid w:val="0"/>
              <w:jc w:val="left"/>
              <w:rPr>
                <w:rFonts w:hint="eastAsia"/>
                <w:color w:val="auto"/>
              </w:rPr>
            </w:pPr>
          </w:p>
          <w:p w14:paraId="64EF2E92">
            <w:pPr>
              <w:adjustRightInd w:val="0"/>
              <w:snapToGrid w:val="0"/>
              <w:jc w:val="left"/>
              <w:rPr>
                <w:rFonts w:hint="eastAsia"/>
                <w:color w:val="auto"/>
              </w:rPr>
            </w:pPr>
          </w:p>
          <w:p w14:paraId="2DB44813">
            <w:pPr>
              <w:adjustRightInd w:val="0"/>
              <w:snapToGrid w:val="0"/>
              <w:jc w:val="left"/>
              <w:rPr>
                <w:rFonts w:hint="eastAsia"/>
                <w:color w:val="auto"/>
              </w:rPr>
            </w:pPr>
          </w:p>
          <w:p w14:paraId="6DFD00DD">
            <w:pPr>
              <w:adjustRightInd w:val="0"/>
              <w:snapToGrid w:val="0"/>
              <w:jc w:val="left"/>
              <w:rPr>
                <w:rFonts w:hint="eastAsia"/>
                <w:color w:val="auto"/>
              </w:rPr>
            </w:pPr>
          </w:p>
          <w:p w14:paraId="0952AE05">
            <w:pPr>
              <w:adjustRightInd w:val="0"/>
              <w:snapToGrid w:val="0"/>
              <w:jc w:val="left"/>
              <w:rPr>
                <w:rFonts w:hint="eastAsia"/>
                <w:color w:val="auto"/>
              </w:rPr>
            </w:pPr>
          </w:p>
          <w:p w14:paraId="472D4D88">
            <w:pPr>
              <w:adjustRightInd w:val="0"/>
              <w:snapToGrid w:val="0"/>
              <w:jc w:val="left"/>
              <w:rPr>
                <w:rFonts w:hint="eastAsia"/>
                <w:color w:val="auto"/>
              </w:rPr>
            </w:pPr>
          </w:p>
          <w:p w14:paraId="59AC82AB">
            <w:pPr>
              <w:adjustRightInd w:val="0"/>
              <w:snapToGrid w:val="0"/>
              <w:jc w:val="left"/>
              <w:rPr>
                <w:rFonts w:hint="eastAsia"/>
                <w:color w:val="auto"/>
              </w:rPr>
            </w:pPr>
          </w:p>
          <w:p w14:paraId="30D80859">
            <w:pPr>
              <w:adjustRightInd w:val="0"/>
              <w:snapToGrid w:val="0"/>
              <w:jc w:val="left"/>
              <w:rPr>
                <w:rFonts w:hint="eastAsia"/>
                <w:color w:val="auto"/>
              </w:rPr>
            </w:pPr>
          </w:p>
          <w:p w14:paraId="3174745A">
            <w:pPr>
              <w:adjustRightInd w:val="0"/>
              <w:snapToGrid w:val="0"/>
              <w:jc w:val="left"/>
              <w:rPr>
                <w:rFonts w:hint="eastAsia"/>
                <w:color w:val="auto"/>
              </w:rPr>
            </w:pPr>
          </w:p>
          <w:p w14:paraId="61361C52">
            <w:pPr>
              <w:adjustRightInd w:val="0"/>
              <w:snapToGrid w:val="0"/>
              <w:jc w:val="left"/>
              <w:rPr>
                <w:rFonts w:hint="eastAsia"/>
                <w:color w:val="auto"/>
              </w:rPr>
            </w:pPr>
          </w:p>
          <w:p w14:paraId="0EF9CADD">
            <w:pPr>
              <w:adjustRightInd w:val="0"/>
              <w:snapToGrid w:val="0"/>
              <w:jc w:val="left"/>
              <w:rPr>
                <w:rFonts w:hint="eastAsia"/>
                <w:color w:val="auto"/>
              </w:rPr>
            </w:pPr>
          </w:p>
          <w:p w14:paraId="0D099882">
            <w:pPr>
              <w:adjustRightInd w:val="0"/>
              <w:snapToGrid w:val="0"/>
              <w:jc w:val="left"/>
              <w:rPr>
                <w:rFonts w:hint="eastAsia"/>
                <w:color w:val="auto"/>
              </w:rPr>
            </w:pPr>
          </w:p>
          <w:p w14:paraId="00AF2776">
            <w:pPr>
              <w:adjustRightInd w:val="0"/>
              <w:snapToGrid w:val="0"/>
              <w:jc w:val="left"/>
              <w:rPr>
                <w:rFonts w:hint="eastAsia"/>
                <w:color w:val="auto"/>
              </w:rPr>
            </w:pPr>
          </w:p>
          <w:p w14:paraId="08627D19">
            <w:pPr>
              <w:adjustRightInd w:val="0"/>
              <w:snapToGrid w:val="0"/>
              <w:jc w:val="left"/>
              <w:rPr>
                <w:rFonts w:hint="eastAsia"/>
                <w:color w:val="auto"/>
              </w:rPr>
            </w:pPr>
          </w:p>
          <w:p w14:paraId="0E45D395">
            <w:pPr>
              <w:adjustRightInd w:val="0"/>
              <w:snapToGrid w:val="0"/>
              <w:jc w:val="left"/>
              <w:rPr>
                <w:rFonts w:hint="eastAsia"/>
                <w:color w:val="auto"/>
              </w:rPr>
            </w:pPr>
          </w:p>
          <w:p w14:paraId="7B957FB9">
            <w:pPr>
              <w:adjustRightInd w:val="0"/>
              <w:snapToGrid w:val="0"/>
              <w:jc w:val="left"/>
              <w:rPr>
                <w:rFonts w:hint="eastAsia"/>
                <w:color w:val="auto"/>
              </w:rPr>
            </w:pPr>
          </w:p>
          <w:p w14:paraId="4188C5E7">
            <w:pPr>
              <w:adjustRightInd w:val="0"/>
              <w:snapToGrid w:val="0"/>
              <w:jc w:val="left"/>
              <w:rPr>
                <w:rFonts w:hint="eastAsia"/>
                <w:color w:val="auto"/>
              </w:rPr>
            </w:pPr>
          </w:p>
          <w:p w14:paraId="0DF8481D">
            <w:pPr>
              <w:adjustRightInd w:val="0"/>
              <w:snapToGrid w:val="0"/>
              <w:jc w:val="left"/>
              <w:rPr>
                <w:rFonts w:hint="eastAsia"/>
                <w:color w:val="auto"/>
              </w:rPr>
            </w:pPr>
          </w:p>
          <w:p w14:paraId="6F28B104">
            <w:pPr>
              <w:adjustRightInd w:val="0"/>
              <w:snapToGrid w:val="0"/>
              <w:jc w:val="left"/>
              <w:rPr>
                <w:rFonts w:hint="eastAsia"/>
                <w:color w:val="auto"/>
              </w:rPr>
            </w:pPr>
          </w:p>
          <w:p w14:paraId="074C8750">
            <w:pPr>
              <w:adjustRightInd w:val="0"/>
              <w:snapToGrid w:val="0"/>
              <w:jc w:val="left"/>
              <w:rPr>
                <w:rFonts w:hint="eastAsia"/>
                <w:color w:val="auto"/>
              </w:rPr>
            </w:pPr>
          </w:p>
          <w:p w14:paraId="648354E0">
            <w:pPr>
              <w:adjustRightInd w:val="0"/>
              <w:snapToGrid w:val="0"/>
              <w:jc w:val="left"/>
              <w:rPr>
                <w:rFonts w:hint="eastAsia"/>
                <w:color w:val="auto"/>
              </w:rPr>
            </w:pPr>
          </w:p>
          <w:p w14:paraId="3A0C40C6">
            <w:pPr>
              <w:adjustRightInd w:val="0"/>
              <w:snapToGrid w:val="0"/>
              <w:jc w:val="left"/>
              <w:rPr>
                <w:rFonts w:hint="eastAsia"/>
                <w:color w:val="auto"/>
              </w:rPr>
            </w:pPr>
          </w:p>
          <w:p w14:paraId="26273676">
            <w:pPr>
              <w:adjustRightInd w:val="0"/>
              <w:snapToGrid w:val="0"/>
              <w:jc w:val="left"/>
              <w:rPr>
                <w:rFonts w:hint="eastAsia"/>
                <w:color w:val="auto"/>
              </w:rPr>
            </w:pPr>
          </w:p>
          <w:p w14:paraId="758AB5DB">
            <w:pPr>
              <w:adjustRightInd w:val="0"/>
              <w:snapToGrid w:val="0"/>
              <w:jc w:val="left"/>
              <w:rPr>
                <w:rFonts w:hint="eastAsia"/>
                <w:color w:val="auto"/>
              </w:rPr>
            </w:pPr>
          </w:p>
          <w:p w14:paraId="29C54829">
            <w:pPr>
              <w:adjustRightInd w:val="0"/>
              <w:snapToGrid w:val="0"/>
              <w:jc w:val="left"/>
              <w:rPr>
                <w:rFonts w:hint="eastAsia"/>
                <w:color w:val="auto"/>
              </w:rPr>
            </w:pPr>
          </w:p>
          <w:p w14:paraId="728C91F5">
            <w:pPr>
              <w:adjustRightInd w:val="0"/>
              <w:snapToGrid w:val="0"/>
              <w:jc w:val="left"/>
              <w:rPr>
                <w:rFonts w:hint="eastAsia"/>
                <w:color w:val="auto"/>
              </w:rPr>
            </w:pPr>
          </w:p>
          <w:p w14:paraId="7FEBACC2">
            <w:pPr>
              <w:adjustRightInd w:val="0"/>
              <w:snapToGrid w:val="0"/>
              <w:jc w:val="left"/>
              <w:rPr>
                <w:rFonts w:hint="eastAsia"/>
                <w:color w:val="auto"/>
              </w:rPr>
            </w:pPr>
          </w:p>
          <w:p w14:paraId="0ADA74B6">
            <w:pPr>
              <w:adjustRightInd w:val="0"/>
              <w:snapToGrid w:val="0"/>
              <w:jc w:val="left"/>
              <w:rPr>
                <w:rFonts w:hint="eastAsia"/>
                <w:color w:val="auto"/>
              </w:rPr>
            </w:pPr>
          </w:p>
          <w:p w14:paraId="7C079B6D">
            <w:pPr>
              <w:adjustRightInd w:val="0"/>
              <w:snapToGrid w:val="0"/>
              <w:jc w:val="left"/>
              <w:rPr>
                <w:rFonts w:hint="eastAsia"/>
                <w:color w:val="auto"/>
              </w:rPr>
            </w:pPr>
          </w:p>
          <w:p w14:paraId="11DE0004">
            <w:pPr>
              <w:adjustRightInd w:val="0"/>
              <w:snapToGrid w:val="0"/>
              <w:jc w:val="left"/>
              <w:rPr>
                <w:rFonts w:hint="eastAsia"/>
                <w:color w:val="auto"/>
              </w:rPr>
            </w:pPr>
          </w:p>
          <w:p w14:paraId="43571354">
            <w:pPr>
              <w:adjustRightInd w:val="0"/>
              <w:snapToGrid w:val="0"/>
              <w:jc w:val="left"/>
              <w:rPr>
                <w:rFonts w:hint="eastAsia"/>
                <w:color w:val="auto"/>
              </w:rPr>
            </w:pPr>
          </w:p>
          <w:p w14:paraId="441C6920">
            <w:pPr>
              <w:adjustRightInd w:val="0"/>
              <w:snapToGrid w:val="0"/>
              <w:jc w:val="left"/>
              <w:rPr>
                <w:rFonts w:hint="eastAsia"/>
                <w:color w:val="auto"/>
              </w:rPr>
            </w:pPr>
          </w:p>
          <w:p w14:paraId="63CB210C">
            <w:pPr>
              <w:adjustRightInd w:val="0"/>
              <w:snapToGrid w:val="0"/>
              <w:jc w:val="left"/>
              <w:rPr>
                <w:rFonts w:hint="eastAsia"/>
                <w:color w:val="auto"/>
              </w:rPr>
            </w:pPr>
          </w:p>
          <w:p w14:paraId="6CBDC2CC">
            <w:pPr>
              <w:adjustRightInd w:val="0"/>
              <w:snapToGrid w:val="0"/>
              <w:jc w:val="left"/>
              <w:rPr>
                <w:rFonts w:hint="eastAsia"/>
                <w:color w:val="auto"/>
              </w:rPr>
            </w:pPr>
          </w:p>
          <w:p w14:paraId="751F8511">
            <w:pPr>
              <w:adjustRightInd w:val="0"/>
              <w:snapToGrid w:val="0"/>
              <w:jc w:val="left"/>
              <w:rPr>
                <w:rFonts w:hint="eastAsia"/>
                <w:color w:val="auto"/>
              </w:rPr>
            </w:pPr>
          </w:p>
          <w:p w14:paraId="70DAEBFC">
            <w:pPr>
              <w:adjustRightInd w:val="0"/>
              <w:snapToGrid w:val="0"/>
              <w:jc w:val="left"/>
              <w:rPr>
                <w:rFonts w:hint="eastAsia"/>
                <w:color w:val="auto"/>
              </w:rPr>
            </w:pPr>
          </w:p>
          <w:p w14:paraId="781676FC">
            <w:pPr>
              <w:adjustRightInd w:val="0"/>
              <w:snapToGrid w:val="0"/>
              <w:jc w:val="left"/>
              <w:rPr>
                <w:rFonts w:hint="eastAsia"/>
                <w:color w:val="auto"/>
              </w:rPr>
            </w:pPr>
          </w:p>
          <w:p w14:paraId="6D0626B7">
            <w:pPr>
              <w:adjustRightInd w:val="0"/>
              <w:snapToGrid w:val="0"/>
              <w:jc w:val="left"/>
              <w:rPr>
                <w:rFonts w:hint="eastAsia"/>
                <w:color w:val="auto"/>
              </w:rPr>
            </w:pPr>
          </w:p>
          <w:p w14:paraId="6DF8775B">
            <w:pPr>
              <w:adjustRightInd w:val="0"/>
              <w:snapToGrid w:val="0"/>
              <w:jc w:val="left"/>
              <w:rPr>
                <w:rFonts w:hint="eastAsia"/>
                <w:color w:val="auto"/>
              </w:rPr>
            </w:pPr>
          </w:p>
          <w:p w14:paraId="5293880D">
            <w:pPr>
              <w:adjustRightInd w:val="0"/>
              <w:snapToGrid w:val="0"/>
              <w:jc w:val="left"/>
              <w:rPr>
                <w:rFonts w:hint="eastAsia"/>
                <w:color w:val="auto"/>
              </w:rPr>
            </w:pPr>
          </w:p>
          <w:p w14:paraId="6888E659">
            <w:pPr>
              <w:adjustRightInd w:val="0"/>
              <w:snapToGrid w:val="0"/>
              <w:jc w:val="left"/>
              <w:rPr>
                <w:rFonts w:hint="eastAsia"/>
                <w:color w:val="auto"/>
              </w:rPr>
            </w:pPr>
          </w:p>
          <w:p w14:paraId="5C45A13A">
            <w:pPr>
              <w:adjustRightInd w:val="0"/>
              <w:snapToGrid w:val="0"/>
              <w:jc w:val="left"/>
              <w:rPr>
                <w:rFonts w:hint="eastAsia"/>
                <w:color w:val="auto"/>
              </w:rPr>
            </w:pPr>
          </w:p>
          <w:p w14:paraId="5DD91215">
            <w:pPr>
              <w:adjustRightInd w:val="0"/>
              <w:snapToGrid w:val="0"/>
              <w:jc w:val="left"/>
              <w:rPr>
                <w:rFonts w:hint="eastAsia"/>
                <w:color w:val="auto"/>
              </w:rPr>
            </w:pPr>
          </w:p>
        </w:tc>
      </w:tr>
    </w:tbl>
    <w:p w14:paraId="3A850539">
      <w:pPr>
        <w:pStyle w:val="55"/>
        <w:rPr>
          <w:color w:val="auto"/>
        </w:rPr>
      </w:pPr>
      <w:r>
        <w:rPr>
          <w:color w:val="auto"/>
          <w:szCs w:val="24"/>
        </w:rPr>
        <w:br w:type="page"/>
      </w:r>
      <w:bookmarkStart w:id="27" w:name="_Toc137559024"/>
      <w:bookmarkStart w:id="28" w:name="_Toc11106"/>
      <w:bookmarkStart w:id="29" w:name="_Toc689"/>
      <w:r>
        <w:rPr>
          <w:rFonts w:hint="eastAsia"/>
          <w:color w:val="auto"/>
          <w:szCs w:val="24"/>
        </w:rPr>
        <w:t>六、</w:t>
      </w:r>
      <w:r>
        <w:rPr>
          <w:color w:val="auto"/>
        </w:rPr>
        <w:t>结论</w:t>
      </w:r>
      <w:bookmarkEnd w:id="27"/>
      <w:bookmarkEnd w:id="28"/>
      <w:bookmarkEnd w:id="29"/>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3A85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5" w:hRule="atLeast"/>
        </w:trPr>
        <w:tc>
          <w:tcPr>
            <w:tcW w:w="9060" w:type="dxa"/>
            <w:shd w:val="clear" w:color="auto" w:fill="auto"/>
          </w:tcPr>
          <w:p w14:paraId="3A85053A">
            <w:pPr>
              <w:widowControl/>
              <w:adjustRightInd w:val="0"/>
              <w:snapToGrid w:val="0"/>
              <w:spacing w:line="360" w:lineRule="auto"/>
              <w:ind w:firstLine="420" w:firstLineChars="200"/>
              <w:rPr>
                <w:color w:val="auto"/>
                <w:kern w:val="0"/>
                <w:lang w:bidi="ar"/>
              </w:rPr>
            </w:pPr>
            <w:r>
              <w:rPr>
                <w:color w:val="auto"/>
                <w:kern w:val="0"/>
                <w:lang w:bidi="ar"/>
              </w:rPr>
              <w:t>一、结论</w:t>
            </w:r>
          </w:p>
          <w:p w14:paraId="3A85053B">
            <w:pPr>
              <w:widowControl/>
              <w:adjustRightInd w:val="0"/>
              <w:snapToGrid w:val="0"/>
              <w:spacing w:line="360" w:lineRule="auto"/>
              <w:ind w:firstLine="420" w:firstLineChars="200"/>
              <w:rPr>
                <w:color w:val="auto"/>
                <w:kern w:val="0"/>
                <w:lang w:bidi="ar"/>
              </w:rPr>
            </w:pPr>
            <w:r>
              <w:rPr>
                <w:color w:val="auto"/>
                <w:kern w:val="0"/>
                <w:lang w:bidi="ar"/>
              </w:rPr>
              <w:t>本项目符合当前国家产业政策，项目符合区域规划和相关环保规划要求，选址恰当，布局合理；项目符合</w:t>
            </w:r>
            <w:r>
              <w:rPr>
                <w:rFonts w:hint="eastAsia"/>
                <w:color w:val="auto"/>
                <w:kern w:val="0"/>
                <w:lang w:bidi="ar"/>
              </w:rPr>
              <w:t>“</w:t>
            </w:r>
            <w:r>
              <w:rPr>
                <w:color w:val="auto"/>
                <w:kern w:val="0"/>
                <w:lang w:bidi="ar"/>
              </w:rPr>
              <w:t>三线一单</w:t>
            </w:r>
            <w:r>
              <w:rPr>
                <w:rFonts w:hint="eastAsia"/>
                <w:color w:val="auto"/>
                <w:kern w:val="0"/>
                <w:lang w:bidi="ar"/>
              </w:rPr>
              <w:t>”</w:t>
            </w:r>
            <w:r>
              <w:rPr>
                <w:color w:val="auto"/>
                <w:kern w:val="0"/>
                <w:lang w:bidi="ar"/>
              </w:rPr>
              <w:t>要求，满足国家相关政策、法规的要求；项目采取的污染治理措施可行，可实现污染物达标排放；项目建成后对环境的影响较小，区域环境质量维持现状，符合相应环境功能区要求；项目污染物排放总量能够在区域内实现平衡；项目的环境风险事故经减缓措施后，处于可接受的水平。</w:t>
            </w:r>
          </w:p>
          <w:p w14:paraId="3A85053C">
            <w:pPr>
              <w:widowControl/>
              <w:adjustRightInd w:val="0"/>
              <w:snapToGrid w:val="0"/>
              <w:spacing w:line="360" w:lineRule="auto"/>
              <w:ind w:firstLine="420" w:firstLineChars="200"/>
              <w:rPr>
                <w:color w:val="auto"/>
                <w:kern w:val="0"/>
                <w:lang w:bidi="ar"/>
              </w:rPr>
            </w:pPr>
            <w:r>
              <w:rPr>
                <w:color w:val="auto"/>
                <w:kern w:val="0"/>
                <w:lang w:bidi="ar"/>
              </w:rPr>
              <w:t>二、建议</w:t>
            </w:r>
          </w:p>
          <w:p w14:paraId="3A85053D">
            <w:pPr>
              <w:widowControl/>
              <w:adjustRightInd w:val="0"/>
              <w:snapToGrid w:val="0"/>
              <w:spacing w:line="360" w:lineRule="auto"/>
              <w:ind w:firstLine="420" w:firstLineChars="200"/>
              <w:rPr>
                <w:color w:val="auto"/>
                <w:kern w:val="0"/>
                <w:lang w:bidi="ar"/>
              </w:rPr>
            </w:pPr>
            <w:r>
              <w:rPr>
                <w:color w:val="auto"/>
                <w:kern w:val="0"/>
                <w:lang w:bidi="ar"/>
              </w:rPr>
              <w:t>1、上述评价结论是根据建设方提供的生产规模、工艺流程、原辅材料用量及与此对应的排污情况基础上进行的，如果生产品种、规模、工艺流程和排污情况发生重大变化，建设单位应按环保部门的要求另行申报。</w:t>
            </w:r>
          </w:p>
          <w:p w14:paraId="3A85053E">
            <w:pPr>
              <w:widowControl/>
              <w:adjustRightInd w:val="0"/>
              <w:snapToGrid w:val="0"/>
              <w:spacing w:line="360" w:lineRule="auto"/>
              <w:ind w:firstLine="420" w:firstLineChars="200"/>
              <w:rPr>
                <w:color w:val="auto"/>
                <w:kern w:val="0"/>
                <w:lang w:bidi="ar"/>
              </w:rPr>
            </w:pPr>
            <w:r>
              <w:rPr>
                <w:color w:val="auto"/>
                <w:kern w:val="0"/>
                <w:lang w:bidi="ar"/>
              </w:rPr>
              <w:t>2、项目应严格落实环评报告中提出的污染防治措施，确保本项目对周围环境影响降至最小。</w:t>
            </w:r>
          </w:p>
          <w:p w14:paraId="3A85053F">
            <w:pPr>
              <w:widowControl/>
              <w:adjustRightInd w:val="0"/>
              <w:snapToGrid w:val="0"/>
              <w:spacing w:line="360" w:lineRule="auto"/>
              <w:ind w:firstLine="420" w:firstLineChars="200"/>
              <w:rPr>
                <w:color w:val="auto"/>
                <w:kern w:val="0"/>
                <w:lang w:bidi="ar"/>
              </w:rPr>
            </w:pPr>
            <w:r>
              <w:rPr>
                <w:color w:val="auto"/>
                <w:kern w:val="0"/>
                <w:lang w:bidi="ar"/>
              </w:rPr>
              <w:t>3、建议企业应提高风险防范意识，加强风险防范措施，将事故发生的概率降到最低。</w:t>
            </w:r>
          </w:p>
          <w:p w14:paraId="3A850540">
            <w:pPr>
              <w:pStyle w:val="55"/>
              <w:spacing w:line="360" w:lineRule="auto"/>
              <w:ind w:firstLine="420" w:firstLineChars="200"/>
              <w:jc w:val="both"/>
              <w:rPr>
                <w:color w:val="auto"/>
                <w:sz w:val="21"/>
                <w:szCs w:val="21"/>
              </w:rPr>
            </w:pPr>
            <w:r>
              <w:rPr>
                <w:b w:val="0"/>
                <w:bCs w:val="0"/>
                <w:color w:val="auto"/>
                <w:sz w:val="21"/>
                <w:szCs w:val="21"/>
                <w:lang w:bidi="ar"/>
              </w:rPr>
              <w:t>4、建设单位要严格执行</w:t>
            </w:r>
            <w:r>
              <w:rPr>
                <w:rFonts w:hint="eastAsia"/>
                <w:b w:val="0"/>
                <w:bCs w:val="0"/>
                <w:color w:val="auto"/>
                <w:sz w:val="21"/>
                <w:szCs w:val="21"/>
                <w:lang w:bidi="ar"/>
              </w:rPr>
              <w:t>“</w:t>
            </w:r>
            <w:r>
              <w:rPr>
                <w:b w:val="0"/>
                <w:bCs w:val="0"/>
                <w:color w:val="auto"/>
                <w:sz w:val="21"/>
                <w:szCs w:val="21"/>
                <w:lang w:bidi="ar"/>
              </w:rPr>
              <w:t>三同时</w:t>
            </w:r>
            <w:r>
              <w:rPr>
                <w:rFonts w:hint="eastAsia"/>
                <w:b w:val="0"/>
                <w:bCs w:val="0"/>
                <w:color w:val="auto"/>
                <w:sz w:val="21"/>
                <w:szCs w:val="21"/>
                <w:lang w:bidi="ar"/>
              </w:rPr>
              <w:t>”</w:t>
            </w:r>
            <w:r>
              <w:rPr>
                <w:b w:val="0"/>
                <w:bCs w:val="0"/>
                <w:color w:val="auto"/>
                <w:sz w:val="21"/>
                <w:szCs w:val="21"/>
                <w:lang w:bidi="ar"/>
              </w:rPr>
              <w:t>，切实做到环保治理设施与主体工程同时设计、同时施工、同时投产使用。</w:t>
            </w:r>
          </w:p>
        </w:tc>
      </w:tr>
    </w:tbl>
    <w:p w14:paraId="3A850542">
      <w:pPr>
        <w:pStyle w:val="5"/>
        <w:ind w:firstLine="0"/>
        <w:rPr>
          <w:color w:val="auto"/>
          <w:sz w:val="24"/>
        </w:rPr>
      </w:pPr>
    </w:p>
    <w:p w14:paraId="648F6C65">
      <w:pPr>
        <w:pStyle w:val="72"/>
        <w:rPr>
          <w:color w:val="auto"/>
          <w:sz w:val="24"/>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A850544">
      <w:pPr>
        <w:pStyle w:val="72"/>
        <w:rPr>
          <w:color w:val="auto"/>
          <w:sz w:val="24"/>
        </w:rPr>
      </w:pPr>
    </w:p>
    <w:p w14:paraId="2DCDC96C">
      <w:pPr>
        <w:pStyle w:val="72"/>
        <w:rPr>
          <w:color w:val="auto"/>
          <w:sz w:val="24"/>
        </w:rPr>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A850546">
      <w:pPr>
        <w:autoSpaceDE w:val="0"/>
        <w:autoSpaceDN w:val="0"/>
        <w:adjustRightInd w:val="0"/>
        <w:jc w:val="left"/>
        <w:outlineLvl w:val="0"/>
        <w:rPr>
          <w:b/>
          <w:bCs/>
          <w:color w:val="auto"/>
          <w:sz w:val="24"/>
        </w:rPr>
      </w:pPr>
      <w:bookmarkStart w:id="30" w:name="_Toc137559025"/>
      <w:bookmarkStart w:id="31" w:name="_Toc21172"/>
      <w:r>
        <w:rPr>
          <w:b/>
          <w:bCs/>
          <w:color w:val="auto"/>
          <w:sz w:val="24"/>
        </w:rPr>
        <w:t>附表</w:t>
      </w:r>
      <w:bookmarkEnd w:id="30"/>
      <w:bookmarkEnd w:id="31"/>
    </w:p>
    <w:p w14:paraId="3A850547">
      <w:pPr>
        <w:pStyle w:val="55"/>
        <w:outlineLvl w:val="9"/>
        <w:rPr>
          <w:color w:val="auto"/>
        </w:rPr>
      </w:pPr>
      <w:bookmarkStart w:id="32" w:name="_Toc12131"/>
      <w:bookmarkStart w:id="33" w:name="_Toc32204"/>
      <w:r>
        <w:rPr>
          <w:color w:val="auto"/>
          <w:sz w:val="21"/>
        </w:rPr>
        <mc:AlternateContent>
          <mc:Choice Requires="wps">
            <w:drawing>
              <wp:anchor distT="0" distB="0" distL="114300" distR="114300" simplePos="0" relativeHeight="251660288" behindDoc="0" locked="0" layoutInCell="1" allowOverlap="1">
                <wp:simplePos x="0" y="0"/>
                <wp:positionH relativeFrom="column">
                  <wp:posOffset>-2540</wp:posOffset>
                </wp:positionH>
                <wp:positionV relativeFrom="paragraph">
                  <wp:posOffset>196850</wp:posOffset>
                </wp:positionV>
                <wp:extent cx="886460" cy="723265"/>
                <wp:effectExtent l="3175" t="3810" r="5715" b="15875"/>
                <wp:wrapNone/>
                <wp:docPr id="2" name="直线 22"/>
                <wp:cNvGraphicFramePr/>
                <a:graphic xmlns:a="http://schemas.openxmlformats.org/drawingml/2006/main">
                  <a:graphicData uri="http://schemas.microsoft.com/office/word/2010/wordprocessingShape">
                    <wps:wsp>
                      <wps:cNvCnPr/>
                      <wps:spPr>
                        <a:xfrm>
                          <a:off x="0" y="0"/>
                          <a:ext cx="886460" cy="72326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22" o:spid="_x0000_s1026" o:spt="20" style="position:absolute;left:0pt;margin-left:-0.2pt;margin-top:15.5pt;height:56.95pt;width:69.8pt;z-index:251660288;mso-width-relative:page;mso-height-relative:page;" filled="f" stroked="t" coordsize="21600,21600" o:gfxdata="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O1H7/XAAAACAEA&#10;AA8AAAAAAAAAAQAgAAAAIgAAAGRycy9kb3ducmV2LnhtbFBLAQIUABQAAAAIAIdO4kD7a8Fv4gEA&#10;ANQDAAAOAAAAAAAAAAEAIAAAACYBAABkcnMvZTJvRG9jLnhtbFBLBQYAAAAABgAGAFkBAAB6BQAA&#10;AAA=&#10;">
                <v:fill on="f" focussize="0,0"/>
                <v:stroke color="#000000" joinstyle="round"/>
                <v:imagedata o:title=""/>
                <o:lock v:ext="edit" aspectratio="f"/>
              </v:line>
            </w:pict>
          </mc:Fallback>
        </mc:AlternateContent>
      </w:r>
      <w:r>
        <w:rPr>
          <w:color w:val="auto"/>
        </w:rPr>
        <w:t>建设项目污染物排放量汇总表</w:t>
      </w:r>
      <w:bookmarkEnd w:id="32"/>
      <w:r>
        <w:rPr>
          <w:rFonts w:hint="eastAsia"/>
          <w:color w:val="auto"/>
        </w:rPr>
        <w:t>（t/a）</w:t>
      </w:r>
      <w:bookmarkEnd w:id="33"/>
    </w:p>
    <w:tbl>
      <w:tblPr>
        <w:tblStyle w:val="59"/>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407"/>
        <w:gridCol w:w="925"/>
        <w:gridCol w:w="1567"/>
        <w:gridCol w:w="1116"/>
        <w:gridCol w:w="1256"/>
        <w:gridCol w:w="1396"/>
        <w:gridCol w:w="1730"/>
        <w:gridCol w:w="1609"/>
        <w:gridCol w:w="1772"/>
        <w:gridCol w:w="1228"/>
      </w:tblGrid>
      <w:tr w14:paraId="3A8505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tcBorders>
              <w:tl2br w:val="nil"/>
              <w:tr2bl w:val="nil"/>
            </w:tcBorders>
            <w:tcMar>
              <w:left w:w="28" w:type="dxa"/>
              <w:right w:w="28" w:type="dxa"/>
            </w:tcMar>
            <w:vAlign w:val="center"/>
          </w:tcPr>
          <w:p w14:paraId="3A850548">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jc w:val="right"/>
              <w:rPr>
                <w:rFonts w:ascii="Times New Roman" w:eastAsia="宋体"/>
                <w:b/>
                <w:bCs/>
                <w:color w:val="auto"/>
                <w:sz w:val="21"/>
                <w:szCs w:val="21"/>
              </w:rPr>
            </w:pPr>
            <w:r>
              <w:rPr>
                <w:rFonts w:ascii="Times New Roman" w:eastAsia="宋体"/>
                <w:b/>
                <w:bCs/>
                <w:color w:val="auto"/>
                <w:sz w:val="21"/>
                <w:szCs w:val="21"/>
              </w:rPr>
              <w:t>项目</w:t>
            </w:r>
          </w:p>
          <w:p w14:paraId="3A850549">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jc w:val="left"/>
              <w:rPr>
                <w:rFonts w:ascii="Times New Roman" w:eastAsia="宋体"/>
                <w:b/>
                <w:bCs/>
                <w:color w:val="auto"/>
                <w:sz w:val="21"/>
                <w:szCs w:val="21"/>
              </w:rPr>
            </w:pPr>
            <w:r>
              <w:rPr>
                <w:rFonts w:ascii="Times New Roman" w:eastAsia="宋体"/>
                <w:b/>
                <w:bCs/>
                <w:color w:val="auto"/>
                <w:sz w:val="21"/>
                <w:szCs w:val="21"/>
              </w:rPr>
              <w:t>分类</w:t>
            </w:r>
          </w:p>
        </w:tc>
        <w:tc>
          <w:tcPr>
            <w:tcW w:w="889" w:type="pct"/>
            <w:gridSpan w:val="2"/>
            <w:tcBorders>
              <w:tl2br w:val="nil"/>
              <w:tr2bl w:val="nil"/>
            </w:tcBorders>
            <w:tcMar>
              <w:left w:w="28" w:type="dxa"/>
              <w:right w:w="28" w:type="dxa"/>
            </w:tcMar>
            <w:vAlign w:val="center"/>
          </w:tcPr>
          <w:p w14:paraId="3A85054A">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z w:val="21"/>
                <w:szCs w:val="21"/>
              </w:rPr>
            </w:pPr>
            <w:r>
              <w:rPr>
                <w:rFonts w:ascii="Times New Roman" w:eastAsia="宋体"/>
                <w:b/>
                <w:bCs/>
                <w:color w:val="auto"/>
                <w:sz w:val="21"/>
                <w:szCs w:val="21"/>
              </w:rPr>
              <w:t>污染物名称</w:t>
            </w:r>
          </w:p>
        </w:tc>
        <w:tc>
          <w:tcPr>
            <w:tcW w:w="398" w:type="pct"/>
            <w:tcBorders>
              <w:tl2br w:val="nil"/>
              <w:tr2bl w:val="nil"/>
            </w:tcBorders>
            <w:tcMar>
              <w:left w:w="28" w:type="dxa"/>
              <w:right w:w="28" w:type="dxa"/>
            </w:tcMar>
            <w:vAlign w:val="center"/>
          </w:tcPr>
          <w:p w14:paraId="3A85054B">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z w:val="21"/>
                <w:szCs w:val="21"/>
              </w:rPr>
            </w:pPr>
            <w:r>
              <w:rPr>
                <w:rFonts w:ascii="Times New Roman" w:eastAsia="宋体"/>
                <w:b/>
                <w:bCs/>
                <w:color w:val="auto"/>
                <w:sz w:val="21"/>
                <w:szCs w:val="21"/>
              </w:rPr>
              <w:t>现有工程排放量（固体废物产生量）</w:t>
            </w:r>
            <w:r>
              <w:rPr>
                <w:rFonts w:ascii="Times New Roman" w:eastAsia="宋体"/>
                <w:b/>
                <w:bCs/>
                <w:color w:val="auto"/>
                <w:sz w:val="21"/>
                <w:szCs w:val="21"/>
              </w:rPr>
              <w:fldChar w:fldCharType="begin"/>
            </w:r>
            <w:r>
              <w:rPr>
                <w:rFonts w:ascii="Times New Roman" w:eastAsia="宋体"/>
                <w:b/>
                <w:bCs/>
                <w:color w:val="auto"/>
                <w:sz w:val="21"/>
                <w:szCs w:val="21"/>
              </w:rPr>
              <w:instrText xml:space="preserve"> = 1 \* GB3 \* MERGEFORMAT </w:instrText>
            </w:r>
            <w:r>
              <w:rPr>
                <w:rFonts w:ascii="Times New Roman" w:eastAsia="宋体"/>
                <w:b/>
                <w:bCs/>
                <w:color w:val="auto"/>
                <w:sz w:val="21"/>
                <w:szCs w:val="21"/>
              </w:rPr>
              <w:fldChar w:fldCharType="separate"/>
            </w:r>
            <w:r>
              <w:rPr>
                <w:rFonts w:ascii="Times New Roman" w:eastAsia="宋体"/>
                <w:b/>
                <w:bCs/>
                <w:color w:val="auto"/>
                <w:sz w:val="21"/>
                <w:szCs w:val="21"/>
              </w:rPr>
              <w:t>①</w:t>
            </w:r>
            <w:r>
              <w:rPr>
                <w:rFonts w:ascii="Times New Roman" w:eastAsia="宋体"/>
                <w:b/>
                <w:bCs/>
                <w:color w:val="auto"/>
                <w:sz w:val="21"/>
                <w:szCs w:val="21"/>
              </w:rPr>
              <w:fldChar w:fldCharType="end"/>
            </w:r>
          </w:p>
        </w:tc>
        <w:tc>
          <w:tcPr>
            <w:tcW w:w="448" w:type="pct"/>
            <w:tcBorders>
              <w:tl2br w:val="nil"/>
              <w:tr2bl w:val="nil"/>
            </w:tcBorders>
            <w:tcMar>
              <w:left w:w="28" w:type="dxa"/>
              <w:right w:w="28" w:type="dxa"/>
            </w:tcMar>
            <w:vAlign w:val="center"/>
          </w:tcPr>
          <w:p w14:paraId="3A85054C">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z w:val="21"/>
                <w:szCs w:val="21"/>
              </w:rPr>
            </w:pPr>
            <w:r>
              <w:rPr>
                <w:rFonts w:ascii="Times New Roman" w:eastAsia="宋体"/>
                <w:b/>
                <w:bCs/>
                <w:color w:val="auto"/>
                <w:sz w:val="21"/>
                <w:szCs w:val="21"/>
              </w:rPr>
              <w:t>现有工程许可排放量</w:t>
            </w:r>
          </w:p>
          <w:p w14:paraId="3A85054D">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z w:val="21"/>
                <w:szCs w:val="21"/>
              </w:rPr>
            </w:pPr>
            <w:r>
              <w:rPr>
                <w:rFonts w:ascii="Times New Roman" w:eastAsia="宋体"/>
                <w:b/>
                <w:bCs/>
                <w:color w:val="auto"/>
                <w:sz w:val="21"/>
                <w:szCs w:val="21"/>
              </w:rPr>
              <w:fldChar w:fldCharType="begin"/>
            </w:r>
            <w:r>
              <w:rPr>
                <w:rFonts w:ascii="Times New Roman" w:eastAsia="宋体"/>
                <w:b/>
                <w:bCs/>
                <w:color w:val="auto"/>
                <w:sz w:val="21"/>
                <w:szCs w:val="21"/>
              </w:rPr>
              <w:instrText xml:space="preserve"> = 2 \* GB3 \* MERGEFORMAT </w:instrText>
            </w:r>
            <w:r>
              <w:rPr>
                <w:rFonts w:ascii="Times New Roman" w:eastAsia="宋体"/>
                <w:b/>
                <w:bCs/>
                <w:color w:val="auto"/>
                <w:sz w:val="21"/>
                <w:szCs w:val="21"/>
              </w:rPr>
              <w:fldChar w:fldCharType="separate"/>
            </w:r>
            <w:r>
              <w:rPr>
                <w:rFonts w:ascii="Times New Roman" w:eastAsia="宋体"/>
                <w:b/>
                <w:bCs/>
                <w:color w:val="auto"/>
                <w:sz w:val="21"/>
                <w:szCs w:val="21"/>
              </w:rPr>
              <w:t>②</w:t>
            </w:r>
            <w:r>
              <w:rPr>
                <w:rFonts w:ascii="Times New Roman" w:eastAsia="宋体"/>
                <w:b/>
                <w:bCs/>
                <w:color w:val="auto"/>
                <w:sz w:val="21"/>
                <w:szCs w:val="21"/>
              </w:rPr>
              <w:fldChar w:fldCharType="end"/>
            </w:r>
          </w:p>
        </w:tc>
        <w:tc>
          <w:tcPr>
            <w:tcW w:w="498" w:type="pct"/>
            <w:tcBorders>
              <w:tl2br w:val="nil"/>
              <w:tr2bl w:val="nil"/>
            </w:tcBorders>
            <w:tcMar>
              <w:left w:w="28" w:type="dxa"/>
              <w:right w:w="28" w:type="dxa"/>
            </w:tcMar>
            <w:vAlign w:val="center"/>
          </w:tcPr>
          <w:p w14:paraId="3A85054E">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z w:val="21"/>
                <w:szCs w:val="21"/>
              </w:rPr>
            </w:pPr>
            <w:r>
              <w:rPr>
                <w:rFonts w:ascii="Times New Roman" w:eastAsia="宋体"/>
                <w:b/>
                <w:bCs/>
                <w:color w:val="auto"/>
                <w:sz w:val="21"/>
                <w:szCs w:val="21"/>
              </w:rPr>
              <w:t>在建工程排放量（固体废物产生量）</w:t>
            </w:r>
            <w:r>
              <w:rPr>
                <w:rFonts w:ascii="Times New Roman" w:eastAsia="宋体"/>
                <w:b/>
                <w:bCs/>
                <w:color w:val="auto"/>
                <w:sz w:val="21"/>
                <w:szCs w:val="21"/>
              </w:rPr>
              <w:fldChar w:fldCharType="begin"/>
            </w:r>
            <w:r>
              <w:rPr>
                <w:rFonts w:ascii="Times New Roman" w:eastAsia="宋体"/>
                <w:b/>
                <w:bCs/>
                <w:color w:val="auto"/>
                <w:sz w:val="21"/>
                <w:szCs w:val="21"/>
              </w:rPr>
              <w:instrText xml:space="preserve"> = 3 \* GB3 \* MERGEFORMAT </w:instrText>
            </w:r>
            <w:r>
              <w:rPr>
                <w:rFonts w:ascii="Times New Roman" w:eastAsia="宋体"/>
                <w:b/>
                <w:bCs/>
                <w:color w:val="auto"/>
                <w:sz w:val="21"/>
                <w:szCs w:val="21"/>
              </w:rPr>
              <w:fldChar w:fldCharType="separate"/>
            </w:r>
            <w:r>
              <w:rPr>
                <w:rFonts w:ascii="Times New Roman" w:eastAsia="宋体"/>
                <w:b/>
                <w:bCs/>
                <w:color w:val="auto"/>
                <w:sz w:val="21"/>
                <w:szCs w:val="21"/>
              </w:rPr>
              <w:t>③</w:t>
            </w:r>
            <w:r>
              <w:rPr>
                <w:rFonts w:ascii="Times New Roman" w:eastAsia="宋体"/>
                <w:b/>
                <w:bCs/>
                <w:color w:val="auto"/>
                <w:sz w:val="21"/>
                <w:szCs w:val="21"/>
              </w:rPr>
              <w:fldChar w:fldCharType="end"/>
            </w:r>
          </w:p>
        </w:tc>
        <w:tc>
          <w:tcPr>
            <w:tcW w:w="617" w:type="pct"/>
            <w:tcBorders>
              <w:tl2br w:val="nil"/>
              <w:tr2bl w:val="nil"/>
            </w:tcBorders>
            <w:tcMar>
              <w:left w:w="28" w:type="dxa"/>
              <w:right w:w="28" w:type="dxa"/>
            </w:tcMar>
            <w:vAlign w:val="center"/>
          </w:tcPr>
          <w:p w14:paraId="3A85054F">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z w:val="21"/>
                <w:szCs w:val="21"/>
              </w:rPr>
            </w:pPr>
            <w:r>
              <w:rPr>
                <w:rFonts w:ascii="Times New Roman" w:eastAsia="宋体"/>
                <w:b/>
                <w:bCs/>
                <w:color w:val="auto"/>
                <w:sz w:val="21"/>
                <w:szCs w:val="21"/>
              </w:rPr>
              <w:t>本项目排放量（固体废物产生量）</w:t>
            </w:r>
            <w:r>
              <w:rPr>
                <w:rFonts w:ascii="Times New Roman" w:eastAsia="宋体"/>
                <w:b/>
                <w:bCs/>
                <w:color w:val="auto"/>
                <w:sz w:val="21"/>
                <w:szCs w:val="21"/>
              </w:rPr>
              <w:fldChar w:fldCharType="begin"/>
            </w:r>
            <w:r>
              <w:rPr>
                <w:rFonts w:ascii="Times New Roman" w:eastAsia="宋体"/>
                <w:b/>
                <w:bCs/>
                <w:color w:val="auto"/>
                <w:sz w:val="21"/>
                <w:szCs w:val="21"/>
              </w:rPr>
              <w:instrText xml:space="preserve"> = 4 \* GB3 \* MERGEFORMAT </w:instrText>
            </w:r>
            <w:r>
              <w:rPr>
                <w:rFonts w:ascii="Times New Roman" w:eastAsia="宋体"/>
                <w:b/>
                <w:bCs/>
                <w:color w:val="auto"/>
                <w:sz w:val="21"/>
                <w:szCs w:val="21"/>
              </w:rPr>
              <w:fldChar w:fldCharType="separate"/>
            </w:r>
            <w:r>
              <w:rPr>
                <w:rFonts w:ascii="Times New Roman" w:eastAsia="宋体"/>
                <w:b/>
                <w:bCs/>
                <w:color w:val="auto"/>
                <w:sz w:val="21"/>
                <w:szCs w:val="21"/>
              </w:rPr>
              <w:t>④</w:t>
            </w:r>
            <w:r>
              <w:rPr>
                <w:rFonts w:ascii="Times New Roman" w:eastAsia="宋体"/>
                <w:b/>
                <w:bCs/>
                <w:color w:val="auto"/>
                <w:sz w:val="21"/>
                <w:szCs w:val="21"/>
              </w:rPr>
              <w:fldChar w:fldCharType="end"/>
            </w:r>
          </w:p>
        </w:tc>
        <w:tc>
          <w:tcPr>
            <w:tcW w:w="574" w:type="pct"/>
            <w:tcBorders>
              <w:tl2br w:val="nil"/>
              <w:tr2bl w:val="nil"/>
            </w:tcBorders>
            <w:tcMar>
              <w:left w:w="28" w:type="dxa"/>
              <w:right w:w="28" w:type="dxa"/>
            </w:tcMar>
            <w:vAlign w:val="center"/>
          </w:tcPr>
          <w:p w14:paraId="3A85055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z w:val="21"/>
                <w:szCs w:val="21"/>
              </w:rPr>
            </w:pPr>
            <w:r>
              <w:rPr>
                <w:rFonts w:ascii="Times New Roman" w:eastAsia="宋体"/>
                <w:b/>
                <w:bCs/>
                <w:color w:val="auto"/>
                <w:sz w:val="21"/>
                <w:szCs w:val="21"/>
              </w:rPr>
              <w:t>以新带老削减量（新建项目不填）</w:t>
            </w:r>
            <w:r>
              <w:rPr>
                <w:rFonts w:ascii="Times New Roman" w:eastAsia="宋体"/>
                <w:b/>
                <w:bCs/>
                <w:color w:val="auto"/>
                <w:sz w:val="21"/>
                <w:szCs w:val="21"/>
              </w:rPr>
              <w:fldChar w:fldCharType="begin"/>
            </w:r>
            <w:r>
              <w:rPr>
                <w:rFonts w:ascii="Times New Roman" w:eastAsia="宋体"/>
                <w:b/>
                <w:bCs/>
                <w:color w:val="auto"/>
                <w:sz w:val="21"/>
                <w:szCs w:val="21"/>
              </w:rPr>
              <w:instrText xml:space="preserve"> = 5 \* GB3 \* MERGEFORMAT </w:instrText>
            </w:r>
            <w:r>
              <w:rPr>
                <w:rFonts w:ascii="Times New Roman" w:eastAsia="宋体"/>
                <w:b/>
                <w:bCs/>
                <w:color w:val="auto"/>
                <w:sz w:val="21"/>
                <w:szCs w:val="21"/>
              </w:rPr>
              <w:fldChar w:fldCharType="separate"/>
            </w:r>
            <w:r>
              <w:rPr>
                <w:rFonts w:ascii="Times New Roman" w:eastAsia="宋体"/>
                <w:b/>
                <w:bCs/>
                <w:color w:val="auto"/>
                <w:sz w:val="21"/>
                <w:szCs w:val="21"/>
              </w:rPr>
              <w:t>⑤</w:t>
            </w:r>
            <w:r>
              <w:rPr>
                <w:rFonts w:ascii="Times New Roman" w:eastAsia="宋体"/>
                <w:b/>
                <w:bCs/>
                <w:color w:val="auto"/>
                <w:sz w:val="21"/>
                <w:szCs w:val="21"/>
              </w:rPr>
              <w:fldChar w:fldCharType="end"/>
            </w:r>
          </w:p>
        </w:tc>
        <w:tc>
          <w:tcPr>
            <w:tcW w:w="632" w:type="pct"/>
            <w:tcBorders>
              <w:tl2br w:val="nil"/>
              <w:tr2bl w:val="nil"/>
            </w:tcBorders>
            <w:tcMar>
              <w:left w:w="28" w:type="dxa"/>
              <w:right w:w="28" w:type="dxa"/>
            </w:tcMar>
            <w:vAlign w:val="center"/>
          </w:tcPr>
          <w:p w14:paraId="3A850551">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z w:val="21"/>
                <w:szCs w:val="21"/>
              </w:rPr>
            </w:pPr>
            <w:r>
              <w:rPr>
                <w:rFonts w:ascii="Times New Roman" w:eastAsia="宋体"/>
                <w:b/>
                <w:bCs/>
                <w:color w:val="auto"/>
                <w:sz w:val="21"/>
                <w:szCs w:val="21"/>
              </w:rPr>
              <w:t>本项目建成后全厂排放量（固体废物产生量）</w:t>
            </w:r>
            <w:r>
              <w:rPr>
                <w:rFonts w:ascii="Times New Roman" w:eastAsia="宋体"/>
                <w:b/>
                <w:bCs/>
                <w:color w:val="auto"/>
                <w:sz w:val="21"/>
                <w:szCs w:val="21"/>
              </w:rPr>
              <w:fldChar w:fldCharType="begin"/>
            </w:r>
            <w:r>
              <w:rPr>
                <w:rFonts w:ascii="Times New Roman" w:eastAsia="宋体"/>
                <w:b/>
                <w:bCs/>
                <w:color w:val="auto"/>
                <w:sz w:val="21"/>
                <w:szCs w:val="21"/>
              </w:rPr>
              <w:instrText xml:space="preserve"> = 6 \* GB3 \* MERGEFORMAT </w:instrText>
            </w:r>
            <w:r>
              <w:rPr>
                <w:rFonts w:ascii="Times New Roman" w:eastAsia="宋体"/>
                <w:b/>
                <w:bCs/>
                <w:color w:val="auto"/>
                <w:sz w:val="21"/>
                <w:szCs w:val="21"/>
              </w:rPr>
              <w:fldChar w:fldCharType="separate"/>
            </w:r>
            <w:r>
              <w:rPr>
                <w:rFonts w:ascii="Times New Roman" w:eastAsia="宋体"/>
                <w:b/>
                <w:bCs/>
                <w:color w:val="auto"/>
                <w:sz w:val="21"/>
                <w:szCs w:val="21"/>
              </w:rPr>
              <w:t>⑥</w:t>
            </w:r>
            <w:r>
              <w:rPr>
                <w:rFonts w:ascii="Times New Roman" w:eastAsia="宋体"/>
                <w:b/>
                <w:bCs/>
                <w:color w:val="auto"/>
                <w:sz w:val="21"/>
                <w:szCs w:val="21"/>
              </w:rPr>
              <w:fldChar w:fldCharType="end"/>
            </w:r>
          </w:p>
        </w:tc>
        <w:tc>
          <w:tcPr>
            <w:tcW w:w="438" w:type="pct"/>
            <w:tcBorders>
              <w:tl2br w:val="nil"/>
              <w:tr2bl w:val="nil"/>
            </w:tcBorders>
            <w:tcMar>
              <w:left w:w="28" w:type="dxa"/>
              <w:right w:w="28" w:type="dxa"/>
            </w:tcMar>
            <w:vAlign w:val="center"/>
          </w:tcPr>
          <w:p w14:paraId="3A850552">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z w:val="21"/>
                <w:szCs w:val="21"/>
              </w:rPr>
            </w:pPr>
            <w:r>
              <w:rPr>
                <w:rFonts w:ascii="Times New Roman" w:eastAsia="宋体"/>
                <w:b/>
                <w:bCs/>
                <w:color w:val="auto"/>
                <w:sz w:val="21"/>
                <w:szCs w:val="21"/>
              </w:rPr>
              <w:t>变化量</w:t>
            </w:r>
            <w:r>
              <w:rPr>
                <w:rFonts w:ascii="Times New Roman" w:eastAsia="宋体"/>
                <w:b/>
                <w:bCs/>
                <w:color w:val="auto"/>
                <w:sz w:val="21"/>
                <w:szCs w:val="21"/>
              </w:rPr>
              <w:fldChar w:fldCharType="begin"/>
            </w:r>
            <w:r>
              <w:rPr>
                <w:rFonts w:ascii="Times New Roman" w:eastAsia="宋体"/>
                <w:b/>
                <w:bCs/>
                <w:color w:val="auto"/>
                <w:sz w:val="21"/>
                <w:szCs w:val="21"/>
              </w:rPr>
              <w:instrText xml:space="preserve"> = 7 \* GB3 \* MERGEFORMAT </w:instrText>
            </w:r>
            <w:r>
              <w:rPr>
                <w:rFonts w:ascii="Times New Roman" w:eastAsia="宋体"/>
                <w:b/>
                <w:bCs/>
                <w:color w:val="auto"/>
                <w:sz w:val="21"/>
                <w:szCs w:val="21"/>
              </w:rPr>
              <w:fldChar w:fldCharType="separate"/>
            </w:r>
            <w:r>
              <w:rPr>
                <w:rFonts w:ascii="Times New Roman" w:eastAsia="宋体"/>
                <w:b/>
                <w:bCs/>
                <w:color w:val="auto"/>
                <w:sz w:val="21"/>
                <w:szCs w:val="21"/>
              </w:rPr>
              <w:t>⑦</w:t>
            </w:r>
            <w:r>
              <w:rPr>
                <w:rFonts w:ascii="Times New Roman" w:eastAsia="宋体"/>
                <w:b/>
                <w:bCs/>
                <w:color w:val="auto"/>
                <w:sz w:val="21"/>
                <w:szCs w:val="21"/>
              </w:rPr>
              <w:fldChar w:fldCharType="end"/>
            </w:r>
          </w:p>
        </w:tc>
      </w:tr>
      <w:tr w14:paraId="3A8505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restart"/>
            <w:tcBorders>
              <w:tl2br w:val="nil"/>
              <w:tr2bl w:val="nil"/>
            </w:tcBorders>
            <w:vAlign w:val="center"/>
          </w:tcPr>
          <w:p w14:paraId="3A850554">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r>
              <w:rPr>
                <w:rFonts w:ascii="Times New Roman" w:eastAsia="宋体"/>
                <w:color w:val="auto"/>
                <w:sz w:val="21"/>
                <w:szCs w:val="21"/>
              </w:rPr>
              <w:t>废气</w:t>
            </w:r>
          </w:p>
        </w:tc>
        <w:tc>
          <w:tcPr>
            <w:tcW w:w="330" w:type="pct"/>
            <w:vMerge w:val="restart"/>
            <w:tcBorders>
              <w:tl2br w:val="nil"/>
              <w:tr2bl w:val="nil"/>
            </w:tcBorders>
            <w:vAlign w:val="center"/>
          </w:tcPr>
          <w:p w14:paraId="3A850555">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r>
              <w:rPr>
                <w:rFonts w:hint="eastAsia" w:ascii="Times New Roman" w:eastAsia="宋体"/>
                <w:color w:val="auto"/>
                <w:sz w:val="21"/>
                <w:szCs w:val="21"/>
              </w:rPr>
              <w:t>有组织</w:t>
            </w:r>
          </w:p>
        </w:tc>
        <w:tc>
          <w:tcPr>
            <w:tcW w:w="559" w:type="pct"/>
            <w:tcBorders>
              <w:tl2br w:val="nil"/>
              <w:tr2bl w:val="nil"/>
            </w:tcBorders>
            <w:vAlign w:val="center"/>
          </w:tcPr>
          <w:p w14:paraId="3A850556">
            <w:pPr>
              <w:pStyle w:val="656"/>
              <w:keepNext w:val="0"/>
              <w:keepLines w:val="0"/>
              <w:pageBreakBefore w:val="0"/>
              <w:kinsoku/>
              <w:wordWrap/>
              <w:overflowPunct/>
              <w:topLinePunct w:val="0"/>
              <w:autoSpaceDE/>
              <w:autoSpaceDN/>
              <w:bidi w:val="0"/>
              <w:adjustRightInd w:val="0"/>
              <w:snapToGrid w:val="0"/>
              <w:rPr>
                <w:color w:val="auto"/>
                <w:kern w:val="0"/>
                <w:sz w:val="21"/>
                <w:szCs w:val="21"/>
              </w:rPr>
            </w:pPr>
            <w:r>
              <w:rPr>
                <w:rFonts w:hint="eastAsia" w:eastAsia="宋体"/>
                <w:color w:val="auto"/>
                <w:sz w:val="21"/>
                <w:szCs w:val="21"/>
                <w:lang w:val="en-US" w:eastAsia="zh-CN"/>
              </w:rPr>
              <w:t>颗粒物</w:t>
            </w:r>
          </w:p>
        </w:tc>
        <w:tc>
          <w:tcPr>
            <w:tcW w:w="398" w:type="pct"/>
            <w:tcBorders>
              <w:tl2br w:val="nil"/>
              <w:tr2bl w:val="nil"/>
            </w:tcBorders>
            <w:vAlign w:val="center"/>
          </w:tcPr>
          <w:p w14:paraId="3A850557">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0.614</w:t>
            </w:r>
          </w:p>
        </w:tc>
        <w:tc>
          <w:tcPr>
            <w:tcW w:w="448" w:type="pct"/>
            <w:tcBorders>
              <w:tl2br w:val="nil"/>
              <w:tr2bl w:val="nil"/>
            </w:tcBorders>
            <w:vAlign w:val="center"/>
          </w:tcPr>
          <w:p w14:paraId="3A850558">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vAlign w:val="center"/>
          </w:tcPr>
          <w:p w14:paraId="3A850559">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30" w:type="dxa"/>
            <w:tcBorders>
              <w:tl2br w:val="nil"/>
              <w:tr2bl w:val="nil"/>
            </w:tcBorders>
            <w:vAlign w:val="center"/>
          </w:tcPr>
          <w:p w14:paraId="3A85055A">
            <w:pPr>
              <w:pStyle w:val="656"/>
              <w:snapToGrid w:val="0"/>
              <w:rPr>
                <w:rFonts w:hint="default" w:eastAsia="宋体"/>
                <w:color w:val="auto"/>
                <w:kern w:val="0"/>
                <w:sz w:val="21"/>
                <w:szCs w:val="21"/>
                <w:lang w:val="en-US"/>
              </w:rPr>
            </w:pPr>
            <w:r>
              <w:rPr>
                <w:rFonts w:hint="eastAsia" w:eastAsia="宋体"/>
                <w:color w:val="auto"/>
                <w:sz w:val="21"/>
                <w:szCs w:val="21"/>
                <w:lang w:val="en-US" w:eastAsia="zh-CN"/>
              </w:rPr>
              <w:t>0.033</w:t>
            </w:r>
          </w:p>
        </w:tc>
        <w:tc>
          <w:tcPr>
            <w:tcW w:w="574" w:type="pct"/>
            <w:tcBorders>
              <w:tl2br w:val="nil"/>
              <w:tr2bl w:val="nil"/>
            </w:tcBorders>
            <w:vAlign w:val="center"/>
          </w:tcPr>
          <w:p w14:paraId="3A85055B">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72" w:type="dxa"/>
            <w:tcBorders>
              <w:tl2br w:val="nil"/>
              <w:tr2bl w:val="nil"/>
            </w:tcBorders>
            <w:vAlign w:val="center"/>
          </w:tcPr>
          <w:p w14:paraId="3A85055C">
            <w:pPr>
              <w:pStyle w:val="656"/>
              <w:snapToGrid w:val="0"/>
              <w:rPr>
                <w:rFonts w:hint="eastAsia" w:eastAsia="宋体"/>
                <w:color w:val="auto"/>
                <w:sz w:val="21"/>
                <w:szCs w:val="21"/>
                <w:lang w:val="en-US" w:eastAsia="zh-CN"/>
              </w:rPr>
            </w:pPr>
            <w:r>
              <w:rPr>
                <w:rFonts w:hint="eastAsia" w:eastAsia="宋体"/>
                <w:color w:val="auto"/>
                <w:sz w:val="21"/>
                <w:szCs w:val="21"/>
                <w:lang w:val="en-US" w:eastAsia="zh-CN"/>
              </w:rPr>
              <w:t>0.2512</w:t>
            </w:r>
          </w:p>
        </w:tc>
        <w:tc>
          <w:tcPr>
            <w:tcW w:w="438" w:type="pct"/>
            <w:tcBorders>
              <w:tl2br w:val="nil"/>
              <w:tr2bl w:val="nil"/>
            </w:tcBorders>
            <w:vAlign w:val="center"/>
          </w:tcPr>
          <w:p w14:paraId="3A85055D">
            <w:pPr>
              <w:pStyle w:val="656"/>
              <w:snapToGrid w:val="0"/>
              <w:rPr>
                <w:rFonts w:eastAsia="宋体"/>
                <w:color w:val="auto"/>
                <w:kern w:val="0"/>
                <w:sz w:val="21"/>
                <w:szCs w:val="21"/>
              </w:rPr>
            </w:pPr>
            <w:r>
              <w:rPr>
                <w:rFonts w:hint="eastAsia" w:eastAsia="宋体"/>
                <w:color w:val="auto"/>
                <w:sz w:val="21"/>
                <w:szCs w:val="21"/>
                <w:lang w:val="en-US" w:eastAsia="zh-CN"/>
              </w:rPr>
              <w:t>0</w:t>
            </w:r>
          </w:p>
        </w:tc>
      </w:tr>
      <w:tr w14:paraId="3AC076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0D112F1E">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330" w:type="pct"/>
            <w:vMerge w:val="continue"/>
            <w:tcBorders>
              <w:tl2br w:val="nil"/>
              <w:tr2bl w:val="nil"/>
            </w:tcBorders>
            <w:vAlign w:val="center"/>
          </w:tcPr>
          <w:p w14:paraId="53686FBC">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hint="eastAsia" w:ascii="Times New Roman" w:eastAsia="宋体"/>
                <w:color w:val="auto"/>
                <w:sz w:val="21"/>
                <w:szCs w:val="21"/>
              </w:rPr>
            </w:pPr>
          </w:p>
        </w:tc>
        <w:tc>
          <w:tcPr>
            <w:tcW w:w="559" w:type="pct"/>
            <w:tcBorders>
              <w:tl2br w:val="nil"/>
              <w:tr2bl w:val="nil"/>
            </w:tcBorders>
            <w:vAlign w:val="center"/>
          </w:tcPr>
          <w:p w14:paraId="6B25D815">
            <w:pPr>
              <w:pStyle w:val="656"/>
              <w:keepNext w:val="0"/>
              <w:keepLines w:val="0"/>
              <w:pageBreakBefore w:val="0"/>
              <w:kinsoku/>
              <w:wordWrap/>
              <w:overflowPunct/>
              <w:topLinePunct w:val="0"/>
              <w:autoSpaceDE/>
              <w:autoSpaceDN/>
              <w:bidi w:val="0"/>
              <w:adjustRightInd w:val="0"/>
              <w:snapToGrid w:val="0"/>
              <w:rPr>
                <w:color w:val="auto"/>
                <w:kern w:val="0"/>
                <w:sz w:val="21"/>
                <w:szCs w:val="21"/>
              </w:rPr>
            </w:pPr>
            <w:r>
              <w:rPr>
                <w:rFonts w:hint="eastAsia" w:eastAsia="宋体"/>
                <w:color w:val="auto"/>
                <w:sz w:val="21"/>
                <w:szCs w:val="21"/>
                <w:lang w:val="en-US" w:eastAsia="zh-CN"/>
              </w:rPr>
              <w:t>SO</w:t>
            </w:r>
            <w:r>
              <w:rPr>
                <w:rFonts w:hint="eastAsia" w:eastAsia="宋体"/>
                <w:color w:val="auto"/>
                <w:sz w:val="21"/>
                <w:szCs w:val="21"/>
                <w:vertAlign w:val="subscript"/>
                <w:lang w:val="en-US" w:eastAsia="zh-CN"/>
              </w:rPr>
              <w:t>2</w:t>
            </w:r>
          </w:p>
        </w:tc>
        <w:tc>
          <w:tcPr>
            <w:tcW w:w="398" w:type="pct"/>
            <w:tcBorders>
              <w:tl2br w:val="nil"/>
              <w:tr2bl w:val="nil"/>
            </w:tcBorders>
            <w:vAlign w:val="center"/>
          </w:tcPr>
          <w:p w14:paraId="77F7C77E">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0.168</w:t>
            </w:r>
          </w:p>
        </w:tc>
        <w:tc>
          <w:tcPr>
            <w:tcW w:w="448" w:type="pct"/>
            <w:tcBorders>
              <w:tl2br w:val="nil"/>
              <w:tr2bl w:val="nil"/>
            </w:tcBorders>
            <w:vAlign w:val="center"/>
          </w:tcPr>
          <w:p w14:paraId="05A1C449">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vAlign w:val="center"/>
          </w:tcPr>
          <w:p w14:paraId="4581E462">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30" w:type="dxa"/>
            <w:tcBorders>
              <w:tl2br w:val="nil"/>
              <w:tr2bl w:val="nil"/>
            </w:tcBorders>
            <w:vAlign w:val="center"/>
          </w:tcPr>
          <w:p w14:paraId="02756F03">
            <w:pPr>
              <w:pStyle w:val="656"/>
              <w:snapToGrid w:val="0"/>
              <w:rPr>
                <w:rFonts w:hint="eastAsia" w:eastAsia="宋体"/>
                <w:color w:val="auto"/>
                <w:kern w:val="0"/>
                <w:sz w:val="21"/>
                <w:szCs w:val="21"/>
                <w:lang w:bidi="ar"/>
              </w:rPr>
            </w:pPr>
            <w:r>
              <w:rPr>
                <w:rFonts w:hint="eastAsia" w:eastAsia="宋体"/>
                <w:color w:val="auto"/>
                <w:sz w:val="21"/>
                <w:szCs w:val="21"/>
                <w:lang w:val="en-US" w:eastAsia="zh-CN"/>
              </w:rPr>
              <w:t>0.032</w:t>
            </w:r>
          </w:p>
        </w:tc>
        <w:tc>
          <w:tcPr>
            <w:tcW w:w="574" w:type="pct"/>
            <w:tcBorders>
              <w:tl2br w:val="nil"/>
              <w:tr2bl w:val="nil"/>
            </w:tcBorders>
            <w:vAlign w:val="center"/>
          </w:tcPr>
          <w:p w14:paraId="4BB3ED21">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72" w:type="dxa"/>
            <w:tcBorders>
              <w:tl2br w:val="nil"/>
              <w:tr2bl w:val="nil"/>
            </w:tcBorders>
            <w:vAlign w:val="center"/>
          </w:tcPr>
          <w:p w14:paraId="1DBE986F">
            <w:pPr>
              <w:pStyle w:val="656"/>
              <w:snapToGrid w:val="0"/>
              <w:rPr>
                <w:rFonts w:hint="eastAsia" w:eastAsia="宋体"/>
                <w:color w:val="auto"/>
                <w:sz w:val="21"/>
                <w:szCs w:val="21"/>
                <w:lang w:val="en-US" w:eastAsia="zh-CN"/>
              </w:rPr>
            </w:pPr>
            <w:r>
              <w:rPr>
                <w:rFonts w:hint="eastAsia" w:eastAsia="宋体"/>
                <w:color w:val="auto"/>
                <w:sz w:val="21"/>
                <w:szCs w:val="21"/>
                <w:lang w:val="en-US" w:eastAsia="zh-CN"/>
              </w:rPr>
              <w:t>0.08</w:t>
            </w:r>
          </w:p>
        </w:tc>
        <w:tc>
          <w:tcPr>
            <w:tcW w:w="438" w:type="pct"/>
            <w:tcBorders>
              <w:tl2br w:val="nil"/>
              <w:tr2bl w:val="nil"/>
            </w:tcBorders>
            <w:vAlign w:val="center"/>
          </w:tcPr>
          <w:p w14:paraId="4E6E20F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sz w:val="21"/>
                <w:szCs w:val="21"/>
                <w:lang w:bidi="ar"/>
              </w:rPr>
            </w:pPr>
            <w:r>
              <w:rPr>
                <w:rFonts w:hint="eastAsia" w:eastAsia="宋体"/>
                <w:color w:val="auto"/>
                <w:sz w:val="21"/>
                <w:szCs w:val="21"/>
                <w:lang w:val="en-US" w:eastAsia="zh-CN"/>
              </w:rPr>
              <w:t>0</w:t>
            </w:r>
          </w:p>
        </w:tc>
      </w:tr>
      <w:tr w14:paraId="7F4504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7F1049EF">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330" w:type="pct"/>
            <w:vMerge w:val="continue"/>
            <w:tcBorders>
              <w:tl2br w:val="nil"/>
              <w:tr2bl w:val="nil"/>
            </w:tcBorders>
            <w:vAlign w:val="center"/>
          </w:tcPr>
          <w:p w14:paraId="4704C4A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hint="eastAsia" w:ascii="Times New Roman" w:eastAsia="宋体"/>
                <w:color w:val="auto"/>
                <w:sz w:val="21"/>
                <w:szCs w:val="21"/>
              </w:rPr>
            </w:pPr>
          </w:p>
        </w:tc>
        <w:tc>
          <w:tcPr>
            <w:tcW w:w="559" w:type="pct"/>
            <w:tcBorders>
              <w:tl2br w:val="nil"/>
              <w:tr2bl w:val="nil"/>
            </w:tcBorders>
            <w:vAlign w:val="center"/>
          </w:tcPr>
          <w:p w14:paraId="2AC43EC0">
            <w:pPr>
              <w:pStyle w:val="656"/>
              <w:keepNext w:val="0"/>
              <w:keepLines w:val="0"/>
              <w:pageBreakBefore w:val="0"/>
              <w:kinsoku/>
              <w:wordWrap/>
              <w:overflowPunct/>
              <w:topLinePunct w:val="0"/>
              <w:autoSpaceDE/>
              <w:autoSpaceDN/>
              <w:bidi w:val="0"/>
              <w:adjustRightInd w:val="0"/>
              <w:snapToGrid w:val="0"/>
              <w:rPr>
                <w:color w:val="auto"/>
                <w:kern w:val="0"/>
                <w:sz w:val="21"/>
                <w:szCs w:val="21"/>
              </w:rPr>
            </w:pPr>
            <w:r>
              <w:rPr>
                <w:rFonts w:hint="eastAsia" w:eastAsia="宋体"/>
                <w:color w:val="auto"/>
                <w:sz w:val="21"/>
                <w:szCs w:val="21"/>
                <w:lang w:val="en-US" w:eastAsia="zh-CN"/>
              </w:rPr>
              <w:t>NOx</w:t>
            </w:r>
          </w:p>
        </w:tc>
        <w:tc>
          <w:tcPr>
            <w:tcW w:w="398" w:type="pct"/>
            <w:tcBorders>
              <w:tl2br w:val="nil"/>
              <w:tr2bl w:val="nil"/>
            </w:tcBorders>
            <w:vAlign w:val="center"/>
          </w:tcPr>
          <w:p w14:paraId="5008B854">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1.005</w:t>
            </w:r>
          </w:p>
        </w:tc>
        <w:tc>
          <w:tcPr>
            <w:tcW w:w="448" w:type="pct"/>
            <w:tcBorders>
              <w:tl2br w:val="nil"/>
              <w:tr2bl w:val="nil"/>
            </w:tcBorders>
            <w:vAlign w:val="center"/>
          </w:tcPr>
          <w:p w14:paraId="754C8BBB">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vAlign w:val="center"/>
          </w:tcPr>
          <w:p w14:paraId="67DEA38A">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30" w:type="dxa"/>
            <w:tcBorders>
              <w:tl2br w:val="nil"/>
              <w:tr2bl w:val="nil"/>
            </w:tcBorders>
            <w:vAlign w:val="center"/>
          </w:tcPr>
          <w:p w14:paraId="4749BD0C">
            <w:pPr>
              <w:pStyle w:val="656"/>
              <w:snapToGrid w:val="0"/>
              <w:rPr>
                <w:rFonts w:hint="default" w:eastAsia="宋体"/>
                <w:color w:val="auto"/>
                <w:kern w:val="0"/>
                <w:sz w:val="21"/>
                <w:szCs w:val="21"/>
                <w:lang w:val="en-US" w:bidi="ar"/>
              </w:rPr>
            </w:pPr>
            <w:r>
              <w:rPr>
                <w:rFonts w:hint="eastAsia" w:eastAsia="宋体"/>
                <w:color w:val="auto"/>
                <w:sz w:val="21"/>
                <w:szCs w:val="21"/>
                <w:lang w:val="en-US" w:eastAsia="zh-CN"/>
              </w:rPr>
              <w:t>0.1</w:t>
            </w:r>
          </w:p>
        </w:tc>
        <w:tc>
          <w:tcPr>
            <w:tcW w:w="574" w:type="pct"/>
            <w:tcBorders>
              <w:tl2br w:val="nil"/>
              <w:tr2bl w:val="nil"/>
            </w:tcBorders>
            <w:vAlign w:val="center"/>
          </w:tcPr>
          <w:p w14:paraId="7E685836">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72" w:type="dxa"/>
            <w:tcBorders>
              <w:tl2br w:val="nil"/>
              <w:tr2bl w:val="nil"/>
            </w:tcBorders>
            <w:vAlign w:val="center"/>
          </w:tcPr>
          <w:p w14:paraId="31317FEC">
            <w:pPr>
              <w:pStyle w:val="656"/>
              <w:snapToGrid w:val="0"/>
              <w:rPr>
                <w:rFonts w:hint="eastAsia" w:eastAsia="宋体"/>
                <w:color w:val="auto"/>
                <w:sz w:val="21"/>
                <w:szCs w:val="21"/>
                <w:lang w:val="en-US" w:eastAsia="zh-CN"/>
              </w:rPr>
            </w:pPr>
            <w:r>
              <w:rPr>
                <w:rFonts w:hint="eastAsia" w:eastAsia="宋体"/>
                <w:color w:val="auto"/>
                <w:sz w:val="21"/>
                <w:szCs w:val="21"/>
                <w:lang w:val="en-US" w:eastAsia="zh-CN"/>
              </w:rPr>
              <w:t>0.637</w:t>
            </w:r>
          </w:p>
        </w:tc>
        <w:tc>
          <w:tcPr>
            <w:tcW w:w="438" w:type="pct"/>
            <w:tcBorders>
              <w:tl2br w:val="nil"/>
              <w:tr2bl w:val="nil"/>
            </w:tcBorders>
            <w:vAlign w:val="center"/>
          </w:tcPr>
          <w:p w14:paraId="1EF250A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sz w:val="21"/>
                <w:szCs w:val="21"/>
                <w:lang w:bidi="ar"/>
              </w:rPr>
            </w:pPr>
            <w:r>
              <w:rPr>
                <w:rFonts w:hint="eastAsia" w:eastAsia="宋体"/>
                <w:color w:val="auto"/>
                <w:sz w:val="21"/>
                <w:szCs w:val="21"/>
                <w:lang w:val="en-US" w:eastAsia="zh-CN"/>
              </w:rPr>
              <w:t>0</w:t>
            </w:r>
          </w:p>
        </w:tc>
      </w:tr>
      <w:tr w14:paraId="0B9932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0CDDF3B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330" w:type="pct"/>
            <w:vMerge w:val="continue"/>
            <w:tcBorders>
              <w:tl2br w:val="nil"/>
              <w:tr2bl w:val="nil"/>
            </w:tcBorders>
            <w:vAlign w:val="center"/>
          </w:tcPr>
          <w:p w14:paraId="08DD8E9A">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hint="eastAsia" w:ascii="Times New Roman" w:eastAsia="宋体"/>
                <w:color w:val="auto"/>
                <w:sz w:val="21"/>
                <w:szCs w:val="21"/>
              </w:rPr>
            </w:pPr>
          </w:p>
        </w:tc>
        <w:tc>
          <w:tcPr>
            <w:tcW w:w="559" w:type="pct"/>
            <w:tcBorders>
              <w:tl2br w:val="nil"/>
              <w:tr2bl w:val="nil"/>
            </w:tcBorders>
            <w:vAlign w:val="center"/>
          </w:tcPr>
          <w:p w14:paraId="110F43A1">
            <w:pPr>
              <w:pStyle w:val="656"/>
              <w:keepNext w:val="0"/>
              <w:keepLines w:val="0"/>
              <w:pageBreakBefore w:val="0"/>
              <w:kinsoku/>
              <w:wordWrap/>
              <w:overflowPunct/>
              <w:topLinePunct w:val="0"/>
              <w:autoSpaceDE/>
              <w:autoSpaceDN/>
              <w:bidi w:val="0"/>
              <w:adjustRightInd w:val="0"/>
              <w:snapToGrid w:val="0"/>
              <w:rPr>
                <w:color w:val="auto"/>
                <w:kern w:val="0"/>
                <w:sz w:val="21"/>
                <w:szCs w:val="21"/>
              </w:rPr>
            </w:pPr>
            <w:r>
              <w:rPr>
                <w:rFonts w:hint="eastAsia" w:eastAsia="宋体"/>
                <w:color w:val="auto"/>
                <w:sz w:val="21"/>
                <w:szCs w:val="21"/>
                <w:lang w:val="en-US" w:eastAsia="zh-CN"/>
              </w:rPr>
              <w:t>氨</w:t>
            </w:r>
          </w:p>
        </w:tc>
        <w:tc>
          <w:tcPr>
            <w:tcW w:w="398" w:type="pct"/>
            <w:tcBorders>
              <w:tl2br w:val="nil"/>
              <w:tr2bl w:val="nil"/>
            </w:tcBorders>
            <w:vAlign w:val="center"/>
          </w:tcPr>
          <w:p w14:paraId="73F60CE6">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0.042</w:t>
            </w:r>
          </w:p>
        </w:tc>
        <w:tc>
          <w:tcPr>
            <w:tcW w:w="448" w:type="pct"/>
            <w:tcBorders>
              <w:tl2br w:val="nil"/>
              <w:tr2bl w:val="nil"/>
            </w:tcBorders>
            <w:vAlign w:val="center"/>
          </w:tcPr>
          <w:p w14:paraId="20E9741B">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vAlign w:val="center"/>
          </w:tcPr>
          <w:p w14:paraId="1BE53560">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30" w:type="dxa"/>
            <w:tcBorders>
              <w:tl2br w:val="nil"/>
              <w:tr2bl w:val="nil"/>
            </w:tcBorders>
            <w:vAlign w:val="center"/>
          </w:tcPr>
          <w:p w14:paraId="246D211F">
            <w:pPr>
              <w:pStyle w:val="656"/>
              <w:snapToGrid w:val="0"/>
              <w:rPr>
                <w:rFonts w:hint="eastAsia" w:eastAsia="宋体"/>
                <w:color w:val="auto"/>
                <w:kern w:val="0"/>
                <w:sz w:val="21"/>
                <w:szCs w:val="21"/>
                <w:lang w:bidi="ar"/>
              </w:rPr>
            </w:pPr>
            <w:r>
              <w:rPr>
                <w:rFonts w:hint="eastAsia" w:eastAsia="宋体"/>
                <w:color w:val="auto"/>
                <w:sz w:val="21"/>
                <w:szCs w:val="21"/>
                <w:lang w:val="en-US" w:eastAsia="zh-CN"/>
              </w:rPr>
              <w:t>0.00424</w:t>
            </w:r>
          </w:p>
        </w:tc>
        <w:tc>
          <w:tcPr>
            <w:tcW w:w="574" w:type="pct"/>
            <w:tcBorders>
              <w:tl2br w:val="nil"/>
              <w:tr2bl w:val="nil"/>
            </w:tcBorders>
            <w:vAlign w:val="center"/>
          </w:tcPr>
          <w:p w14:paraId="48B03828">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72" w:type="dxa"/>
            <w:tcBorders>
              <w:tl2br w:val="nil"/>
              <w:tr2bl w:val="nil"/>
            </w:tcBorders>
            <w:vAlign w:val="center"/>
          </w:tcPr>
          <w:p w14:paraId="74AEBD74">
            <w:pPr>
              <w:pStyle w:val="656"/>
              <w:snapToGrid w:val="0"/>
              <w:rPr>
                <w:rFonts w:hint="eastAsia" w:eastAsia="宋体"/>
                <w:color w:val="auto"/>
                <w:sz w:val="21"/>
                <w:szCs w:val="21"/>
                <w:lang w:val="en-US" w:eastAsia="zh-CN"/>
              </w:rPr>
            </w:pPr>
            <w:r>
              <w:rPr>
                <w:rFonts w:hint="eastAsia" w:eastAsia="宋体"/>
                <w:color w:val="auto"/>
                <w:sz w:val="21"/>
                <w:szCs w:val="21"/>
                <w:lang w:val="en-US" w:eastAsia="zh-CN"/>
              </w:rPr>
              <w:t>0.02344</w:t>
            </w:r>
          </w:p>
        </w:tc>
        <w:tc>
          <w:tcPr>
            <w:tcW w:w="438" w:type="pct"/>
            <w:tcBorders>
              <w:tl2br w:val="nil"/>
              <w:tr2bl w:val="nil"/>
            </w:tcBorders>
            <w:vAlign w:val="center"/>
          </w:tcPr>
          <w:p w14:paraId="1A2ED7B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sz w:val="21"/>
                <w:szCs w:val="21"/>
                <w:lang w:bidi="ar"/>
              </w:rPr>
            </w:pPr>
            <w:r>
              <w:rPr>
                <w:rFonts w:hint="eastAsia" w:eastAsia="宋体"/>
                <w:color w:val="auto"/>
                <w:sz w:val="21"/>
                <w:szCs w:val="21"/>
                <w:lang w:val="en-US" w:eastAsia="zh-CN"/>
              </w:rPr>
              <w:t>0</w:t>
            </w:r>
          </w:p>
        </w:tc>
      </w:tr>
      <w:tr w14:paraId="3C05F2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0FE85CCB">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330" w:type="pct"/>
            <w:vMerge w:val="continue"/>
            <w:tcBorders>
              <w:tl2br w:val="nil"/>
              <w:tr2bl w:val="nil"/>
            </w:tcBorders>
            <w:vAlign w:val="center"/>
          </w:tcPr>
          <w:p w14:paraId="620B370C">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hint="eastAsia" w:ascii="Times New Roman" w:eastAsia="宋体"/>
                <w:color w:val="auto"/>
                <w:sz w:val="21"/>
                <w:szCs w:val="21"/>
              </w:rPr>
            </w:pPr>
          </w:p>
        </w:tc>
        <w:tc>
          <w:tcPr>
            <w:tcW w:w="559" w:type="pct"/>
            <w:tcBorders>
              <w:tl2br w:val="nil"/>
              <w:tr2bl w:val="nil"/>
            </w:tcBorders>
            <w:vAlign w:val="center"/>
          </w:tcPr>
          <w:p w14:paraId="5820887D">
            <w:pPr>
              <w:pStyle w:val="656"/>
              <w:keepNext w:val="0"/>
              <w:keepLines w:val="0"/>
              <w:pageBreakBefore w:val="0"/>
              <w:kinsoku/>
              <w:wordWrap/>
              <w:overflowPunct/>
              <w:topLinePunct w:val="0"/>
              <w:autoSpaceDE/>
              <w:autoSpaceDN/>
              <w:bidi w:val="0"/>
              <w:adjustRightInd w:val="0"/>
              <w:snapToGrid w:val="0"/>
              <w:rPr>
                <w:color w:val="auto"/>
                <w:kern w:val="0"/>
                <w:sz w:val="21"/>
                <w:szCs w:val="21"/>
              </w:rPr>
            </w:pPr>
            <w:r>
              <w:rPr>
                <w:rFonts w:hint="eastAsia" w:eastAsia="宋体"/>
                <w:color w:val="auto"/>
                <w:sz w:val="21"/>
                <w:szCs w:val="21"/>
                <w:lang w:val="en-US" w:eastAsia="zh-CN"/>
              </w:rPr>
              <w:t>CO</w:t>
            </w:r>
          </w:p>
        </w:tc>
        <w:tc>
          <w:tcPr>
            <w:tcW w:w="398" w:type="pct"/>
            <w:tcBorders>
              <w:tl2br w:val="nil"/>
              <w:tr2bl w:val="nil"/>
            </w:tcBorders>
            <w:vAlign w:val="center"/>
          </w:tcPr>
          <w:p w14:paraId="0373D4B8">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0.8</w:t>
            </w:r>
          </w:p>
        </w:tc>
        <w:tc>
          <w:tcPr>
            <w:tcW w:w="448" w:type="pct"/>
            <w:tcBorders>
              <w:tl2br w:val="nil"/>
              <w:tr2bl w:val="nil"/>
            </w:tcBorders>
            <w:vAlign w:val="center"/>
          </w:tcPr>
          <w:p w14:paraId="20933CBC">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vAlign w:val="center"/>
          </w:tcPr>
          <w:p w14:paraId="23EA8792">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30" w:type="dxa"/>
            <w:tcBorders>
              <w:tl2br w:val="nil"/>
              <w:tr2bl w:val="nil"/>
            </w:tcBorders>
            <w:vAlign w:val="center"/>
          </w:tcPr>
          <w:p w14:paraId="48F7F7DF">
            <w:pPr>
              <w:pStyle w:val="656"/>
              <w:snapToGrid w:val="0"/>
              <w:rPr>
                <w:rFonts w:hint="default" w:eastAsia="宋体"/>
                <w:color w:val="auto"/>
                <w:kern w:val="0"/>
                <w:sz w:val="21"/>
                <w:szCs w:val="21"/>
                <w:lang w:val="en-US" w:bidi="ar"/>
              </w:rPr>
            </w:pPr>
            <w:r>
              <w:rPr>
                <w:rFonts w:hint="eastAsia" w:eastAsia="宋体"/>
                <w:color w:val="auto"/>
                <w:sz w:val="21"/>
                <w:szCs w:val="21"/>
                <w:lang w:val="en-US" w:eastAsia="zh-CN"/>
              </w:rPr>
              <w:t>0.032</w:t>
            </w:r>
          </w:p>
        </w:tc>
        <w:tc>
          <w:tcPr>
            <w:tcW w:w="574" w:type="pct"/>
            <w:tcBorders>
              <w:tl2br w:val="nil"/>
              <w:tr2bl w:val="nil"/>
            </w:tcBorders>
            <w:vAlign w:val="center"/>
          </w:tcPr>
          <w:p w14:paraId="15D3CD41">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72" w:type="dxa"/>
            <w:tcBorders>
              <w:tl2br w:val="nil"/>
              <w:tr2bl w:val="nil"/>
            </w:tcBorders>
            <w:vAlign w:val="center"/>
          </w:tcPr>
          <w:p w14:paraId="32E20674">
            <w:pPr>
              <w:pStyle w:val="656"/>
              <w:snapToGrid w:val="0"/>
              <w:rPr>
                <w:rFonts w:hint="eastAsia" w:eastAsia="宋体"/>
                <w:color w:val="auto"/>
                <w:sz w:val="21"/>
                <w:szCs w:val="21"/>
                <w:lang w:val="en-US" w:eastAsia="zh-CN"/>
              </w:rPr>
            </w:pPr>
            <w:r>
              <w:rPr>
                <w:rFonts w:hint="eastAsia" w:eastAsia="宋体"/>
                <w:color w:val="auto"/>
                <w:sz w:val="21"/>
                <w:szCs w:val="21"/>
                <w:lang w:val="en-US" w:eastAsia="zh-CN"/>
              </w:rPr>
              <w:t>0.2344</w:t>
            </w:r>
          </w:p>
        </w:tc>
        <w:tc>
          <w:tcPr>
            <w:tcW w:w="438" w:type="pct"/>
            <w:tcBorders>
              <w:tl2br w:val="nil"/>
              <w:tr2bl w:val="nil"/>
            </w:tcBorders>
            <w:vAlign w:val="center"/>
          </w:tcPr>
          <w:p w14:paraId="7323859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sz w:val="21"/>
                <w:szCs w:val="21"/>
                <w:lang w:bidi="ar"/>
              </w:rPr>
            </w:pPr>
            <w:r>
              <w:rPr>
                <w:rFonts w:hint="eastAsia" w:eastAsia="宋体"/>
                <w:color w:val="auto"/>
                <w:sz w:val="21"/>
                <w:szCs w:val="21"/>
                <w:lang w:val="en-US" w:eastAsia="zh-CN"/>
              </w:rPr>
              <w:t>0</w:t>
            </w:r>
          </w:p>
        </w:tc>
      </w:tr>
      <w:tr w14:paraId="2CC595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3BF8E29A">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330" w:type="pct"/>
            <w:vMerge w:val="continue"/>
            <w:tcBorders>
              <w:tl2br w:val="nil"/>
              <w:tr2bl w:val="nil"/>
            </w:tcBorders>
            <w:vAlign w:val="center"/>
          </w:tcPr>
          <w:p w14:paraId="6809F416">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hint="eastAsia" w:ascii="Times New Roman" w:eastAsia="宋体"/>
                <w:color w:val="auto"/>
                <w:sz w:val="21"/>
                <w:szCs w:val="21"/>
              </w:rPr>
            </w:pPr>
          </w:p>
        </w:tc>
        <w:tc>
          <w:tcPr>
            <w:tcW w:w="559" w:type="pct"/>
            <w:tcBorders>
              <w:tl2br w:val="nil"/>
              <w:tr2bl w:val="nil"/>
            </w:tcBorders>
            <w:vAlign w:val="center"/>
          </w:tcPr>
          <w:p w14:paraId="658A1E1C">
            <w:pPr>
              <w:pStyle w:val="656"/>
              <w:keepNext w:val="0"/>
              <w:keepLines w:val="0"/>
              <w:pageBreakBefore w:val="0"/>
              <w:kinsoku/>
              <w:wordWrap/>
              <w:overflowPunct/>
              <w:topLinePunct w:val="0"/>
              <w:autoSpaceDE/>
              <w:autoSpaceDN/>
              <w:bidi w:val="0"/>
              <w:adjustRightInd w:val="0"/>
              <w:snapToGrid w:val="0"/>
              <w:rPr>
                <w:color w:val="auto"/>
                <w:kern w:val="0"/>
                <w:sz w:val="21"/>
                <w:szCs w:val="21"/>
              </w:rPr>
            </w:pPr>
            <w:r>
              <w:rPr>
                <w:rFonts w:hint="eastAsia" w:eastAsia="宋体"/>
                <w:color w:val="auto"/>
                <w:sz w:val="21"/>
                <w:szCs w:val="21"/>
                <w:lang w:val="en-US" w:eastAsia="zh-CN"/>
              </w:rPr>
              <w:t>HCl</w:t>
            </w:r>
          </w:p>
        </w:tc>
        <w:tc>
          <w:tcPr>
            <w:tcW w:w="398" w:type="pct"/>
            <w:tcBorders>
              <w:tl2br w:val="nil"/>
              <w:tr2bl w:val="nil"/>
            </w:tcBorders>
            <w:vAlign w:val="center"/>
          </w:tcPr>
          <w:p w14:paraId="52D36870">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0.2</w:t>
            </w:r>
          </w:p>
        </w:tc>
        <w:tc>
          <w:tcPr>
            <w:tcW w:w="448" w:type="pct"/>
            <w:tcBorders>
              <w:tl2br w:val="nil"/>
              <w:tr2bl w:val="nil"/>
            </w:tcBorders>
            <w:vAlign w:val="center"/>
          </w:tcPr>
          <w:p w14:paraId="5B411AA4">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vAlign w:val="center"/>
          </w:tcPr>
          <w:p w14:paraId="29D8F52E">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30" w:type="dxa"/>
            <w:tcBorders>
              <w:tl2br w:val="nil"/>
              <w:tr2bl w:val="nil"/>
            </w:tcBorders>
            <w:vAlign w:val="center"/>
          </w:tcPr>
          <w:p w14:paraId="48EB959D">
            <w:pPr>
              <w:pStyle w:val="656"/>
              <w:snapToGrid w:val="0"/>
              <w:rPr>
                <w:rFonts w:hint="eastAsia" w:eastAsia="宋体"/>
                <w:color w:val="auto"/>
                <w:kern w:val="0"/>
                <w:sz w:val="21"/>
                <w:szCs w:val="21"/>
                <w:lang w:bidi="ar"/>
              </w:rPr>
            </w:pPr>
            <w:r>
              <w:rPr>
                <w:rFonts w:hint="eastAsia" w:eastAsia="宋体"/>
                <w:color w:val="auto"/>
                <w:sz w:val="21"/>
                <w:szCs w:val="21"/>
                <w:lang w:val="en-US" w:eastAsia="zh-CN"/>
              </w:rPr>
              <w:t>0.0212</w:t>
            </w:r>
          </w:p>
        </w:tc>
        <w:tc>
          <w:tcPr>
            <w:tcW w:w="574" w:type="pct"/>
            <w:tcBorders>
              <w:tl2br w:val="nil"/>
              <w:tr2bl w:val="nil"/>
            </w:tcBorders>
            <w:vAlign w:val="center"/>
          </w:tcPr>
          <w:p w14:paraId="7EE9DDBD">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72" w:type="dxa"/>
            <w:tcBorders>
              <w:tl2br w:val="nil"/>
              <w:tr2bl w:val="nil"/>
            </w:tcBorders>
            <w:vAlign w:val="center"/>
          </w:tcPr>
          <w:p w14:paraId="1F429C84">
            <w:pPr>
              <w:pStyle w:val="656"/>
              <w:snapToGrid w:val="0"/>
              <w:rPr>
                <w:rFonts w:hint="eastAsia" w:eastAsia="宋体"/>
                <w:color w:val="auto"/>
                <w:sz w:val="21"/>
                <w:szCs w:val="21"/>
                <w:lang w:val="en-US" w:eastAsia="zh-CN"/>
              </w:rPr>
            </w:pPr>
            <w:r>
              <w:rPr>
                <w:rFonts w:hint="eastAsia" w:eastAsia="宋体"/>
                <w:color w:val="auto"/>
                <w:sz w:val="21"/>
                <w:szCs w:val="21"/>
                <w:lang w:val="en-US" w:eastAsia="zh-CN"/>
              </w:rPr>
              <w:t>0.1172</w:t>
            </w:r>
          </w:p>
        </w:tc>
        <w:tc>
          <w:tcPr>
            <w:tcW w:w="438" w:type="pct"/>
            <w:tcBorders>
              <w:tl2br w:val="nil"/>
              <w:tr2bl w:val="nil"/>
            </w:tcBorders>
            <w:vAlign w:val="center"/>
          </w:tcPr>
          <w:p w14:paraId="3764C82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sz w:val="21"/>
                <w:szCs w:val="21"/>
                <w:lang w:bidi="ar"/>
              </w:rPr>
            </w:pPr>
            <w:r>
              <w:rPr>
                <w:rFonts w:hint="eastAsia" w:eastAsia="宋体"/>
                <w:color w:val="auto"/>
                <w:sz w:val="21"/>
                <w:szCs w:val="21"/>
                <w:lang w:val="en-US" w:eastAsia="zh-CN"/>
              </w:rPr>
              <w:t>0</w:t>
            </w:r>
          </w:p>
        </w:tc>
      </w:tr>
      <w:tr w14:paraId="734C52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7B60204D">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330" w:type="pct"/>
            <w:vMerge w:val="continue"/>
            <w:tcBorders>
              <w:tl2br w:val="nil"/>
              <w:tr2bl w:val="nil"/>
            </w:tcBorders>
            <w:vAlign w:val="center"/>
          </w:tcPr>
          <w:p w14:paraId="10ED229C">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hint="eastAsia" w:ascii="Times New Roman" w:eastAsia="宋体"/>
                <w:color w:val="auto"/>
                <w:sz w:val="21"/>
                <w:szCs w:val="21"/>
              </w:rPr>
            </w:pPr>
          </w:p>
        </w:tc>
        <w:tc>
          <w:tcPr>
            <w:tcW w:w="559" w:type="pct"/>
            <w:tcBorders>
              <w:tl2br w:val="nil"/>
              <w:tr2bl w:val="nil"/>
            </w:tcBorders>
            <w:vAlign w:val="center"/>
          </w:tcPr>
          <w:p w14:paraId="74346990">
            <w:pPr>
              <w:pStyle w:val="656"/>
              <w:keepNext w:val="0"/>
              <w:keepLines w:val="0"/>
              <w:pageBreakBefore w:val="0"/>
              <w:kinsoku/>
              <w:wordWrap/>
              <w:overflowPunct/>
              <w:topLinePunct w:val="0"/>
              <w:autoSpaceDE/>
              <w:autoSpaceDN/>
              <w:bidi w:val="0"/>
              <w:adjustRightInd w:val="0"/>
              <w:snapToGrid w:val="0"/>
              <w:rPr>
                <w:color w:val="auto"/>
                <w:kern w:val="0"/>
                <w:sz w:val="21"/>
                <w:szCs w:val="21"/>
              </w:rPr>
            </w:pPr>
            <w:r>
              <w:rPr>
                <w:rFonts w:hint="eastAsia" w:eastAsia="宋体"/>
                <w:color w:val="auto"/>
                <w:sz w:val="21"/>
                <w:szCs w:val="21"/>
                <w:lang w:val="en-US" w:eastAsia="zh-CN"/>
              </w:rPr>
              <w:t>非甲烷总烃</w:t>
            </w:r>
          </w:p>
        </w:tc>
        <w:tc>
          <w:tcPr>
            <w:tcW w:w="398" w:type="pct"/>
            <w:tcBorders>
              <w:tl2br w:val="nil"/>
              <w:tr2bl w:val="nil"/>
            </w:tcBorders>
            <w:vAlign w:val="center"/>
          </w:tcPr>
          <w:p w14:paraId="5389F7AC">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0.165</w:t>
            </w:r>
          </w:p>
        </w:tc>
        <w:tc>
          <w:tcPr>
            <w:tcW w:w="448" w:type="pct"/>
            <w:tcBorders>
              <w:tl2br w:val="nil"/>
              <w:tr2bl w:val="nil"/>
            </w:tcBorders>
            <w:vAlign w:val="center"/>
          </w:tcPr>
          <w:p w14:paraId="6EED35A1">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vAlign w:val="center"/>
          </w:tcPr>
          <w:p w14:paraId="410B0050">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30" w:type="dxa"/>
            <w:tcBorders>
              <w:tl2br w:val="nil"/>
              <w:tr2bl w:val="nil"/>
            </w:tcBorders>
            <w:vAlign w:val="center"/>
          </w:tcPr>
          <w:p w14:paraId="2A73FEC9">
            <w:pPr>
              <w:pStyle w:val="656"/>
              <w:snapToGrid w:val="0"/>
              <w:rPr>
                <w:rFonts w:hint="eastAsia" w:eastAsia="宋体"/>
                <w:color w:val="auto"/>
                <w:kern w:val="0"/>
                <w:sz w:val="21"/>
                <w:szCs w:val="21"/>
                <w:lang w:bidi="ar"/>
              </w:rPr>
            </w:pPr>
            <w:r>
              <w:rPr>
                <w:rFonts w:hint="eastAsia" w:eastAsia="宋体"/>
                <w:color w:val="auto"/>
                <w:sz w:val="21"/>
                <w:szCs w:val="21"/>
                <w:lang w:val="en-US" w:eastAsia="zh-CN"/>
              </w:rPr>
              <w:t>0.0017</w:t>
            </w:r>
          </w:p>
        </w:tc>
        <w:tc>
          <w:tcPr>
            <w:tcW w:w="574" w:type="pct"/>
            <w:tcBorders>
              <w:tl2br w:val="nil"/>
              <w:tr2bl w:val="nil"/>
            </w:tcBorders>
            <w:vAlign w:val="center"/>
          </w:tcPr>
          <w:p w14:paraId="3A32B29B">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72" w:type="dxa"/>
            <w:tcBorders>
              <w:tl2br w:val="nil"/>
              <w:tr2bl w:val="nil"/>
            </w:tcBorders>
            <w:vAlign w:val="center"/>
          </w:tcPr>
          <w:p w14:paraId="3154A67A">
            <w:pPr>
              <w:pStyle w:val="656"/>
              <w:snapToGrid w:val="0"/>
              <w:rPr>
                <w:rFonts w:hint="eastAsia" w:eastAsia="宋体"/>
                <w:color w:val="auto"/>
                <w:sz w:val="21"/>
                <w:szCs w:val="21"/>
                <w:lang w:val="en-US" w:eastAsia="zh-CN"/>
              </w:rPr>
            </w:pPr>
            <w:r>
              <w:rPr>
                <w:rFonts w:hint="eastAsia" w:eastAsia="宋体"/>
                <w:color w:val="auto"/>
                <w:sz w:val="21"/>
                <w:szCs w:val="21"/>
                <w:lang w:val="en-US" w:eastAsia="zh-CN"/>
              </w:rPr>
              <w:t>0.1653</w:t>
            </w:r>
          </w:p>
        </w:tc>
        <w:tc>
          <w:tcPr>
            <w:tcW w:w="438" w:type="pct"/>
            <w:tcBorders>
              <w:tl2br w:val="nil"/>
              <w:tr2bl w:val="nil"/>
            </w:tcBorders>
            <w:vAlign w:val="center"/>
          </w:tcPr>
          <w:p w14:paraId="6AD8E23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sz w:val="21"/>
                <w:szCs w:val="21"/>
                <w:lang w:bidi="ar"/>
              </w:rPr>
            </w:pPr>
            <w:r>
              <w:rPr>
                <w:rFonts w:hint="eastAsia" w:eastAsia="宋体"/>
                <w:color w:val="auto"/>
                <w:sz w:val="21"/>
                <w:szCs w:val="21"/>
                <w:lang w:val="en-US" w:eastAsia="zh-CN"/>
              </w:rPr>
              <w:t>0</w:t>
            </w:r>
          </w:p>
        </w:tc>
      </w:tr>
      <w:tr w14:paraId="4CEFBF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0ACD2181">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330" w:type="pct"/>
            <w:vMerge w:val="continue"/>
            <w:tcBorders>
              <w:tl2br w:val="nil"/>
              <w:tr2bl w:val="nil"/>
            </w:tcBorders>
            <w:vAlign w:val="center"/>
          </w:tcPr>
          <w:p w14:paraId="6A8CFE22">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hint="eastAsia" w:ascii="Times New Roman" w:eastAsia="宋体"/>
                <w:color w:val="auto"/>
                <w:sz w:val="21"/>
                <w:szCs w:val="21"/>
              </w:rPr>
            </w:pPr>
          </w:p>
        </w:tc>
        <w:tc>
          <w:tcPr>
            <w:tcW w:w="559" w:type="pct"/>
            <w:tcBorders>
              <w:tl2br w:val="nil"/>
              <w:tr2bl w:val="nil"/>
            </w:tcBorders>
            <w:vAlign w:val="center"/>
          </w:tcPr>
          <w:p w14:paraId="7943CA1A">
            <w:pPr>
              <w:pStyle w:val="656"/>
              <w:keepNext w:val="0"/>
              <w:keepLines w:val="0"/>
              <w:pageBreakBefore w:val="0"/>
              <w:kinsoku/>
              <w:wordWrap/>
              <w:overflowPunct/>
              <w:topLinePunct w:val="0"/>
              <w:autoSpaceDE/>
              <w:autoSpaceDN/>
              <w:bidi w:val="0"/>
              <w:adjustRightInd w:val="0"/>
              <w:snapToGrid w:val="0"/>
              <w:rPr>
                <w:color w:val="auto"/>
                <w:kern w:val="0"/>
                <w:sz w:val="21"/>
                <w:szCs w:val="21"/>
              </w:rPr>
            </w:pPr>
            <w:r>
              <w:rPr>
                <w:rFonts w:hint="eastAsia" w:eastAsia="宋体"/>
                <w:color w:val="auto"/>
                <w:sz w:val="21"/>
                <w:szCs w:val="21"/>
                <w:lang w:val="en-US" w:eastAsia="zh-CN"/>
              </w:rPr>
              <w:t>铜及其化合物（以Cu计）</w:t>
            </w:r>
          </w:p>
        </w:tc>
        <w:tc>
          <w:tcPr>
            <w:tcW w:w="398" w:type="pct"/>
            <w:tcBorders>
              <w:tl2br w:val="nil"/>
              <w:tr2bl w:val="nil"/>
            </w:tcBorders>
            <w:vAlign w:val="center"/>
          </w:tcPr>
          <w:p w14:paraId="3D41C350">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0.011</w:t>
            </w:r>
          </w:p>
        </w:tc>
        <w:tc>
          <w:tcPr>
            <w:tcW w:w="448" w:type="pct"/>
            <w:tcBorders>
              <w:tl2br w:val="nil"/>
              <w:tr2bl w:val="nil"/>
            </w:tcBorders>
            <w:vAlign w:val="center"/>
          </w:tcPr>
          <w:p w14:paraId="2062A6E3">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vAlign w:val="center"/>
          </w:tcPr>
          <w:p w14:paraId="4A65A450">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30" w:type="dxa"/>
            <w:tcBorders>
              <w:tl2br w:val="nil"/>
              <w:tr2bl w:val="nil"/>
            </w:tcBorders>
            <w:vAlign w:val="center"/>
          </w:tcPr>
          <w:p w14:paraId="6A05CBB4">
            <w:pPr>
              <w:pStyle w:val="656"/>
              <w:snapToGrid w:val="0"/>
              <w:rPr>
                <w:rFonts w:hint="eastAsia" w:eastAsia="宋体"/>
                <w:color w:val="auto"/>
                <w:kern w:val="0"/>
                <w:sz w:val="21"/>
                <w:szCs w:val="21"/>
                <w:lang w:bidi="ar"/>
              </w:rPr>
            </w:pPr>
            <w:r>
              <w:rPr>
                <w:rFonts w:hint="eastAsia" w:eastAsia="宋体"/>
                <w:color w:val="auto"/>
                <w:sz w:val="21"/>
                <w:szCs w:val="21"/>
                <w:lang w:val="en-US" w:eastAsia="zh-CN"/>
              </w:rPr>
              <w:t>0.0045</w:t>
            </w:r>
          </w:p>
        </w:tc>
        <w:tc>
          <w:tcPr>
            <w:tcW w:w="574" w:type="pct"/>
            <w:tcBorders>
              <w:tl2br w:val="nil"/>
              <w:tr2bl w:val="nil"/>
            </w:tcBorders>
            <w:vAlign w:val="center"/>
          </w:tcPr>
          <w:p w14:paraId="4D963D5A">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72" w:type="dxa"/>
            <w:tcBorders>
              <w:tl2br w:val="nil"/>
              <w:tr2bl w:val="nil"/>
            </w:tcBorders>
            <w:vAlign w:val="center"/>
          </w:tcPr>
          <w:p w14:paraId="3127D0F5">
            <w:pPr>
              <w:pStyle w:val="656"/>
              <w:snapToGrid w:val="0"/>
              <w:rPr>
                <w:rFonts w:hint="eastAsia" w:eastAsia="宋体"/>
                <w:color w:val="auto"/>
                <w:sz w:val="21"/>
                <w:szCs w:val="21"/>
                <w:lang w:val="en-US" w:eastAsia="zh-CN"/>
              </w:rPr>
            </w:pPr>
            <w:r>
              <w:rPr>
                <w:rFonts w:hint="eastAsia" w:eastAsia="宋体"/>
                <w:color w:val="auto"/>
                <w:sz w:val="21"/>
                <w:szCs w:val="21"/>
                <w:lang w:val="en-US" w:eastAsia="zh-CN"/>
              </w:rPr>
              <w:t>0.00477</w:t>
            </w:r>
          </w:p>
        </w:tc>
        <w:tc>
          <w:tcPr>
            <w:tcW w:w="438" w:type="pct"/>
            <w:tcBorders>
              <w:tl2br w:val="nil"/>
              <w:tr2bl w:val="nil"/>
            </w:tcBorders>
            <w:vAlign w:val="center"/>
          </w:tcPr>
          <w:p w14:paraId="4EF2CC1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sz w:val="21"/>
                <w:szCs w:val="21"/>
                <w:lang w:bidi="ar"/>
              </w:rPr>
            </w:pPr>
            <w:r>
              <w:rPr>
                <w:rFonts w:hint="eastAsia" w:eastAsia="宋体"/>
                <w:color w:val="auto"/>
                <w:sz w:val="21"/>
                <w:szCs w:val="21"/>
                <w:lang w:val="en-US" w:eastAsia="zh-CN"/>
              </w:rPr>
              <w:t>0</w:t>
            </w:r>
          </w:p>
        </w:tc>
      </w:tr>
      <w:tr w14:paraId="094DAF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25D0E289">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330" w:type="pct"/>
            <w:vMerge w:val="continue"/>
            <w:tcBorders>
              <w:tl2br w:val="nil"/>
              <w:tr2bl w:val="nil"/>
            </w:tcBorders>
            <w:vAlign w:val="center"/>
          </w:tcPr>
          <w:p w14:paraId="03838BF3">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hint="eastAsia" w:ascii="Times New Roman" w:eastAsia="宋体"/>
                <w:color w:val="auto"/>
                <w:sz w:val="21"/>
                <w:szCs w:val="21"/>
              </w:rPr>
            </w:pPr>
          </w:p>
        </w:tc>
        <w:tc>
          <w:tcPr>
            <w:tcW w:w="559" w:type="pct"/>
            <w:tcBorders>
              <w:tl2br w:val="nil"/>
              <w:tr2bl w:val="nil"/>
            </w:tcBorders>
            <w:vAlign w:val="center"/>
          </w:tcPr>
          <w:p w14:paraId="332FE06D">
            <w:pPr>
              <w:pStyle w:val="656"/>
              <w:keepNext w:val="0"/>
              <w:keepLines w:val="0"/>
              <w:pageBreakBefore w:val="0"/>
              <w:kinsoku/>
              <w:wordWrap/>
              <w:overflowPunct/>
              <w:topLinePunct w:val="0"/>
              <w:autoSpaceDE/>
              <w:autoSpaceDN/>
              <w:bidi w:val="0"/>
              <w:adjustRightInd w:val="0"/>
              <w:snapToGrid w:val="0"/>
              <w:rPr>
                <w:color w:val="auto"/>
                <w:kern w:val="0"/>
                <w:sz w:val="21"/>
                <w:szCs w:val="21"/>
              </w:rPr>
            </w:pPr>
            <w:r>
              <w:rPr>
                <w:rFonts w:hint="eastAsia" w:eastAsia="宋体"/>
                <w:color w:val="auto"/>
                <w:sz w:val="21"/>
                <w:szCs w:val="21"/>
                <w:lang w:val="en-US" w:eastAsia="zh-CN"/>
              </w:rPr>
              <w:t>二噁英类</w:t>
            </w:r>
          </w:p>
        </w:tc>
        <w:tc>
          <w:tcPr>
            <w:tcW w:w="398" w:type="pct"/>
            <w:tcBorders>
              <w:tl2br w:val="nil"/>
              <w:tr2bl w:val="nil"/>
            </w:tcBorders>
            <w:vAlign w:val="center"/>
          </w:tcPr>
          <w:p w14:paraId="4069970A">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6.5ngTEQ</w:t>
            </w:r>
          </w:p>
        </w:tc>
        <w:tc>
          <w:tcPr>
            <w:tcW w:w="448" w:type="pct"/>
            <w:tcBorders>
              <w:tl2br w:val="nil"/>
              <w:tr2bl w:val="nil"/>
            </w:tcBorders>
            <w:vAlign w:val="center"/>
          </w:tcPr>
          <w:p w14:paraId="1A3FF67B">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vAlign w:val="center"/>
          </w:tcPr>
          <w:p w14:paraId="78A9231F">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30" w:type="dxa"/>
            <w:tcBorders>
              <w:tl2br w:val="nil"/>
              <w:tr2bl w:val="nil"/>
            </w:tcBorders>
            <w:vAlign w:val="center"/>
          </w:tcPr>
          <w:p w14:paraId="7BED73C9">
            <w:pPr>
              <w:pStyle w:val="656"/>
              <w:snapToGrid w:val="0"/>
              <w:rPr>
                <w:rFonts w:hint="eastAsia" w:eastAsia="宋体"/>
                <w:color w:val="auto"/>
                <w:kern w:val="0"/>
                <w:sz w:val="21"/>
                <w:szCs w:val="21"/>
                <w:lang w:bidi="ar"/>
              </w:rPr>
            </w:pPr>
            <w:r>
              <w:rPr>
                <w:rFonts w:hint="eastAsia" w:eastAsia="宋体"/>
                <w:color w:val="auto"/>
                <w:sz w:val="21"/>
                <w:szCs w:val="21"/>
                <w:lang w:val="en-US" w:eastAsia="zh-CN"/>
              </w:rPr>
              <w:t>0.65</w:t>
            </w:r>
            <w:r>
              <w:rPr>
                <w:rFonts w:hint="eastAsia"/>
                <w:color w:val="auto"/>
                <w:kern w:val="0"/>
                <w:sz w:val="21"/>
                <w:szCs w:val="21"/>
              </w:rPr>
              <w:t>ngTEQ/</w:t>
            </w:r>
            <w:r>
              <w:rPr>
                <w:rFonts w:hint="eastAsia"/>
                <w:color w:val="auto"/>
                <w:kern w:val="0"/>
                <w:sz w:val="21"/>
                <w:szCs w:val="21"/>
                <w:lang w:val="en-US" w:eastAsia="zh-CN"/>
              </w:rPr>
              <w:t>a</w:t>
            </w:r>
          </w:p>
        </w:tc>
        <w:tc>
          <w:tcPr>
            <w:tcW w:w="574" w:type="pct"/>
            <w:tcBorders>
              <w:tl2br w:val="nil"/>
              <w:tr2bl w:val="nil"/>
            </w:tcBorders>
            <w:vAlign w:val="center"/>
          </w:tcPr>
          <w:p w14:paraId="77ED6C67">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72" w:type="dxa"/>
            <w:tcBorders>
              <w:tl2br w:val="nil"/>
              <w:tr2bl w:val="nil"/>
            </w:tcBorders>
            <w:vAlign w:val="center"/>
          </w:tcPr>
          <w:p w14:paraId="4720993E">
            <w:pPr>
              <w:pStyle w:val="656"/>
              <w:keepNext w:val="0"/>
              <w:keepLines w:val="0"/>
              <w:pageBreakBefore w:val="0"/>
              <w:kinsoku/>
              <w:wordWrap/>
              <w:overflowPunct/>
              <w:topLinePunct w:val="0"/>
              <w:autoSpaceDE/>
              <w:autoSpaceDN/>
              <w:bidi w:val="0"/>
              <w:adjustRightInd w:val="0"/>
              <w:snapToGrid w:val="0"/>
              <w:rPr>
                <w:rFonts w:hint="eastAsia" w:eastAsia="宋体"/>
                <w:color w:val="auto"/>
                <w:kern w:val="0"/>
                <w:sz w:val="21"/>
                <w:szCs w:val="21"/>
                <w:lang w:bidi="ar"/>
              </w:rPr>
            </w:pPr>
            <w:r>
              <w:rPr>
                <w:rFonts w:hint="eastAsia" w:eastAsia="宋体"/>
                <w:color w:val="auto"/>
                <w:sz w:val="21"/>
                <w:szCs w:val="21"/>
                <w:lang w:val="en-US" w:eastAsia="zh-CN"/>
              </w:rPr>
              <w:t>3.25</w:t>
            </w:r>
            <w:r>
              <w:rPr>
                <w:rFonts w:hint="eastAsia"/>
                <w:color w:val="auto"/>
                <w:kern w:val="0"/>
                <w:sz w:val="21"/>
                <w:szCs w:val="21"/>
              </w:rPr>
              <w:t>ngTEQ/</w:t>
            </w:r>
            <w:r>
              <w:rPr>
                <w:rFonts w:hint="eastAsia"/>
                <w:color w:val="auto"/>
                <w:kern w:val="0"/>
                <w:sz w:val="21"/>
                <w:szCs w:val="21"/>
                <w:lang w:val="en-US" w:eastAsia="zh-CN"/>
              </w:rPr>
              <w:t>a</w:t>
            </w:r>
          </w:p>
        </w:tc>
        <w:tc>
          <w:tcPr>
            <w:tcW w:w="438" w:type="pct"/>
            <w:tcBorders>
              <w:tl2br w:val="nil"/>
              <w:tr2bl w:val="nil"/>
            </w:tcBorders>
            <w:vAlign w:val="center"/>
          </w:tcPr>
          <w:p w14:paraId="339A7B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sz w:val="21"/>
                <w:szCs w:val="21"/>
                <w:lang w:bidi="ar"/>
              </w:rPr>
            </w:pPr>
            <w:r>
              <w:rPr>
                <w:rFonts w:hint="eastAsia" w:eastAsia="宋体"/>
                <w:color w:val="auto"/>
                <w:sz w:val="21"/>
                <w:szCs w:val="21"/>
                <w:lang w:val="en-US" w:eastAsia="zh-CN"/>
              </w:rPr>
              <w:t>0</w:t>
            </w:r>
          </w:p>
        </w:tc>
      </w:tr>
      <w:tr w14:paraId="7A0292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111185AC">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330" w:type="pct"/>
            <w:vMerge w:val="restart"/>
            <w:tcBorders>
              <w:tl2br w:val="nil"/>
              <w:tr2bl w:val="nil"/>
            </w:tcBorders>
            <w:vAlign w:val="center"/>
          </w:tcPr>
          <w:p w14:paraId="45AC762F">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hint="eastAsia" w:ascii="Times New Roman" w:eastAsia="宋体"/>
                <w:color w:val="auto"/>
                <w:sz w:val="21"/>
                <w:szCs w:val="21"/>
                <w:lang w:val="en-US" w:eastAsia="zh-CN"/>
              </w:rPr>
            </w:pPr>
            <w:r>
              <w:rPr>
                <w:rFonts w:hint="eastAsia" w:ascii="Times New Roman" w:eastAsia="宋体"/>
                <w:color w:val="auto"/>
                <w:sz w:val="21"/>
                <w:szCs w:val="21"/>
                <w:lang w:val="en-US" w:eastAsia="zh-CN"/>
              </w:rPr>
              <w:t>无组织</w:t>
            </w:r>
          </w:p>
        </w:tc>
        <w:tc>
          <w:tcPr>
            <w:tcW w:w="559" w:type="pct"/>
            <w:tcBorders>
              <w:tl2br w:val="nil"/>
              <w:tr2bl w:val="nil"/>
            </w:tcBorders>
            <w:vAlign w:val="center"/>
          </w:tcPr>
          <w:p w14:paraId="0D9F53A0">
            <w:pPr>
              <w:pStyle w:val="656"/>
              <w:keepNext w:val="0"/>
              <w:keepLines w:val="0"/>
              <w:pageBreakBefore w:val="0"/>
              <w:kinsoku/>
              <w:wordWrap/>
              <w:overflowPunct/>
              <w:topLinePunct w:val="0"/>
              <w:autoSpaceDE/>
              <w:autoSpaceDN/>
              <w:bidi w:val="0"/>
              <w:adjustRightInd w:val="0"/>
              <w:snapToGrid w:val="0"/>
              <w:rPr>
                <w:rFonts w:hint="default" w:eastAsia="宋体"/>
                <w:color w:val="auto"/>
                <w:sz w:val="21"/>
                <w:szCs w:val="21"/>
                <w:lang w:val="en-US" w:eastAsia="zh-CN"/>
              </w:rPr>
            </w:pPr>
            <w:r>
              <w:rPr>
                <w:rFonts w:hint="eastAsia" w:eastAsia="宋体"/>
                <w:color w:val="auto"/>
                <w:sz w:val="21"/>
                <w:szCs w:val="21"/>
                <w:lang w:val="en-US" w:eastAsia="zh-CN"/>
              </w:rPr>
              <w:t>颗粒物</w:t>
            </w:r>
          </w:p>
        </w:tc>
        <w:tc>
          <w:tcPr>
            <w:tcW w:w="398" w:type="pct"/>
            <w:tcBorders>
              <w:tl2br w:val="nil"/>
              <w:tr2bl w:val="nil"/>
            </w:tcBorders>
            <w:vAlign w:val="center"/>
          </w:tcPr>
          <w:p w14:paraId="2EC9917C">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0.052</w:t>
            </w:r>
          </w:p>
        </w:tc>
        <w:tc>
          <w:tcPr>
            <w:tcW w:w="448" w:type="pct"/>
            <w:tcBorders>
              <w:tl2br w:val="nil"/>
              <w:tr2bl w:val="nil"/>
            </w:tcBorders>
            <w:vAlign w:val="center"/>
          </w:tcPr>
          <w:p w14:paraId="59D60EDB">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vAlign w:val="center"/>
          </w:tcPr>
          <w:p w14:paraId="30AB9B4C">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6E172B73">
            <w:pPr>
              <w:pStyle w:val="656"/>
              <w:keepNext w:val="0"/>
              <w:keepLines w:val="0"/>
              <w:pageBreakBefore w:val="0"/>
              <w:kinsoku/>
              <w:wordWrap/>
              <w:overflowPunct/>
              <w:topLinePunct w:val="0"/>
              <w:autoSpaceDE/>
              <w:autoSpaceDN/>
              <w:bidi w:val="0"/>
              <w:adjustRightInd w:val="0"/>
              <w:snapToGrid w:val="0"/>
              <w:rPr>
                <w:rFonts w:hint="eastAsia" w:eastAsia="宋体"/>
                <w:color w:val="auto"/>
                <w:kern w:val="0"/>
                <w:sz w:val="21"/>
                <w:szCs w:val="21"/>
                <w:lang w:eastAsia="zh-CN" w:bidi="ar"/>
              </w:rPr>
            </w:pPr>
            <w:r>
              <w:rPr>
                <w:rFonts w:hint="eastAsia" w:eastAsia="宋体"/>
                <w:color w:val="auto"/>
                <w:kern w:val="0"/>
                <w:sz w:val="21"/>
                <w:szCs w:val="21"/>
                <w:lang w:val="en-US" w:eastAsia="zh-CN" w:bidi="ar"/>
              </w:rPr>
              <w:t>0</w:t>
            </w:r>
          </w:p>
        </w:tc>
        <w:tc>
          <w:tcPr>
            <w:tcW w:w="574" w:type="pct"/>
            <w:tcBorders>
              <w:tl2br w:val="nil"/>
              <w:tr2bl w:val="nil"/>
            </w:tcBorders>
            <w:vAlign w:val="center"/>
          </w:tcPr>
          <w:p w14:paraId="6163621C">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6E651620">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sz w:val="21"/>
                <w:szCs w:val="21"/>
                <w:lang w:val="en-US" w:bidi="ar"/>
              </w:rPr>
            </w:pPr>
            <w:r>
              <w:rPr>
                <w:rFonts w:hint="eastAsia"/>
                <w:color w:val="auto"/>
                <w:kern w:val="0"/>
                <w:lang w:val="en-US" w:eastAsia="zh-CN"/>
              </w:rPr>
              <w:t>0.052</w:t>
            </w:r>
          </w:p>
        </w:tc>
        <w:tc>
          <w:tcPr>
            <w:tcW w:w="438" w:type="pct"/>
            <w:tcBorders>
              <w:tl2br w:val="nil"/>
              <w:tr2bl w:val="nil"/>
            </w:tcBorders>
            <w:vAlign w:val="center"/>
          </w:tcPr>
          <w:p w14:paraId="1112006E">
            <w:pPr>
              <w:pStyle w:val="656"/>
              <w:keepNext w:val="0"/>
              <w:keepLines w:val="0"/>
              <w:pageBreakBefore w:val="0"/>
              <w:kinsoku/>
              <w:wordWrap/>
              <w:overflowPunct/>
              <w:topLinePunct w:val="0"/>
              <w:autoSpaceDE/>
              <w:autoSpaceDN/>
              <w:bidi w:val="0"/>
              <w:adjustRightInd w:val="0"/>
              <w:snapToGrid w:val="0"/>
              <w:rPr>
                <w:rFonts w:hint="eastAsia" w:eastAsia="宋体"/>
                <w:color w:val="auto"/>
                <w:kern w:val="0"/>
                <w:sz w:val="21"/>
                <w:szCs w:val="21"/>
                <w:lang w:bidi="ar"/>
              </w:rPr>
            </w:pPr>
            <w:r>
              <w:rPr>
                <w:rFonts w:hint="eastAsia" w:eastAsia="宋体"/>
                <w:color w:val="auto"/>
                <w:kern w:val="0"/>
                <w:sz w:val="21"/>
                <w:szCs w:val="21"/>
                <w:lang w:val="en-US" w:eastAsia="zh-CN" w:bidi="ar"/>
              </w:rPr>
              <w:t>0</w:t>
            </w:r>
          </w:p>
        </w:tc>
      </w:tr>
      <w:tr w14:paraId="69C4E1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28A9315B">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330" w:type="pct"/>
            <w:vMerge w:val="continue"/>
            <w:tcBorders>
              <w:tl2br w:val="nil"/>
              <w:tr2bl w:val="nil"/>
            </w:tcBorders>
            <w:vAlign w:val="center"/>
          </w:tcPr>
          <w:p w14:paraId="39341C42">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hint="eastAsia" w:ascii="Times New Roman" w:eastAsia="宋体"/>
                <w:color w:val="auto"/>
                <w:sz w:val="21"/>
                <w:szCs w:val="21"/>
              </w:rPr>
            </w:pPr>
          </w:p>
        </w:tc>
        <w:tc>
          <w:tcPr>
            <w:tcW w:w="559" w:type="pct"/>
            <w:tcBorders>
              <w:tl2br w:val="nil"/>
              <w:tr2bl w:val="nil"/>
            </w:tcBorders>
            <w:vAlign w:val="center"/>
          </w:tcPr>
          <w:p w14:paraId="35DA41E0">
            <w:pPr>
              <w:pStyle w:val="656"/>
              <w:keepNext w:val="0"/>
              <w:keepLines w:val="0"/>
              <w:pageBreakBefore w:val="0"/>
              <w:kinsoku/>
              <w:wordWrap/>
              <w:overflowPunct/>
              <w:topLinePunct w:val="0"/>
              <w:autoSpaceDE/>
              <w:autoSpaceDN/>
              <w:bidi w:val="0"/>
              <w:adjustRightInd w:val="0"/>
              <w:snapToGrid w:val="0"/>
              <w:rPr>
                <w:rFonts w:hint="default" w:eastAsia="宋体"/>
                <w:color w:val="auto"/>
                <w:sz w:val="21"/>
                <w:szCs w:val="21"/>
                <w:lang w:val="en-US" w:eastAsia="zh-CN"/>
              </w:rPr>
            </w:pPr>
            <w:r>
              <w:rPr>
                <w:rFonts w:hint="eastAsia" w:eastAsia="宋体"/>
                <w:color w:val="auto"/>
                <w:sz w:val="21"/>
                <w:szCs w:val="21"/>
                <w:lang w:val="en-US" w:eastAsia="zh-CN"/>
              </w:rPr>
              <w:t>非甲烷总烃</w:t>
            </w:r>
          </w:p>
        </w:tc>
        <w:tc>
          <w:tcPr>
            <w:tcW w:w="398" w:type="pct"/>
            <w:tcBorders>
              <w:tl2br w:val="nil"/>
              <w:tr2bl w:val="nil"/>
            </w:tcBorders>
            <w:vAlign w:val="center"/>
          </w:tcPr>
          <w:p w14:paraId="0DF16AD3">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2.578</w:t>
            </w:r>
          </w:p>
        </w:tc>
        <w:tc>
          <w:tcPr>
            <w:tcW w:w="448" w:type="pct"/>
            <w:tcBorders>
              <w:tl2br w:val="nil"/>
              <w:tr2bl w:val="nil"/>
            </w:tcBorders>
            <w:vAlign w:val="center"/>
          </w:tcPr>
          <w:p w14:paraId="1F903D2A">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vAlign w:val="center"/>
          </w:tcPr>
          <w:p w14:paraId="500C44A5">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3C2E1674">
            <w:pPr>
              <w:keepNext w:val="0"/>
              <w:keepLines w:val="0"/>
              <w:pageBreakBefore w:val="0"/>
              <w:kinsoku/>
              <w:wordWrap/>
              <w:overflowPunct/>
              <w:topLinePunct w:val="0"/>
              <w:autoSpaceDE/>
              <w:autoSpaceDN/>
              <w:bidi w:val="0"/>
              <w:adjustRightInd w:val="0"/>
              <w:snapToGrid w:val="0"/>
              <w:jc w:val="center"/>
              <w:rPr>
                <w:rFonts w:hint="eastAsia" w:eastAsia="宋体"/>
                <w:color w:val="auto"/>
                <w:kern w:val="0"/>
                <w:sz w:val="21"/>
                <w:szCs w:val="21"/>
                <w:lang w:bidi="ar"/>
              </w:rPr>
            </w:pPr>
            <w:r>
              <w:rPr>
                <w:rFonts w:hint="eastAsia" w:eastAsia="宋体"/>
                <w:color w:val="auto"/>
                <w:kern w:val="0"/>
                <w:sz w:val="21"/>
                <w:szCs w:val="21"/>
                <w:lang w:val="en-US" w:eastAsia="zh-CN" w:bidi="ar"/>
              </w:rPr>
              <w:t>0</w:t>
            </w:r>
          </w:p>
        </w:tc>
        <w:tc>
          <w:tcPr>
            <w:tcW w:w="574" w:type="pct"/>
            <w:tcBorders>
              <w:tl2br w:val="nil"/>
              <w:tr2bl w:val="nil"/>
            </w:tcBorders>
            <w:vAlign w:val="center"/>
          </w:tcPr>
          <w:p w14:paraId="63C3E879">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5FEB25F6">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sz w:val="21"/>
                <w:szCs w:val="21"/>
                <w:lang w:val="en-US" w:bidi="ar"/>
              </w:rPr>
            </w:pPr>
            <w:r>
              <w:rPr>
                <w:rFonts w:hint="eastAsia"/>
                <w:color w:val="auto"/>
                <w:kern w:val="0"/>
                <w:lang w:val="en-US" w:eastAsia="zh-CN"/>
              </w:rPr>
              <w:t>2.578</w:t>
            </w:r>
          </w:p>
        </w:tc>
        <w:tc>
          <w:tcPr>
            <w:tcW w:w="438" w:type="pct"/>
            <w:tcBorders>
              <w:tl2br w:val="nil"/>
              <w:tr2bl w:val="nil"/>
            </w:tcBorders>
            <w:vAlign w:val="center"/>
          </w:tcPr>
          <w:p w14:paraId="6E7E955B">
            <w:pPr>
              <w:keepNext w:val="0"/>
              <w:keepLines w:val="0"/>
              <w:pageBreakBefore w:val="0"/>
              <w:kinsoku/>
              <w:wordWrap/>
              <w:overflowPunct/>
              <w:topLinePunct w:val="0"/>
              <w:autoSpaceDE/>
              <w:autoSpaceDN/>
              <w:bidi w:val="0"/>
              <w:adjustRightInd w:val="0"/>
              <w:snapToGrid w:val="0"/>
              <w:jc w:val="center"/>
              <w:rPr>
                <w:rFonts w:hint="eastAsia" w:eastAsia="宋体"/>
                <w:color w:val="auto"/>
                <w:kern w:val="0"/>
                <w:sz w:val="21"/>
                <w:szCs w:val="21"/>
                <w:lang w:bidi="ar"/>
              </w:rPr>
            </w:pPr>
            <w:r>
              <w:rPr>
                <w:rFonts w:hint="eastAsia" w:eastAsia="宋体"/>
                <w:color w:val="auto"/>
                <w:kern w:val="0"/>
                <w:sz w:val="21"/>
                <w:szCs w:val="21"/>
                <w:lang w:val="en-US" w:eastAsia="zh-CN" w:bidi="ar"/>
              </w:rPr>
              <w:t>0</w:t>
            </w:r>
          </w:p>
        </w:tc>
      </w:tr>
      <w:tr w14:paraId="3A8505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restart"/>
            <w:tcBorders>
              <w:tl2br w:val="nil"/>
              <w:tr2bl w:val="nil"/>
            </w:tcBorders>
            <w:vAlign w:val="center"/>
          </w:tcPr>
          <w:p w14:paraId="3A850575">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r>
              <w:rPr>
                <w:rFonts w:hint="eastAsia" w:ascii="Times New Roman" w:eastAsia="宋体"/>
                <w:color w:val="auto"/>
                <w:sz w:val="21"/>
                <w:szCs w:val="21"/>
              </w:rPr>
              <w:t>废水</w:t>
            </w:r>
          </w:p>
        </w:tc>
        <w:tc>
          <w:tcPr>
            <w:tcW w:w="889" w:type="pct"/>
            <w:gridSpan w:val="2"/>
            <w:tcBorders>
              <w:tl2br w:val="nil"/>
              <w:tr2bl w:val="nil"/>
            </w:tcBorders>
            <w:vAlign w:val="center"/>
          </w:tcPr>
          <w:p w14:paraId="3A850576">
            <w:pPr>
              <w:keepNext w:val="0"/>
              <w:keepLines w:val="0"/>
              <w:pageBreakBefore w:val="0"/>
              <w:widowControl/>
              <w:kinsoku/>
              <w:wordWrap/>
              <w:overflowPunct/>
              <w:topLinePunct w:val="0"/>
              <w:autoSpaceDE/>
              <w:autoSpaceDN/>
              <w:bidi w:val="0"/>
              <w:adjustRightInd w:val="0"/>
              <w:snapToGrid w:val="0"/>
              <w:jc w:val="center"/>
              <w:rPr>
                <w:color w:val="auto"/>
                <w:kern w:val="0"/>
              </w:rPr>
            </w:pPr>
            <w:r>
              <w:rPr>
                <w:rFonts w:hint="eastAsia"/>
                <w:color w:val="auto"/>
                <w:kern w:val="0"/>
              </w:rPr>
              <w:t>废水量</w:t>
            </w:r>
          </w:p>
        </w:tc>
        <w:tc>
          <w:tcPr>
            <w:tcW w:w="398" w:type="pct"/>
            <w:tcBorders>
              <w:tl2br w:val="nil"/>
              <w:tr2bl w:val="nil"/>
            </w:tcBorders>
            <w:vAlign w:val="center"/>
          </w:tcPr>
          <w:p w14:paraId="3A850577">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44670</w:t>
            </w:r>
          </w:p>
        </w:tc>
        <w:tc>
          <w:tcPr>
            <w:tcW w:w="448" w:type="pct"/>
            <w:tcBorders>
              <w:tl2br w:val="nil"/>
              <w:tr2bl w:val="nil"/>
            </w:tcBorders>
            <w:vAlign w:val="center"/>
          </w:tcPr>
          <w:p w14:paraId="3A850578">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vAlign w:val="center"/>
          </w:tcPr>
          <w:p w14:paraId="3A850579">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3A85057A">
            <w:pPr>
              <w:keepNext w:val="0"/>
              <w:keepLines w:val="0"/>
              <w:pageBreakBefore w:val="0"/>
              <w:widowControl/>
              <w:kinsoku/>
              <w:wordWrap/>
              <w:overflowPunct/>
              <w:topLinePunct w:val="0"/>
              <w:autoSpaceDE/>
              <w:autoSpaceDN/>
              <w:bidi w:val="0"/>
              <w:adjustRightInd w:val="0"/>
              <w:snapToGrid w:val="0"/>
              <w:jc w:val="center"/>
              <w:textAlignment w:val="center"/>
              <w:rPr>
                <w:rFonts w:hint="default" w:eastAsia="宋体"/>
                <w:color w:val="auto"/>
                <w:kern w:val="0"/>
                <w:lang w:val="en-US" w:eastAsia="zh-CN"/>
              </w:rPr>
            </w:pPr>
            <w:r>
              <w:rPr>
                <w:rFonts w:hint="eastAsia"/>
                <w:color w:val="auto"/>
                <w:kern w:val="0"/>
                <w:lang w:val="en-US" w:eastAsia="zh-CN" w:bidi="ar"/>
              </w:rPr>
              <w:t>896</w:t>
            </w:r>
          </w:p>
        </w:tc>
        <w:tc>
          <w:tcPr>
            <w:tcW w:w="574" w:type="pct"/>
            <w:tcBorders>
              <w:tl2br w:val="nil"/>
              <w:tr2bl w:val="nil"/>
            </w:tcBorders>
            <w:vAlign w:val="center"/>
          </w:tcPr>
          <w:p w14:paraId="3A85057B">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3A85057C">
            <w:pPr>
              <w:keepNext w:val="0"/>
              <w:keepLines w:val="0"/>
              <w:pageBreakBefore w:val="0"/>
              <w:widowControl/>
              <w:kinsoku/>
              <w:wordWrap/>
              <w:overflowPunct/>
              <w:topLinePunct w:val="0"/>
              <w:autoSpaceDE/>
              <w:autoSpaceDN/>
              <w:bidi w:val="0"/>
              <w:adjustRightInd w:val="0"/>
              <w:snapToGrid w:val="0"/>
              <w:jc w:val="center"/>
              <w:rPr>
                <w:rFonts w:hint="eastAsia" w:eastAsia="宋体"/>
                <w:color w:val="auto"/>
                <w:kern w:val="0"/>
                <w:lang w:val="en-US" w:eastAsia="zh-CN"/>
              </w:rPr>
            </w:pPr>
            <w:r>
              <w:rPr>
                <w:rFonts w:hint="eastAsia" w:eastAsia="宋体"/>
                <w:color w:val="auto"/>
                <w:kern w:val="0"/>
                <w:lang w:val="en-US" w:eastAsia="zh-CN"/>
              </w:rPr>
              <w:t>45566</w:t>
            </w:r>
          </w:p>
        </w:tc>
        <w:tc>
          <w:tcPr>
            <w:tcW w:w="438" w:type="pct"/>
            <w:tcBorders>
              <w:tl2br w:val="nil"/>
              <w:tr2bl w:val="nil"/>
            </w:tcBorders>
            <w:vAlign w:val="center"/>
          </w:tcPr>
          <w:p w14:paraId="3A85057D">
            <w:pPr>
              <w:keepNext w:val="0"/>
              <w:keepLines w:val="0"/>
              <w:pageBreakBefore w:val="0"/>
              <w:widowControl/>
              <w:kinsoku/>
              <w:wordWrap/>
              <w:overflowPunct/>
              <w:topLinePunct w:val="0"/>
              <w:autoSpaceDE/>
              <w:autoSpaceDN/>
              <w:bidi w:val="0"/>
              <w:adjustRightInd w:val="0"/>
              <w:snapToGrid w:val="0"/>
              <w:jc w:val="center"/>
              <w:textAlignment w:val="center"/>
              <w:rPr>
                <w:color w:val="auto"/>
                <w:kern w:val="0"/>
              </w:rPr>
            </w:pPr>
            <w:r>
              <w:rPr>
                <w:rFonts w:hint="eastAsia"/>
                <w:color w:val="auto"/>
                <w:kern w:val="0"/>
                <w:lang w:val="en-US" w:eastAsia="zh-CN" w:bidi="ar"/>
              </w:rPr>
              <w:t>+896</w:t>
            </w:r>
          </w:p>
        </w:tc>
      </w:tr>
      <w:tr w14:paraId="3A8505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3A85057F">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3A850580">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COD</w:t>
            </w:r>
          </w:p>
        </w:tc>
        <w:tc>
          <w:tcPr>
            <w:tcW w:w="398" w:type="pct"/>
            <w:tcBorders>
              <w:tl2br w:val="nil"/>
              <w:tr2bl w:val="nil"/>
            </w:tcBorders>
            <w:vAlign w:val="center"/>
          </w:tcPr>
          <w:p w14:paraId="3A850581">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2.234</w:t>
            </w:r>
          </w:p>
        </w:tc>
        <w:tc>
          <w:tcPr>
            <w:tcW w:w="448" w:type="pct"/>
            <w:tcBorders>
              <w:tl2br w:val="nil"/>
              <w:tr2bl w:val="nil"/>
            </w:tcBorders>
            <w:vAlign w:val="center"/>
          </w:tcPr>
          <w:p w14:paraId="3A850582">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vAlign w:val="center"/>
          </w:tcPr>
          <w:p w14:paraId="3A850583">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3A850584">
            <w:pPr>
              <w:keepNext w:val="0"/>
              <w:keepLines w:val="0"/>
              <w:pageBreakBefore w:val="0"/>
              <w:widowControl/>
              <w:kinsoku/>
              <w:wordWrap/>
              <w:overflowPunct/>
              <w:topLinePunct w:val="0"/>
              <w:autoSpaceDE/>
              <w:autoSpaceDN/>
              <w:bidi w:val="0"/>
              <w:adjustRightInd w:val="0"/>
              <w:snapToGrid w:val="0"/>
              <w:jc w:val="center"/>
              <w:rPr>
                <w:rFonts w:hint="eastAsia"/>
                <w:color w:val="auto"/>
                <w:kern w:val="0"/>
                <w:lang w:val="en-US" w:eastAsia="zh-CN"/>
              </w:rPr>
            </w:pPr>
            <w:r>
              <w:rPr>
                <w:rFonts w:hint="eastAsia"/>
                <w:color w:val="auto"/>
                <w:kern w:val="0"/>
                <w:lang w:val="en-US" w:eastAsia="zh-CN"/>
              </w:rPr>
              <w:t>0.2688</w:t>
            </w:r>
          </w:p>
        </w:tc>
        <w:tc>
          <w:tcPr>
            <w:tcW w:w="574" w:type="pct"/>
            <w:tcBorders>
              <w:tl2br w:val="nil"/>
              <w:tr2bl w:val="nil"/>
            </w:tcBorders>
            <w:vAlign w:val="center"/>
          </w:tcPr>
          <w:p w14:paraId="3A850585">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72" w:type="dxa"/>
            <w:tcBorders>
              <w:tl2br w:val="nil"/>
              <w:tr2bl w:val="nil"/>
            </w:tcBorders>
            <w:vAlign w:val="center"/>
          </w:tcPr>
          <w:p w14:paraId="3A850586">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color w:val="auto"/>
                <w:kern w:val="0"/>
                <w:sz w:val="21"/>
                <w:szCs w:val="21"/>
                <w:lang w:val="en-US" w:eastAsia="zh-CN"/>
              </w:rPr>
            </w:pPr>
            <w:r>
              <w:rPr>
                <w:rFonts w:hint="eastAsia" w:cs="Times New Roman"/>
                <w:color w:val="auto"/>
                <w:sz w:val="21"/>
                <w:szCs w:val="21"/>
                <w:highlight w:val="none"/>
                <w:lang w:val="en-US" w:eastAsia="zh-CN"/>
              </w:rPr>
              <w:t>13.67</w:t>
            </w:r>
          </w:p>
        </w:tc>
        <w:tc>
          <w:tcPr>
            <w:tcW w:w="1228" w:type="dxa"/>
            <w:tcBorders>
              <w:tl2br w:val="nil"/>
              <w:tr2bl w:val="nil"/>
            </w:tcBorders>
            <w:vAlign w:val="center"/>
          </w:tcPr>
          <w:p w14:paraId="3A850587">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eastAsia="仿宋"/>
                <w:color w:val="auto"/>
                <w:kern w:val="0"/>
                <w:sz w:val="21"/>
                <w:szCs w:val="21"/>
              </w:rPr>
            </w:pPr>
            <w:r>
              <w:rPr>
                <w:rFonts w:hint="eastAsia" w:cs="Times New Roman"/>
                <w:color w:val="auto"/>
                <w:sz w:val="21"/>
                <w:szCs w:val="21"/>
                <w:highlight w:val="none"/>
                <w:lang w:val="en-US" w:eastAsia="zh-CN"/>
              </w:rPr>
              <w:t>-1.002</w:t>
            </w:r>
          </w:p>
        </w:tc>
      </w:tr>
      <w:tr w14:paraId="3A8505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3A850589">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3A85058A">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SS</w:t>
            </w:r>
          </w:p>
        </w:tc>
        <w:tc>
          <w:tcPr>
            <w:tcW w:w="398" w:type="pct"/>
            <w:tcBorders>
              <w:tl2br w:val="nil"/>
              <w:tr2bl w:val="nil"/>
            </w:tcBorders>
            <w:vAlign w:val="center"/>
          </w:tcPr>
          <w:p w14:paraId="3A85058B">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0.447</w:t>
            </w:r>
          </w:p>
        </w:tc>
        <w:tc>
          <w:tcPr>
            <w:tcW w:w="448" w:type="pct"/>
            <w:tcBorders>
              <w:tl2br w:val="nil"/>
              <w:tr2bl w:val="nil"/>
            </w:tcBorders>
            <w:vAlign w:val="center"/>
          </w:tcPr>
          <w:p w14:paraId="3A85058C">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vAlign w:val="center"/>
          </w:tcPr>
          <w:p w14:paraId="3A85058D">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3A85058E">
            <w:pPr>
              <w:keepNext w:val="0"/>
              <w:keepLines w:val="0"/>
              <w:pageBreakBefore w:val="0"/>
              <w:widowControl/>
              <w:kinsoku/>
              <w:wordWrap/>
              <w:overflowPunct/>
              <w:topLinePunct w:val="0"/>
              <w:autoSpaceDE/>
              <w:autoSpaceDN/>
              <w:bidi w:val="0"/>
              <w:adjustRightInd w:val="0"/>
              <w:snapToGrid w:val="0"/>
              <w:jc w:val="center"/>
              <w:rPr>
                <w:rFonts w:hint="eastAsia"/>
                <w:color w:val="auto"/>
                <w:kern w:val="0"/>
                <w:lang w:val="en-US" w:eastAsia="zh-CN"/>
              </w:rPr>
            </w:pPr>
            <w:r>
              <w:rPr>
                <w:rFonts w:hint="eastAsia"/>
                <w:color w:val="auto"/>
                <w:kern w:val="0"/>
                <w:lang w:val="en-US" w:eastAsia="zh-CN"/>
              </w:rPr>
              <w:t>0.224</w:t>
            </w:r>
          </w:p>
        </w:tc>
        <w:tc>
          <w:tcPr>
            <w:tcW w:w="574" w:type="pct"/>
            <w:tcBorders>
              <w:tl2br w:val="nil"/>
              <w:tr2bl w:val="nil"/>
            </w:tcBorders>
            <w:vAlign w:val="center"/>
          </w:tcPr>
          <w:p w14:paraId="3A85058F">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72" w:type="dxa"/>
            <w:tcBorders>
              <w:tl2br w:val="nil"/>
              <w:tr2bl w:val="nil"/>
            </w:tcBorders>
            <w:vAlign w:val="center"/>
          </w:tcPr>
          <w:p w14:paraId="3A850590">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color w:val="auto"/>
                <w:kern w:val="0"/>
                <w:sz w:val="21"/>
                <w:szCs w:val="21"/>
                <w:lang w:val="en-US" w:eastAsia="zh-CN"/>
              </w:rPr>
            </w:pPr>
            <w:r>
              <w:rPr>
                <w:rFonts w:hint="eastAsia" w:cs="Times New Roman"/>
                <w:color w:val="auto"/>
                <w:sz w:val="21"/>
                <w:szCs w:val="21"/>
                <w:highlight w:val="none"/>
                <w:lang w:val="en-US" w:eastAsia="zh-CN"/>
              </w:rPr>
              <w:t>9.15</w:t>
            </w:r>
          </w:p>
        </w:tc>
        <w:tc>
          <w:tcPr>
            <w:tcW w:w="1228" w:type="dxa"/>
            <w:tcBorders>
              <w:tl2br w:val="nil"/>
              <w:tr2bl w:val="nil"/>
            </w:tcBorders>
            <w:vAlign w:val="center"/>
          </w:tcPr>
          <w:p w14:paraId="3A850591">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eastAsia="仿宋"/>
                <w:color w:val="auto"/>
                <w:kern w:val="0"/>
                <w:sz w:val="21"/>
                <w:szCs w:val="21"/>
              </w:rPr>
            </w:pPr>
            <w:r>
              <w:rPr>
                <w:rFonts w:hint="eastAsia" w:cs="Times New Roman"/>
                <w:color w:val="auto"/>
                <w:sz w:val="21"/>
                <w:szCs w:val="21"/>
                <w:highlight w:val="none"/>
                <w:lang w:val="en-US" w:eastAsia="zh-CN"/>
              </w:rPr>
              <w:t>0.302</w:t>
            </w:r>
          </w:p>
        </w:tc>
      </w:tr>
      <w:tr w14:paraId="3A8505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3A850593">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3A850594">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NH</w:t>
            </w:r>
            <w:r>
              <w:rPr>
                <w:color w:val="auto"/>
                <w:kern w:val="0"/>
                <w:vertAlign w:val="subscript"/>
              </w:rPr>
              <w:t>3</w:t>
            </w:r>
            <w:r>
              <w:rPr>
                <w:color w:val="auto"/>
                <w:kern w:val="0"/>
              </w:rPr>
              <w:t>-N</w:t>
            </w:r>
          </w:p>
        </w:tc>
        <w:tc>
          <w:tcPr>
            <w:tcW w:w="398" w:type="pct"/>
            <w:tcBorders>
              <w:tl2br w:val="nil"/>
              <w:tr2bl w:val="nil"/>
            </w:tcBorders>
            <w:vAlign w:val="center"/>
          </w:tcPr>
          <w:p w14:paraId="3A850595">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0.179</w:t>
            </w:r>
          </w:p>
        </w:tc>
        <w:tc>
          <w:tcPr>
            <w:tcW w:w="448" w:type="pct"/>
            <w:tcBorders>
              <w:tl2br w:val="nil"/>
              <w:tr2bl w:val="nil"/>
            </w:tcBorders>
            <w:vAlign w:val="center"/>
          </w:tcPr>
          <w:p w14:paraId="3A850596">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vAlign w:val="center"/>
          </w:tcPr>
          <w:p w14:paraId="3A850597">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3A850598">
            <w:pPr>
              <w:keepNext w:val="0"/>
              <w:keepLines w:val="0"/>
              <w:pageBreakBefore w:val="0"/>
              <w:widowControl/>
              <w:kinsoku/>
              <w:wordWrap/>
              <w:overflowPunct/>
              <w:topLinePunct w:val="0"/>
              <w:autoSpaceDE/>
              <w:autoSpaceDN/>
              <w:bidi w:val="0"/>
              <w:adjustRightInd w:val="0"/>
              <w:snapToGrid w:val="0"/>
              <w:jc w:val="center"/>
              <w:rPr>
                <w:rFonts w:hint="eastAsia"/>
                <w:color w:val="auto"/>
                <w:kern w:val="0"/>
                <w:lang w:val="en-US" w:eastAsia="zh-CN"/>
              </w:rPr>
            </w:pPr>
            <w:r>
              <w:rPr>
                <w:rFonts w:hint="eastAsia"/>
                <w:color w:val="auto"/>
                <w:kern w:val="0"/>
                <w:lang w:val="en-US" w:eastAsia="zh-CN"/>
              </w:rPr>
              <w:t>0.0224</w:t>
            </w:r>
          </w:p>
        </w:tc>
        <w:tc>
          <w:tcPr>
            <w:tcW w:w="574" w:type="pct"/>
            <w:tcBorders>
              <w:tl2br w:val="nil"/>
              <w:tr2bl w:val="nil"/>
            </w:tcBorders>
            <w:vAlign w:val="center"/>
          </w:tcPr>
          <w:p w14:paraId="3A850599">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72" w:type="dxa"/>
            <w:tcBorders>
              <w:tl2br w:val="nil"/>
              <w:tr2bl w:val="nil"/>
            </w:tcBorders>
            <w:vAlign w:val="center"/>
          </w:tcPr>
          <w:p w14:paraId="3A85059A">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color w:val="auto"/>
                <w:kern w:val="0"/>
                <w:sz w:val="21"/>
                <w:szCs w:val="21"/>
                <w:lang w:val="en-US" w:eastAsia="zh-CN"/>
              </w:rPr>
            </w:pPr>
            <w:r>
              <w:rPr>
                <w:rFonts w:hint="eastAsia" w:cs="Times New Roman"/>
                <w:color w:val="auto"/>
                <w:sz w:val="21"/>
                <w:szCs w:val="21"/>
                <w:highlight w:val="none"/>
                <w:lang w:val="en-US" w:eastAsia="zh-CN"/>
              </w:rPr>
              <w:t>0.92</w:t>
            </w:r>
          </w:p>
        </w:tc>
        <w:tc>
          <w:tcPr>
            <w:tcW w:w="1228" w:type="dxa"/>
            <w:tcBorders>
              <w:tl2br w:val="nil"/>
              <w:tr2bl w:val="nil"/>
            </w:tcBorders>
            <w:vAlign w:val="center"/>
          </w:tcPr>
          <w:p w14:paraId="3A85059B">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eastAsia="仿宋"/>
                <w:color w:val="auto"/>
                <w:kern w:val="0"/>
                <w:sz w:val="21"/>
                <w:szCs w:val="21"/>
              </w:rPr>
            </w:pPr>
            <w:r>
              <w:rPr>
                <w:rFonts w:hint="eastAsia" w:cs="Times New Roman"/>
                <w:color w:val="auto"/>
                <w:sz w:val="21"/>
                <w:szCs w:val="21"/>
                <w:highlight w:val="none"/>
                <w:lang w:val="en-US" w:eastAsia="zh-CN"/>
              </w:rPr>
              <w:t>-0.206</w:t>
            </w:r>
          </w:p>
        </w:tc>
      </w:tr>
      <w:tr w14:paraId="3A8505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3A85059D">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3A85059E">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TP</w:t>
            </w:r>
          </w:p>
        </w:tc>
        <w:tc>
          <w:tcPr>
            <w:tcW w:w="398" w:type="pct"/>
            <w:tcBorders>
              <w:tl2br w:val="nil"/>
              <w:tr2bl w:val="nil"/>
            </w:tcBorders>
            <w:vAlign w:val="center"/>
          </w:tcPr>
          <w:p w14:paraId="3A85059F">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0.022</w:t>
            </w:r>
          </w:p>
        </w:tc>
        <w:tc>
          <w:tcPr>
            <w:tcW w:w="448" w:type="pct"/>
            <w:tcBorders>
              <w:tl2br w:val="nil"/>
              <w:tr2bl w:val="nil"/>
            </w:tcBorders>
            <w:vAlign w:val="center"/>
          </w:tcPr>
          <w:p w14:paraId="3A8505A0">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vAlign w:val="center"/>
          </w:tcPr>
          <w:p w14:paraId="3A8505A1">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3A8505A2">
            <w:pPr>
              <w:keepNext w:val="0"/>
              <w:keepLines w:val="0"/>
              <w:pageBreakBefore w:val="0"/>
              <w:widowControl/>
              <w:kinsoku/>
              <w:wordWrap/>
              <w:overflowPunct/>
              <w:topLinePunct w:val="0"/>
              <w:autoSpaceDE/>
              <w:autoSpaceDN/>
              <w:bidi w:val="0"/>
              <w:adjustRightInd w:val="0"/>
              <w:snapToGrid w:val="0"/>
              <w:jc w:val="center"/>
              <w:rPr>
                <w:rFonts w:hint="eastAsia"/>
                <w:color w:val="auto"/>
                <w:kern w:val="0"/>
                <w:lang w:val="en-US" w:eastAsia="zh-CN"/>
              </w:rPr>
            </w:pPr>
            <w:r>
              <w:rPr>
                <w:rFonts w:hint="eastAsia"/>
                <w:color w:val="auto"/>
                <w:kern w:val="0"/>
                <w:lang w:val="en-US" w:eastAsia="zh-CN"/>
              </w:rPr>
              <w:t>0.003584</w:t>
            </w:r>
          </w:p>
        </w:tc>
        <w:tc>
          <w:tcPr>
            <w:tcW w:w="574" w:type="pct"/>
            <w:tcBorders>
              <w:tl2br w:val="nil"/>
              <w:tr2bl w:val="nil"/>
            </w:tcBorders>
            <w:vAlign w:val="center"/>
          </w:tcPr>
          <w:p w14:paraId="3A8505A3">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72" w:type="dxa"/>
            <w:tcBorders>
              <w:tl2br w:val="nil"/>
              <w:tr2bl w:val="nil"/>
            </w:tcBorders>
            <w:vAlign w:val="center"/>
          </w:tcPr>
          <w:p w14:paraId="3A8505A4">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color w:val="auto"/>
                <w:kern w:val="0"/>
                <w:sz w:val="21"/>
                <w:szCs w:val="21"/>
                <w:lang w:val="en-US" w:eastAsia="zh-CN"/>
              </w:rPr>
            </w:pPr>
            <w:r>
              <w:rPr>
                <w:rFonts w:hint="eastAsia" w:cs="Times New Roman"/>
                <w:color w:val="auto"/>
                <w:sz w:val="21"/>
                <w:szCs w:val="21"/>
                <w:highlight w:val="none"/>
                <w:lang w:val="en-US" w:eastAsia="zh-CN"/>
              </w:rPr>
              <w:t>1.34</w:t>
            </w:r>
          </w:p>
        </w:tc>
        <w:tc>
          <w:tcPr>
            <w:tcW w:w="1228" w:type="dxa"/>
            <w:tcBorders>
              <w:tl2br w:val="nil"/>
              <w:tr2bl w:val="nil"/>
            </w:tcBorders>
            <w:vAlign w:val="center"/>
          </w:tcPr>
          <w:p w14:paraId="3A8505A5">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eastAsia="仿宋"/>
                <w:color w:val="auto"/>
                <w:kern w:val="0"/>
                <w:sz w:val="21"/>
                <w:szCs w:val="21"/>
              </w:rPr>
            </w:pPr>
            <w:r>
              <w:rPr>
                <w:rFonts w:hint="eastAsia" w:cs="Times New Roman"/>
                <w:color w:val="auto"/>
                <w:sz w:val="21"/>
                <w:szCs w:val="21"/>
                <w:highlight w:val="none"/>
                <w:lang w:val="en-US" w:eastAsia="zh-CN"/>
              </w:rPr>
              <w:t>1.121</w:t>
            </w:r>
          </w:p>
        </w:tc>
      </w:tr>
      <w:tr w14:paraId="3A8505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3A8505A7">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3A8505A8">
            <w:pPr>
              <w:keepNext w:val="0"/>
              <w:keepLines w:val="0"/>
              <w:pageBreakBefore w:val="0"/>
              <w:kinsoku/>
              <w:wordWrap/>
              <w:overflowPunct/>
              <w:topLinePunct w:val="0"/>
              <w:autoSpaceDE/>
              <w:autoSpaceDN/>
              <w:bidi w:val="0"/>
              <w:adjustRightInd w:val="0"/>
              <w:snapToGrid w:val="0"/>
              <w:jc w:val="center"/>
              <w:textAlignment w:val="center"/>
              <w:rPr>
                <w:color w:val="auto"/>
                <w:kern w:val="0"/>
              </w:rPr>
            </w:pPr>
            <w:r>
              <w:rPr>
                <w:color w:val="auto"/>
                <w:kern w:val="0"/>
              </w:rPr>
              <w:t>TN</w:t>
            </w:r>
          </w:p>
        </w:tc>
        <w:tc>
          <w:tcPr>
            <w:tcW w:w="398" w:type="pct"/>
            <w:tcBorders>
              <w:tl2br w:val="nil"/>
              <w:tr2bl w:val="nil"/>
            </w:tcBorders>
            <w:vAlign w:val="center"/>
          </w:tcPr>
          <w:p w14:paraId="3A8505A9">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0.536</w:t>
            </w:r>
          </w:p>
        </w:tc>
        <w:tc>
          <w:tcPr>
            <w:tcW w:w="448" w:type="pct"/>
            <w:tcBorders>
              <w:tl2br w:val="nil"/>
              <w:tr2bl w:val="nil"/>
            </w:tcBorders>
            <w:vAlign w:val="center"/>
          </w:tcPr>
          <w:p w14:paraId="3A8505AA">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vAlign w:val="center"/>
          </w:tcPr>
          <w:p w14:paraId="3A8505AB">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3A8505AC">
            <w:pPr>
              <w:keepNext w:val="0"/>
              <w:keepLines w:val="0"/>
              <w:pageBreakBefore w:val="0"/>
              <w:widowControl/>
              <w:kinsoku/>
              <w:wordWrap/>
              <w:overflowPunct/>
              <w:topLinePunct w:val="0"/>
              <w:autoSpaceDE/>
              <w:autoSpaceDN/>
              <w:bidi w:val="0"/>
              <w:adjustRightInd w:val="0"/>
              <w:snapToGrid w:val="0"/>
              <w:jc w:val="center"/>
              <w:rPr>
                <w:rFonts w:hint="eastAsia"/>
                <w:color w:val="auto"/>
                <w:kern w:val="0"/>
                <w:lang w:val="en-US" w:eastAsia="zh-CN"/>
              </w:rPr>
            </w:pPr>
            <w:r>
              <w:rPr>
                <w:rFonts w:hint="eastAsia"/>
                <w:color w:val="auto"/>
                <w:kern w:val="0"/>
                <w:lang w:val="en-US" w:eastAsia="zh-CN"/>
              </w:rPr>
              <w:t>0.04032</w:t>
            </w:r>
          </w:p>
        </w:tc>
        <w:tc>
          <w:tcPr>
            <w:tcW w:w="574" w:type="pct"/>
            <w:tcBorders>
              <w:tl2br w:val="nil"/>
              <w:tr2bl w:val="nil"/>
            </w:tcBorders>
            <w:vAlign w:val="center"/>
          </w:tcPr>
          <w:p w14:paraId="3A8505AD">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72" w:type="dxa"/>
            <w:tcBorders>
              <w:tl2br w:val="nil"/>
              <w:tr2bl w:val="nil"/>
            </w:tcBorders>
            <w:vAlign w:val="center"/>
          </w:tcPr>
          <w:p w14:paraId="3A8505AE">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color w:val="auto"/>
                <w:kern w:val="0"/>
                <w:sz w:val="21"/>
                <w:szCs w:val="21"/>
                <w:lang w:val="en-US" w:eastAsia="zh-CN"/>
              </w:rPr>
            </w:pPr>
            <w:r>
              <w:rPr>
                <w:rFonts w:hint="eastAsia" w:cs="Times New Roman"/>
                <w:color w:val="auto"/>
                <w:sz w:val="21"/>
                <w:szCs w:val="21"/>
                <w:highlight w:val="none"/>
                <w:lang w:val="en-US" w:eastAsia="zh-CN"/>
              </w:rPr>
              <w:t>0.17</w:t>
            </w:r>
          </w:p>
        </w:tc>
        <w:tc>
          <w:tcPr>
            <w:tcW w:w="1228" w:type="dxa"/>
            <w:tcBorders>
              <w:tl2br w:val="nil"/>
              <w:tr2bl w:val="nil"/>
            </w:tcBorders>
            <w:vAlign w:val="center"/>
          </w:tcPr>
          <w:p w14:paraId="3A8505AF">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eastAsia="仿宋"/>
                <w:color w:val="auto"/>
                <w:kern w:val="0"/>
                <w:sz w:val="21"/>
                <w:szCs w:val="21"/>
              </w:rPr>
            </w:pPr>
            <w:r>
              <w:rPr>
                <w:rFonts w:hint="eastAsia" w:cs="Times New Roman"/>
                <w:color w:val="auto"/>
                <w:sz w:val="21"/>
                <w:szCs w:val="21"/>
                <w:highlight w:val="none"/>
                <w:lang w:val="en-US" w:eastAsia="zh-CN"/>
              </w:rPr>
              <w:t>-0.012</w:t>
            </w:r>
          </w:p>
        </w:tc>
      </w:tr>
      <w:tr w14:paraId="47E536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45088355">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4EBB0CE7">
            <w:pPr>
              <w:keepNext w:val="0"/>
              <w:keepLines w:val="0"/>
              <w:pageBreakBefore w:val="0"/>
              <w:kinsoku/>
              <w:wordWrap/>
              <w:overflowPunct/>
              <w:topLinePunct w:val="0"/>
              <w:autoSpaceDE/>
              <w:autoSpaceDN/>
              <w:bidi w:val="0"/>
              <w:adjustRightInd w:val="0"/>
              <w:snapToGrid w:val="0"/>
              <w:jc w:val="center"/>
              <w:textAlignment w:val="center"/>
              <w:rPr>
                <w:rFonts w:hint="eastAsia" w:eastAsia="宋体"/>
                <w:color w:val="auto"/>
                <w:kern w:val="0"/>
                <w:lang w:val="en-US" w:eastAsia="zh-CN"/>
              </w:rPr>
            </w:pPr>
            <w:r>
              <w:rPr>
                <w:rFonts w:hint="eastAsia"/>
                <w:color w:val="auto"/>
                <w:kern w:val="0"/>
                <w:lang w:val="en-US" w:eastAsia="zh-CN"/>
              </w:rPr>
              <w:t>动植物油</w:t>
            </w:r>
          </w:p>
        </w:tc>
        <w:tc>
          <w:tcPr>
            <w:tcW w:w="398" w:type="pct"/>
            <w:tcBorders>
              <w:tl2br w:val="nil"/>
              <w:tr2bl w:val="nil"/>
            </w:tcBorders>
            <w:vAlign w:val="center"/>
          </w:tcPr>
          <w:p w14:paraId="687C2329">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0.045</w:t>
            </w:r>
          </w:p>
        </w:tc>
        <w:tc>
          <w:tcPr>
            <w:tcW w:w="448" w:type="pct"/>
            <w:tcBorders>
              <w:tl2br w:val="nil"/>
              <w:tr2bl w:val="nil"/>
            </w:tcBorders>
            <w:vAlign w:val="center"/>
          </w:tcPr>
          <w:p w14:paraId="30E3DF44">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vAlign w:val="center"/>
          </w:tcPr>
          <w:p w14:paraId="2B01CAB2">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79E73F33">
            <w:pPr>
              <w:keepNext w:val="0"/>
              <w:keepLines w:val="0"/>
              <w:pageBreakBefore w:val="0"/>
              <w:widowControl/>
              <w:kinsoku/>
              <w:wordWrap/>
              <w:overflowPunct/>
              <w:topLinePunct w:val="0"/>
              <w:autoSpaceDE/>
              <w:autoSpaceDN/>
              <w:bidi w:val="0"/>
              <w:adjustRightInd w:val="0"/>
              <w:snapToGrid w:val="0"/>
              <w:jc w:val="center"/>
              <w:rPr>
                <w:rFonts w:hint="eastAsia" w:eastAsia="宋体"/>
                <w:color w:val="auto"/>
                <w:kern w:val="0"/>
                <w:lang w:val="en-US" w:eastAsia="zh-CN"/>
              </w:rPr>
            </w:pPr>
            <w:r>
              <w:rPr>
                <w:rFonts w:hint="eastAsia" w:eastAsia="宋体"/>
                <w:color w:val="auto"/>
                <w:kern w:val="0"/>
                <w:lang w:val="en-US" w:eastAsia="zh-CN"/>
              </w:rPr>
              <w:t>0</w:t>
            </w:r>
          </w:p>
        </w:tc>
        <w:tc>
          <w:tcPr>
            <w:tcW w:w="574" w:type="pct"/>
            <w:tcBorders>
              <w:tl2br w:val="nil"/>
              <w:tr2bl w:val="nil"/>
            </w:tcBorders>
            <w:vAlign w:val="center"/>
          </w:tcPr>
          <w:p w14:paraId="431C2753">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1772" w:type="dxa"/>
            <w:tcBorders>
              <w:tl2br w:val="nil"/>
              <w:tr2bl w:val="nil"/>
            </w:tcBorders>
            <w:vAlign w:val="center"/>
          </w:tcPr>
          <w:p w14:paraId="76075C10">
            <w:pPr>
              <w:keepNext w:val="0"/>
              <w:keepLines w:val="0"/>
              <w:pageBreakBefore w:val="0"/>
              <w:widowControl/>
              <w:kinsoku/>
              <w:wordWrap/>
              <w:overflowPunct/>
              <w:topLinePunct w:val="0"/>
              <w:autoSpaceDE/>
              <w:autoSpaceDN/>
              <w:bidi w:val="0"/>
              <w:adjustRightInd w:val="0"/>
              <w:snapToGrid w:val="0"/>
              <w:jc w:val="center"/>
              <w:rPr>
                <w:rFonts w:hint="eastAsia" w:eastAsia="宋体"/>
                <w:color w:val="auto"/>
                <w:kern w:val="0"/>
                <w:sz w:val="21"/>
                <w:szCs w:val="21"/>
                <w:lang w:val="en-US" w:eastAsia="zh-CN"/>
              </w:rPr>
            </w:pPr>
            <w:r>
              <w:rPr>
                <w:rFonts w:hint="eastAsia"/>
                <w:color w:val="auto"/>
                <w:kern w:val="0"/>
                <w:sz w:val="21"/>
                <w:szCs w:val="21"/>
                <w:lang w:val="en-US" w:eastAsia="zh-CN"/>
              </w:rPr>
              <w:t>2.68</w:t>
            </w:r>
          </w:p>
        </w:tc>
        <w:tc>
          <w:tcPr>
            <w:tcW w:w="1228" w:type="dxa"/>
            <w:tcBorders>
              <w:tl2br w:val="nil"/>
              <w:tr2bl w:val="nil"/>
            </w:tcBorders>
            <w:vAlign w:val="center"/>
          </w:tcPr>
          <w:p w14:paraId="1D80D369">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eastAsia" w:eastAsia="仿宋"/>
                <w:color w:val="auto"/>
                <w:kern w:val="0"/>
                <w:sz w:val="21"/>
                <w:szCs w:val="21"/>
                <w:lang w:eastAsia="zh-CN"/>
              </w:rPr>
            </w:pPr>
            <w:r>
              <w:rPr>
                <w:rFonts w:hint="eastAsia" w:cs="Times New Roman"/>
                <w:color w:val="auto"/>
                <w:sz w:val="21"/>
                <w:szCs w:val="21"/>
                <w:highlight w:val="none"/>
                <w:lang w:val="en-US" w:eastAsia="zh-CN"/>
              </w:rPr>
              <w:t>2.242</w:t>
            </w:r>
          </w:p>
        </w:tc>
      </w:tr>
      <w:tr w14:paraId="3A8505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restart"/>
            <w:tcBorders>
              <w:tl2br w:val="nil"/>
              <w:tr2bl w:val="nil"/>
            </w:tcBorders>
            <w:vAlign w:val="center"/>
          </w:tcPr>
          <w:p w14:paraId="3A8505B1">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r>
              <w:rPr>
                <w:rFonts w:ascii="Times New Roman" w:eastAsia="宋体"/>
                <w:color w:val="auto"/>
                <w:sz w:val="21"/>
                <w:szCs w:val="21"/>
              </w:rPr>
              <w:t>一般工业</w:t>
            </w:r>
          </w:p>
          <w:p w14:paraId="3A8505B2">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r>
              <w:rPr>
                <w:rFonts w:ascii="Times New Roman" w:eastAsia="宋体"/>
                <w:color w:val="auto"/>
                <w:sz w:val="21"/>
                <w:szCs w:val="21"/>
              </w:rPr>
              <w:t>固体废物</w:t>
            </w:r>
          </w:p>
        </w:tc>
        <w:tc>
          <w:tcPr>
            <w:tcW w:w="889" w:type="pct"/>
            <w:gridSpan w:val="2"/>
            <w:tcBorders>
              <w:tl2br w:val="nil"/>
              <w:tr2bl w:val="nil"/>
            </w:tcBorders>
            <w:vAlign w:val="center"/>
          </w:tcPr>
          <w:p w14:paraId="3A8505B3">
            <w:pPr>
              <w:pStyle w:val="5"/>
              <w:keepNext w:val="0"/>
              <w:keepLines w:val="0"/>
              <w:pageBreakBefore w:val="0"/>
              <w:kinsoku/>
              <w:wordWrap/>
              <w:overflowPunct/>
              <w:topLinePunct w:val="0"/>
              <w:autoSpaceDE/>
              <w:autoSpaceDN/>
              <w:bidi w:val="0"/>
              <w:adjustRightInd w:val="0"/>
              <w:snapToGrid w:val="0"/>
              <w:ind w:firstLine="0"/>
              <w:jc w:val="center"/>
              <w:rPr>
                <w:rFonts w:hint="eastAsia" w:eastAsia="宋体"/>
                <w:color w:val="auto"/>
                <w:kern w:val="0"/>
                <w:szCs w:val="21"/>
                <w:lang w:val="en-US" w:eastAsia="zh-CN"/>
              </w:rPr>
            </w:pPr>
            <w:r>
              <w:rPr>
                <w:rFonts w:hint="eastAsia"/>
                <w:color w:val="auto"/>
                <w:kern w:val="0"/>
                <w:szCs w:val="21"/>
                <w:lang w:val="en-US" w:eastAsia="zh-CN"/>
              </w:rPr>
              <w:t>废边角料</w:t>
            </w:r>
          </w:p>
        </w:tc>
        <w:tc>
          <w:tcPr>
            <w:tcW w:w="398" w:type="pct"/>
            <w:tcBorders>
              <w:tl2br w:val="nil"/>
              <w:tr2bl w:val="nil"/>
            </w:tcBorders>
            <w:vAlign w:val="center"/>
          </w:tcPr>
          <w:p w14:paraId="3A8505B4">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306</w:t>
            </w:r>
          </w:p>
        </w:tc>
        <w:tc>
          <w:tcPr>
            <w:tcW w:w="448" w:type="pct"/>
            <w:tcBorders>
              <w:tl2br w:val="nil"/>
              <w:tr2bl w:val="nil"/>
            </w:tcBorders>
            <w:vAlign w:val="center"/>
          </w:tcPr>
          <w:p w14:paraId="3A8505B5">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vAlign w:val="center"/>
          </w:tcPr>
          <w:p w14:paraId="3A8505B6">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3A8505B7">
            <w:pPr>
              <w:pStyle w:val="5"/>
              <w:keepNext w:val="0"/>
              <w:keepLines w:val="0"/>
              <w:pageBreakBefore w:val="0"/>
              <w:kinsoku/>
              <w:wordWrap/>
              <w:overflowPunct/>
              <w:topLinePunct w:val="0"/>
              <w:autoSpaceDE/>
              <w:autoSpaceDN/>
              <w:bidi w:val="0"/>
              <w:adjustRightInd w:val="0"/>
              <w:snapToGrid w:val="0"/>
              <w:ind w:firstLine="0"/>
              <w:jc w:val="center"/>
              <w:rPr>
                <w:rFonts w:hint="eastAsia" w:eastAsia="宋体"/>
                <w:color w:val="auto"/>
                <w:kern w:val="0"/>
                <w:lang w:eastAsia="zh-CN"/>
              </w:rPr>
            </w:pPr>
            <w:r>
              <w:rPr>
                <w:rFonts w:hint="eastAsia"/>
                <w:color w:val="auto"/>
                <w:kern w:val="0"/>
                <w:szCs w:val="21"/>
                <w:lang w:val="en-US" w:eastAsia="zh-CN"/>
              </w:rPr>
              <w:t>0</w:t>
            </w:r>
          </w:p>
        </w:tc>
        <w:tc>
          <w:tcPr>
            <w:tcW w:w="574" w:type="pct"/>
            <w:tcBorders>
              <w:tl2br w:val="nil"/>
              <w:tr2bl w:val="nil"/>
            </w:tcBorders>
            <w:vAlign w:val="center"/>
          </w:tcPr>
          <w:p w14:paraId="3A8505B8">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3A8505B9">
            <w:pPr>
              <w:pStyle w:val="5"/>
              <w:keepNext w:val="0"/>
              <w:keepLines w:val="0"/>
              <w:pageBreakBefore w:val="0"/>
              <w:kinsoku/>
              <w:wordWrap/>
              <w:overflowPunct/>
              <w:topLinePunct w:val="0"/>
              <w:autoSpaceDE/>
              <w:autoSpaceDN/>
              <w:bidi w:val="0"/>
              <w:adjustRightInd w:val="0"/>
              <w:snapToGrid w:val="0"/>
              <w:ind w:firstLine="0"/>
              <w:jc w:val="center"/>
              <w:rPr>
                <w:rFonts w:hint="eastAsia" w:eastAsia="宋体"/>
                <w:color w:val="auto"/>
                <w:kern w:val="0"/>
                <w:szCs w:val="21"/>
                <w:lang w:val="en-US" w:eastAsia="zh-CN"/>
              </w:rPr>
            </w:pPr>
            <w:r>
              <w:rPr>
                <w:rFonts w:hint="eastAsia" w:eastAsia="宋体"/>
                <w:color w:val="auto"/>
                <w:kern w:val="0"/>
                <w:szCs w:val="21"/>
                <w:lang w:val="en-US" w:eastAsia="zh-CN"/>
              </w:rPr>
              <w:t>306</w:t>
            </w:r>
          </w:p>
        </w:tc>
        <w:tc>
          <w:tcPr>
            <w:tcW w:w="438" w:type="pct"/>
            <w:tcBorders>
              <w:tl2br w:val="nil"/>
              <w:tr2bl w:val="nil"/>
            </w:tcBorders>
            <w:vAlign w:val="center"/>
          </w:tcPr>
          <w:p w14:paraId="3A8505BA">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0"/>
              </w:rPr>
            </w:pPr>
            <w:r>
              <w:rPr>
                <w:rFonts w:hint="eastAsia"/>
                <w:color w:val="auto"/>
                <w:kern w:val="0"/>
                <w:szCs w:val="21"/>
                <w:lang w:val="en-US" w:eastAsia="zh-CN"/>
              </w:rPr>
              <w:t>0</w:t>
            </w:r>
          </w:p>
        </w:tc>
      </w:tr>
      <w:tr w14:paraId="3A8505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3A8505BC">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3A8505BD">
            <w:pPr>
              <w:pStyle w:val="5"/>
              <w:keepNext w:val="0"/>
              <w:keepLines w:val="0"/>
              <w:pageBreakBefore w:val="0"/>
              <w:kinsoku/>
              <w:wordWrap/>
              <w:overflowPunct/>
              <w:topLinePunct w:val="0"/>
              <w:autoSpaceDE/>
              <w:autoSpaceDN/>
              <w:bidi w:val="0"/>
              <w:adjustRightInd w:val="0"/>
              <w:snapToGrid w:val="0"/>
              <w:ind w:firstLine="0"/>
              <w:jc w:val="center"/>
              <w:rPr>
                <w:rFonts w:hint="eastAsia" w:eastAsia="宋体"/>
                <w:bCs/>
                <w:color w:val="auto"/>
                <w:kern w:val="0"/>
                <w:szCs w:val="21"/>
                <w:lang w:val="en-US" w:eastAsia="zh-CN"/>
              </w:rPr>
            </w:pPr>
            <w:r>
              <w:rPr>
                <w:rFonts w:hint="eastAsia"/>
                <w:bCs/>
                <w:color w:val="auto"/>
                <w:kern w:val="0"/>
                <w:szCs w:val="21"/>
                <w:lang w:val="en-US" w:eastAsia="zh-CN"/>
              </w:rPr>
              <w:t>废金属壳</w:t>
            </w:r>
          </w:p>
        </w:tc>
        <w:tc>
          <w:tcPr>
            <w:tcW w:w="398" w:type="pct"/>
            <w:tcBorders>
              <w:tl2br w:val="nil"/>
              <w:tr2bl w:val="nil"/>
            </w:tcBorders>
            <w:vAlign w:val="center"/>
          </w:tcPr>
          <w:p w14:paraId="3A8505BE">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245</w:t>
            </w:r>
          </w:p>
        </w:tc>
        <w:tc>
          <w:tcPr>
            <w:tcW w:w="448" w:type="pct"/>
            <w:tcBorders>
              <w:tl2br w:val="nil"/>
              <w:tr2bl w:val="nil"/>
            </w:tcBorders>
            <w:vAlign w:val="center"/>
          </w:tcPr>
          <w:p w14:paraId="3A8505BF">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vAlign w:val="center"/>
          </w:tcPr>
          <w:p w14:paraId="3A8505C0">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3A8505C1">
            <w:pPr>
              <w:pStyle w:val="5"/>
              <w:keepNext w:val="0"/>
              <w:keepLines w:val="0"/>
              <w:pageBreakBefore w:val="0"/>
              <w:kinsoku/>
              <w:wordWrap/>
              <w:overflowPunct/>
              <w:topLinePunct w:val="0"/>
              <w:autoSpaceDE/>
              <w:autoSpaceDN/>
              <w:bidi w:val="0"/>
              <w:adjustRightInd w:val="0"/>
              <w:snapToGrid w:val="0"/>
              <w:ind w:firstLine="0"/>
              <w:jc w:val="center"/>
              <w:rPr>
                <w:rFonts w:hint="default" w:eastAsia="宋体"/>
                <w:color w:val="auto"/>
                <w:kern w:val="0"/>
                <w:lang w:val="en-US" w:eastAsia="zh-CN"/>
              </w:rPr>
            </w:pPr>
            <w:r>
              <w:rPr>
                <w:rFonts w:hint="eastAsia"/>
                <w:color w:val="auto"/>
                <w:kern w:val="0"/>
                <w:szCs w:val="21"/>
                <w:lang w:val="en-US" w:eastAsia="zh-CN"/>
              </w:rPr>
              <w:t>56</w:t>
            </w:r>
          </w:p>
        </w:tc>
        <w:tc>
          <w:tcPr>
            <w:tcW w:w="574" w:type="pct"/>
            <w:tcBorders>
              <w:tl2br w:val="nil"/>
              <w:tr2bl w:val="nil"/>
            </w:tcBorders>
            <w:vAlign w:val="center"/>
          </w:tcPr>
          <w:p w14:paraId="3A8505C2">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3A8505C3">
            <w:pPr>
              <w:pStyle w:val="5"/>
              <w:keepNext w:val="0"/>
              <w:keepLines w:val="0"/>
              <w:pageBreakBefore w:val="0"/>
              <w:kinsoku/>
              <w:wordWrap/>
              <w:overflowPunct/>
              <w:topLinePunct w:val="0"/>
              <w:autoSpaceDE/>
              <w:autoSpaceDN/>
              <w:bidi w:val="0"/>
              <w:adjustRightInd w:val="0"/>
              <w:snapToGrid w:val="0"/>
              <w:ind w:firstLine="0"/>
              <w:jc w:val="center"/>
              <w:rPr>
                <w:rFonts w:hint="default" w:eastAsia="宋体"/>
                <w:color w:val="auto"/>
                <w:kern w:val="0"/>
                <w:szCs w:val="21"/>
                <w:lang w:val="en-US" w:eastAsia="zh-CN"/>
              </w:rPr>
            </w:pPr>
            <w:r>
              <w:rPr>
                <w:rFonts w:hint="eastAsia" w:eastAsia="宋体"/>
                <w:color w:val="auto"/>
                <w:kern w:val="0"/>
                <w:szCs w:val="21"/>
                <w:lang w:val="en-US" w:eastAsia="zh-CN"/>
              </w:rPr>
              <w:t>3</w:t>
            </w:r>
            <w:r>
              <w:rPr>
                <w:rFonts w:hint="eastAsia"/>
                <w:color w:val="auto"/>
                <w:kern w:val="0"/>
                <w:szCs w:val="21"/>
                <w:lang w:val="en-US" w:eastAsia="zh-CN"/>
              </w:rPr>
              <w:t>01</w:t>
            </w:r>
          </w:p>
        </w:tc>
        <w:tc>
          <w:tcPr>
            <w:tcW w:w="438" w:type="pct"/>
            <w:tcBorders>
              <w:tl2br w:val="nil"/>
              <w:tr2bl w:val="nil"/>
            </w:tcBorders>
            <w:vAlign w:val="center"/>
          </w:tcPr>
          <w:p w14:paraId="3A8505C4">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color w:val="auto"/>
                <w:kern w:val="0"/>
                <w:lang w:val="en-US"/>
              </w:rPr>
            </w:pPr>
            <w:r>
              <w:rPr>
                <w:rFonts w:hint="eastAsia"/>
                <w:color w:val="auto"/>
                <w:kern w:val="0"/>
                <w:szCs w:val="21"/>
                <w:lang w:val="en-US" w:eastAsia="zh-CN"/>
              </w:rPr>
              <w:t>+56</w:t>
            </w:r>
          </w:p>
        </w:tc>
      </w:tr>
      <w:tr w14:paraId="3A8505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3A8505C6">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3A8505C7">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bCs/>
                <w:color w:val="auto"/>
                <w:kern w:val="0"/>
                <w:szCs w:val="21"/>
                <w:lang w:val="en-US" w:eastAsia="zh-CN"/>
              </w:rPr>
            </w:pPr>
            <w:r>
              <w:rPr>
                <w:rFonts w:hint="eastAsia"/>
                <w:bCs/>
                <w:color w:val="auto"/>
                <w:kern w:val="0"/>
                <w:szCs w:val="21"/>
                <w:lang w:val="en-US" w:eastAsia="zh-CN"/>
              </w:rPr>
              <w:t>废包装盒/袋</w:t>
            </w:r>
          </w:p>
        </w:tc>
        <w:tc>
          <w:tcPr>
            <w:tcW w:w="398" w:type="pct"/>
            <w:tcBorders>
              <w:tl2br w:val="nil"/>
              <w:tr2bl w:val="nil"/>
            </w:tcBorders>
            <w:vAlign w:val="center"/>
          </w:tcPr>
          <w:p w14:paraId="3A8505C8">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9.07</w:t>
            </w:r>
          </w:p>
        </w:tc>
        <w:tc>
          <w:tcPr>
            <w:tcW w:w="448" w:type="pct"/>
            <w:tcBorders>
              <w:tl2br w:val="nil"/>
              <w:tr2bl w:val="nil"/>
            </w:tcBorders>
            <w:shd w:val="clear" w:color="auto" w:fill="auto"/>
            <w:vAlign w:val="center"/>
          </w:tcPr>
          <w:p w14:paraId="3A8505C9">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3A8505CA">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3A8505CB">
            <w:pPr>
              <w:pStyle w:val="5"/>
              <w:keepNext w:val="0"/>
              <w:keepLines w:val="0"/>
              <w:pageBreakBefore w:val="0"/>
              <w:kinsoku/>
              <w:wordWrap/>
              <w:overflowPunct/>
              <w:topLinePunct w:val="0"/>
              <w:autoSpaceDE/>
              <w:autoSpaceDN/>
              <w:bidi w:val="0"/>
              <w:adjustRightInd w:val="0"/>
              <w:snapToGrid w:val="0"/>
              <w:ind w:firstLine="0"/>
              <w:jc w:val="center"/>
              <w:rPr>
                <w:rFonts w:hint="default" w:eastAsia="宋体"/>
                <w:color w:val="auto"/>
                <w:kern w:val="0"/>
                <w:lang w:val="en-US" w:eastAsia="zh-CN"/>
              </w:rPr>
            </w:pPr>
            <w:r>
              <w:rPr>
                <w:rFonts w:hint="eastAsia"/>
                <w:color w:val="auto"/>
                <w:kern w:val="0"/>
                <w:szCs w:val="21"/>
                <w:lang w:val="en-US" w:eastAsia="zh-CN"/>
              </w:rPr>
              <w:t>0</w:t>
            </w:r>
          </w:p>
        </w:tc>
        <w:tc>
          <w:tcPr>
            <w:tcW w:w="574" w:type="pct"/>
            <w:tcBorders>
              <w:tl2br w:val="nil"/>
              <w:tr2bl w:val="nil"/>
            </w:tcBorders>
            <w:shd w:val="clear" w:color="auto" w:fill="auto"/>
            <w:vAlign w:val="center"/>
          </w:tcPr>
          <w:p w14:paraId="3A8505CC">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3A8505CD">
            <w:pPr>
              <w:pStyle w:val="5"/>
              <w:keepNext w:val="0"/>
              <w:keepLines w:val="0"/>
              <w:pageBreakBefore w:val="0"/>
              <w:kinsoku/>
              <w:wordWrap/>
              <w:overflowPunct/>
              <w:topLinePunct w:val="0"/>
              <w:autoSpaceDE/>
              <w:autoSpaceDN/>
              <w:bidi w:val="0"/>
              <w:adjustRightInd w:val="0"/>
              <w:snapToGrid w:val="0"/>
              <w:ind w:firstLine="0"/>
              <w:jc w:val="center"/>
              <w:rPr>
                <w:rFonts w:hint="default" w:eastAsia="宋体"/>
                <w:color w:val="auto"/>
                <w:kern w:val="0"/>
                <w:szCs w:val="21"/>
                <w:lang w:val="en-US" w:eastAsia="zh-CN"/>
              </w:rPr>
            </w:pPr>
            <w:r>
              <w:rPr>
                <w:rFonts w:hint="eastAsia"/>
                <w:color w:val="auto"/>
                <w:kern w:val="0"/>
                <w:szCs w:val="21"/>
                <w:lang w:val="en-US" w:eastAsia="zh-CN"/>
              </w:rPr>
              <w:t>9.07</w:t>
            </w:r>
          </w:p>
        </w:tc>
        <w:tc>
          <w:tcPr>
            <w:tcW w:w="438" w:type="pct"/>
            <w:tcBorders>
              <w:tl2br w:val="nil"/>
              <w:tr2bl w:val="nil"/>
            </w:tcBorders>
            <w:vAlign w:val="center"/>
          </w:tcPr>
          <w:p w14:paraId="3A8505CE">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0"/>
              </w:rPr>
            </w:pPr>
            <w:r>
              <w:rPr>
                <w:rFonts w:hint="eastAsia"/>
                <w:color w:val="auto"/>
                <w:kern w:val="0"/>
                <w:szCs w:val="21"/>
                <w:lang w:val="en-US" w:eastAsia="zh-CN"/>
              </w:rPr>
              <w:t>0</w:t>
            </w:r>
          </w:p>
        </w:tc>
      </w:tr>
      <w:tr w14:paraId="3A8505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3A8505D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3A8505D1">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bCs/>
                <w:color w:val="auto"/>
                <w:kern w:val="0"/>
                <w:szCs w:val="21"/>
                <w:lang w:val="en-US" w:eastAsia="zh-CN"/>
              </w:rPr>
            </w:pPr>
            <w:r>
              <w:rPr>
                <w:rFonts w:hint="eastAsia"/>
                <w:bCs/>
                <w:color w:val="auto"/>
                <w:kern w:val="0"/>
                <w:szCs w:val="21"/>
                <w:lang w:val="en-US" w:eastAsia="zh-CN"/>
              </w:rPr>
              <w:t>压滤机滤布</w:t>
            </w:r>
          </w:p>
        </w:tc>
        <w:tc>
          <w:tcPr>
            <w:tcW w:w="398" w:type="pct"/>
            <w:tcBorders>
              <w:tl2br w:val="nil"/>
              <w:tr2bl w:val="nil"/>
            </w:tcBorders>
            <w:shd w:val="clear" w:color="auto" w:fill="auto"/>
            <w:vAlign w:val="center"/>
          </w:tcPr>
          <w:p w14:paraId="3A8505D2">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0.1</w:t>
            </w:r>
          </w:p>
        </w:tc>
        <w:tc>
          <w:tcPr>
            <w:tcW w:w="448" w:type="pct"/>
            <w:tcBorders>
              <w:tl2br w:val="nil"/>
              <w:tr2bl w:val="nil"/>
            </w:tcBorders>
            <w:shd w:val="clear" w:color="auto" w:fill="auto"/>
            <w:vAlign w:val="center"/>
          </w:tcPr>
          <w:p w14:paraId="3A8505D3">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3A8505D4">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shd w:val="clear" w:color="auto" w:fill="auto"/>
            <w:vAlign w:val="center"/>
          </w:tcPr>
          <w:p w14:paraId="3A8505D5">
            <w:pPr>
              <w:keepNext w:val="0"/>
              <w:keepLines w:val="0"/>
              <w:pageBreakBefore w:val="0"/>
              <w:widowControl/>
              <w:kinsoku/>
              <w:wordWrap/>
              <w:overflowPunct/>
              <w:topLinePunct w:val="0"/>
              <w:autoSpaceDE/>
              <w:autoSpaceDN/>
              <w:bidi w:val="0"/>
              <w:adjustRightInd w:val="0"/>
              <w:snapToGrid w:val="0"/>
              <w:jc w:val="center"/>
              <w:rPr>
                <w:color w:val="auto"/>
                <w:kern w:val="0"/>
              </w:rPr>
            </w:pPr>
            <w:r>
              <w:rPr>
                <w:rFonts w:hint="eastAsia" w:eastAsia="宋体"/>
                <w:color w:val="auto"/>
                <w:kern w:val="0"/>
                <w:lang w:val="en-US" w:eastAsia="zh-CN"/>
              </w:rPr>
              <w:t>0</w:t>
            </w:r>
          </w:p>
        </w:tc>
        <w:tc>
          <w:tcPr>
            <w:tcW w:w="574" w:type="pct"/>
            <w:tcBorders>
              <w:tl2br w:val="nil"/>
              <w:tr2bl w:val="nil"/>
            </w:tcBorders>
            <w:shd w:val="clear" w:color="auto" w:fill="auto"/>
            <w:vAlign w:val="center"/>
          </w:tcPr>
          <w:p w14:paraId="3A8505D6">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shd w:val="clear" w:color="auto" w:fill="auto"/>
            <w:vAlign w:val="center"/>
          </w:tcPr>
          <w:p w14:paraId="3A8505D7">
            <w:pPr>
              <w:pStyle w:val="5"/>
              <w:keepNext w:val="0"/>
              <w:keepLines w:val="0"/>
              <w:pageBreakBefore w:val="0"/>
              <w:kinsoku/>
              <w:wordWrap/>
              <w:overflowPunct/>
              <w:topLinePunct w:val="0"/>
              <w:autoSpaceDE/>
              <w:autoSpaceDN/>
              <w:bidi w:val="0"/>
              <w:adjustRightInd w:val="0"/>
              <w:snapToGrid w:val="0"/>
              <w:ind w:firstLine="0"/>
              <w:jc w:val="center"/>
              <w:rPr>
                <w:rFonts w:hint="eastAsia" w:eastAsia="宋体"/>
                <w:color w:val="auto"/>
                <w:kern w:val="0"/>
                <w:szCs w:val="21"/>
                <w:lang w:val="en-US" w:eastAsia="zh-CN"/>
              </w:rPr>
            </w:pPr>
            <w:r>
              <w:rPr>
                <w:rFonts w:hint="eastAsia" w:eastAsia="宋体"/>
                <w:color w:val="auto"/>
                <w:kern w:val="0"/>
                <w:szCs w:val="21"/>
                <w:lang w:val="en-US" w:eastAsia="zh-CN"/>
              </w:rPr>
              <w:t>0.1</w:t>
            </w:r>
          </w:p>
        </w:tc>
        <w:tc>
          <w:tcPr>
            <w:tcW w:w="438" w:type="pct"/>
            <w:tcBorders>
              <w:tl2br w:val="nil"/>
              <w:tr2bl w:val="nil"/>
            </w:tcBorders>
            <w:shd w:val="clear" w:color="auto" w:fill="auto"/>
            <w:vAlign w:val="center"/>
          </w:tcPr>
          <w:p w14:paraId="3A8505D8">
            <w:pPr>
              <w:keepNext w:val="0"/>
              <w:keepLines w:val="0"/>
              <w:pageBreakBefore w:val="0"/>
              <w:widowControl/>
              <w:kinsoku/>
              <w:wordWrap/>
              <w:overflowPunct/>
              <w:topLinePunct w:val="0"/>
              <w:autoSpaceDE/>
              <w:autoSpaceDN/>
              <w:bidi w:val="0"/>
              <w:adjustRightInd w:val="0"/>
              <w:snapToGrid w:val="0"/>
              <w:jc w:val="center"/>
              <w:rPr>
                <w:color w:val="auto"/>
                <w:kern w:val="0"/>
              </w:rPr>
            </w:pPr>
            <w:r>
              <w:rPr>
                <w:rFonts w:hint="eastAsia" w:eastAsia="宋体"/>
                <w:color w:val="auto"/>
                <w:kern w:val="0"/>
                <w:lang w:val="en-US" w:eastAsia="zh-CN"/>
              </w:rPr>
              <w:t>0</w:t>
            </w:r>
          </w:p>
        </w:tc>
      </w:tr>
      <w:tr w14:paraId="210F19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5E1E0E66">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3B48C045">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bCs/>
                <w:color w:val="auto"/>
                <w:kern w:val="0"/>
                <w:szCs w:val="21"/>
                <w:lang w:val="en-US" w:eastAsia="zh-CN"/>
              </w:rPr>
            </w:pPr>
            <w:r>
              <w:rPr>
                <w:rFonts w:hint="eastAsia"/>
                <w:bCs/>
                <w:color w:val="auto"/>
                <w:kern w:val="0"/>
                <w:szCs w:val="21"/>
                <w:lang w:val="en-US" w:eastAsia="zh-CN"/>
              </w:rPr>
              <w:t>拆解物</w:t>
            </w:r>
          </w:p>
        </w:tc>
        <w:tc>
          <w:tcPr>
            <w:tcW w:w="398" w:type="pct"/>
            <w:tcBorders>
              <w:tl2br w:val="nil"/>
              <w:tr2bl w:val="nil"/>
            </w:tcBorders>
            <w:shd w:val="clear" w:color="auto" w:fill="auto"/>
            <w:vAlign w:val="center"/>
          </w:tcPr>
          <w:p w14:paraId="2BF54C3A">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10</w:t>
            </w:r>
          </w:p>
        </w:tc>
        <w:tc>
          <w:tcPr>
            <w:tcW w:w="448" w:type="pct"/>
            <w:tcBorders>
              <w:tl2br w:val="nil"/>
              <w:tr2bl w:val="nil"/>
            </w:tcBorders>
            <w:shd w:val="clear" w:color="auto" w:fill="auto"/>
            <w:vAlign w:val="center"/>
          </w:tcPr>
          <w:p w14:paraId="3E65E672">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56562385">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shd w:val="clear" w:color="auto" w:fill="auto"/>
            <w:vAlign w:val="center"/>
          </w:tcPr>
          <w:p w14:paraId="4D6DC89D">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kern w:val="0"/>
                <w:szCs w:val="21"/>
              </w:rPr>
            </w:pPr>
            <w:r>
              <w:rPr>
                <w:rFonts w:hint="eastAsia"/>
                <w:color w:val="auto"/>
                <w:kern w:val="0"/>
                <w:szCs w:val="21"/>
                <w:lang w:val="en-US" w:eastAsia="zh-CN"/>
              </w:rPr>
              <w:t>0</w:t>
            </w:r>
          </w:p>
        </w:tc>
        <w:tc>
          <w:tcPr>
            <w:tcW w:w="574" w:type="pct"/>
            <w:tcBorders>
              <w:tl2br w:val="nil"/>
              <w:tr2bl w:val="nil"/>
            </w:tcBorders>
            <w:shd w:val="clear" w:color="auto" w:fill="auto"/>
            <w:vAlign w:val="center"/>
          </w:tcPr>
          <w:p w14:paraId="3C182FE4">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shd w:val="clear" w:color="auto" w:fill="auto"/>
            <w:vAlign w:val="center"/>
          </w:tcPr>
          <w:p w14:paraId="0EC3E81B">
            <w:pPr>
              <w:pStyle w:val="5"/>
              <w:keepNext w:val="0"/>
              <w:keepLines w:val="0"/>
              <w:pageBreakBefore w:val="0"/>
              <w:kinsoku/>
              <w:wordWrap/>
              <w:overflowPunct/>
              <w:topLinePunct w:val="0"/>
              <w:autoSpaceDE/>
              <w:autoSpaceDN/>
              <w:bidi w:val="0"/>
              <w:adjustRightInd w:val="0"/>
              <w:snapToGrid w:val="0"/>
              <w:ind w:firstLine="0"/>
              <w:jc w:val="center"/>
              <w:rPr>
                <w:rFonts w:hint="eastAsia" w:eastAsia="宋体"/>
                <w:color w:val="auto"/>
                <w:kern w:val="0"/>
                <w:szCs w:val="21"/>
                <w:lang w:val="en-US" w:eastAsia="zh-CN"/>
              </w:rPr>
            </w:pPr>
            <w:r>
              <w:rPr>
                <w:rFonts w:hint="eastAsia" w:eastAsia="宋体"/>
                <w:color w:val="auto"/>
                <w:kern w:val="0"/>
                <w:szCs w:val="21"/>
                <w:lang w:val="en-US" w:eastAsia="zh-CN"/>
              </w:rPr>
              <w:t>10</w:t>
            </w:r>
          </w:p>
        </w:tc>
        <w:tc>
          <w:tcPr>
            <w:tcW w:w="438" w:type="pct"/>
            <w:tcBorders>
              <w:tl2br w:val="nil"/>
              <w:tr2bl w:val="nil"/>
            </w:tcBorders>
            <w:shd w:val="clear" w:color="auto" w:fill="auto"/>
            <w:vAlign w:val="center"/>
          </w:tcPr>
          <w:p w14:paraId="13EB7F01">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kern w:val="0"/>
                <w:szCs w:val="21"/>
              </w:rPr>
            </w:pPr>
            <w:r>
              <w:rPr>
                <w:rFonts w:hint="eastAsia"/>
                <w:color w:val="auto"/>
                <w:kern w:val="0"/>
                <w:szCs w:val="21"/>
                <w:lang w:val="en-US" w:eastAsia="zh-CN"/>
              </w:rPr>
              <w:t>0</w:t>
            </w:r>
          </w:p>
        </w:tc>
      </w:tr>
      <w:tr w14:paraId="3002B8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190070A3">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2764F572">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bCs/>
                <w:color w:val="auto"/>
                <w:kern w:val="0"/>
                <w:szCs w:val="21"/>
                <w:lang w:val="en-US" w:eastAsia="zh-CN"/>
              </w:rPr>
            </w:pPr>
            <w:r>
              <w:rPr>
                <w:rFonts w:hint="eastAsia"/>
                <w:bCs/>
                <w:color w:val="auto"/>
                <w:kern w:val="0"/>
                <w:szCs w:val="21"/>
                <w:lang w:val="en-US" w:eastAsia="zh-CN"/>
              </w:rPr>
              <w:t>点火具焊接烟尘</w:t>
            </w:r>
          </w:p>
        </w:tc>
        <w:tc>
          <w:tcPr>
            <w:tcW w:w="398" w:type="pct"/>
            <w:tcBorders>
              <w:tl2br w:val="nil"/>
              <w:tr2bl w:val="nil"/>
            </w:tcBorders>
            <w:shd w:val="clear" w:color="auto" w:fill="auto"/>
            <w:vAlign w:val="center"/>
          </w:tcPr>
          <w:p w14:paraId="31A5A13D">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0.14</w:t>
            </w:r>
          </w:p>
        </w:tc>
        <w:tc>
          <w:tcPr>
            <w:tcW w:w="448" w:type="pct"/>
            <w:tcBorders>
              <w:tl2br w:val="nil"/>
              <w:tr2bl w:val="nil"/>
            </w:tcBorders>
            <w:shd w:val="clear" w:color="auto" w:fill="auto"/>
            <w:vAlign w:val="center"/>
          </w:tcPr>
          <w:p w14:paraId="09422A38">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73EB9961">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shd w:val="clear" w:color="auto" w:fill="auto"/>
            <w:vAlign w:val="center"/>
          </w:tcPr>
          <w:p w14:paraId="1D29963F">
            <w:pPr>
              <w:keepNext w:val="0"/>
              <w:keepLines w:val="0"/>
              <w:pageBreakBefore w:val="0"/>
              <w:widowControl/>
              <w:kinsoku/>
              <w:wordWrap/>
              <w:overflowPunct/>
              <w:topLinePunct w:val="0"/>
              <w:autoSpaceDE/>
              <w:autoSpaceDN/>
              <w:bidi w:val="0"/>
              <w:adjustRightInd w:val="0"/>
              <w:snapToGrid w:val="0"/>
              <w:jc w:val="center"/>
              <w:rPr>
                <w:rFonts w:hint="eastAsia"/>
                <w:color w:val="auto"/>
                <w:kern w:val="0"/>
                <w:szCs w:val="21"/>
              </w:rPr>
            </w:pPr>
            <w:r>
              <w:rPr>
                <w:rFonts w:hint="eastAsia" w:eastAsia="宋体"/>
                <w:color w:val="auto"/>
                <w:kern w:val="0"/>
                <w:lang w:val="en-US" w:eastAsia="zh-CN"/>
              </w:rPr>
              <w:t>0</w:t>
            </w:r>
          </w:p>
        </w:tc>
        <w:tc>
          <w:tcPr>
            <w:tcW w:w="574" w:type="pct"/>
            <w:tcBorders>
              <w:tl2br w:val="nil"/>
              <w:tr2bl w:val="nil"/>
            </w:tcBorders>
            <w:shd w:val="clear" w:color="auto" w:fill="auto"/>
            <w:vAlign w:val="center"/>
          </w:tcPr>
          <w:p w14:paraId="0962DBDD">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shd w:val="clear" w:color="auto" w:fill="auto"/>
            <w:vAlign w:val="center"/>
          </w:tcPr>
          <w:p w14:paraId="3848B94E">
            <w:pPr>
              <w:pStyle w:val="5"/>
              <w:keepNext w:val="0"/>
              <w:keepLines w:val="0"/>
              <w:pageBreakBefore w:val="0"/>
              <w:kinsoku/>
              <w:wordWrap/>
              <w:overflowPunct/>
              <w:topLinePunct w:val="0"/>
              <w:autoSpaceDE/>
              <w:autoSpaceDN/>
              <w:bidi w:val="0"/>
              <w:adjustRightInd w:val="0"/>
              <w:snapToGrid w:val="0"/>
              <w:ind w:firstLine="0"/>
              <w:jc w:val="center"/>
              <w:rPr>
                <w:rFonts w:hint="eastAsia" w:eastAsia="宋体"/>
                <w:color w:val="auto"/>
                <w:kern w:val="0"/>
                <w:szCs w:val="21"/>
                <w:lang w:val="en-US" w:eastAsia="zh-CN"/>
              </w:rPr>
            </w:pPr>
            <w:r>
              <w:rPr>
                <w:rFonts w:hint="eastAsia" w:eastAsia="宋体"/>
                <w:color w:val="auto"/>
                <w:kern w:val="0"/>
                <w:szCs w:val="21"/>
                <w:lang w:val="en-US" w:eastAsia="zh-CN"/>
              </w:rPr>
              <w:t>0.14</w:t>
            </w:r>
          </w:p>
        </w:tc>
        <w:tc>
          <w:tcPr>
            <w:tcW w:w="438" w:type="pct"/>
            <w:tcBorders>
              <w:tl2br w:val="nil"/>
              <w:tr2bl w:val="nil"/>
            </w:tcBorders>
            <w:shd w:val="clear" w:color="auto" w:fill="auto"/>
            <w:vAlign w:val="center"/>
          </w:tcPr>
          <w:p w14:paraId="63F2D2A6">
            <w:pPr>
              <w:keepNext w:val="0"/>
              <w:keepLines w:val="0"/>
              <w:pageBreakBefore w:val="0"/>
              <w:widowControl/>
              <w:kinsoku/>
              <w:wordWrap/>
              <w:overflowPunct/>
              <w:topLinePunct w:val="0"/>
              <w:autoSpaceDE/>
              <w:autoSpaceDN/>
              <w:bidi w:val="0"/>
              <w:adjustRightInd w:val="0"/>
              <w:snapToGrid w:val="0"/>
              <w:jc w:val="center"/>
              <w:rPr>
                <w:rFonts w:hint="eastAsia"/>
                <w:color w:val="auto"/>
                <w:kern w:val="0"/>
                <w:szCs w:val="21"/>
              </w:rPr>
            </w:pPr>
            <w:r>
              <w:rPr>
                <w:rFonts w:hint="eastAsia" w:eastAsia="宋体"/>
                <w:color w:val="auto"/>
                <w:kern w:val="0"/>
                <w:lang w:val="en-US" w:eastAsia="zh-CN"/>
              </w:rPr>
              <w:t>0</w:t>
            </w:r>
          </w:p>
        </w:tc>
      </w:tr>
      <w:tr w14:paraId="1FB066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58203BAD">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3383A7DD">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bCs/>
                <w:color w:val="auto"/>
                <w:kern w:val="0"/>
                <w:szCs w:val="21"/>
                <w:lang w:val="en-US" w:eastAsia="zh-CN"/>
              </w:rPr>
            </w:pPr>
            <w:r>
              <w:rPr>
                <w:rFonts w:hint="eastAsia"/>
                <w:bCs/>
                <w:color w:val="auto"/>
                <w:kern w:val="0"/>
                <w:szCs w:val="21"/>
                <w:lang w:val="en-US" w:eastAsia="zh-CN"/>
              </w:rPr>
              <w:t>废砂</w:t>
            </w:r>
          </w:p>
        </w:tc>
        <w:tc>
          <w:tcPr>
            <w:tcW w:w="398" w:type="pct"/>
            <w:tcBorders>
              <w:tl2br w:val="nil"/>
              <w:tr2bl w:val="nil"/>
            </w:tcBorders>
            <w:shd w:val="clear" w:color="auto" w:fill="auto"/>
            <w:vAlign w:val="center"/>
          </w:tcPr>
          <w:p w14:paraId="484317CC">
            <w:pPr>
              <w:keepNext w:val="0"/>
              <w:keepLines w:val="0"/>
              <w:pageBreakBefore w:val="0"/>
              <w:widowControl/>
              <w:kinsoku/>
              <w:wordWrap/>
              <w:overflowPunct/>
              <w:topLinePunct w:val="0"/>
              <w:autoSpaceDE/>
              <w:autoSpaceDN/>
              <w:bidi w:val="0"/>
              <w:adjustRightInd w:val="0"/>
              <w:snapToGrid w:val="0"/>
              <w:jc w:val="center"/>
              <w:rPr>
                <w:rFonts w:hint="eastAsia" w:eastAsia="宋体"/>
                <w:color w:val="auto"/>
                <w:kern w:val="0"/>
                <w:lang w:eastAsia="zh-CN"/>
              </w:rPr>
            </w:pPr>
            <w:r>
              <w:rPr>
                <w:rFonts w:hint="eastAsia"/>
                <w:color w:val="auto"/>
                <w:kern w:val="0"/>
                <w:lang w:val="en-US" w:eastAsia="zh-CN"/>
              </w:rPr>
              <w:t>1</w:t>
            </w:r>
          </w:p>
        </w:tc>
        <w:tc>
          <w:tcPr>
            <w:tcW w:w="448" w:type="pct"/>
            <w:tcBorders>
              <w:tl2br w:val="nil"/>
              <w:tr2bl w:val="nil"/>
            </w:tcBorders>
            <w:shd w:val="clear" w:color="auto" w:fill="auto"/>
            <w:vAlign w:val="center"/>
          </w:tcPr>
          <w:p w14:paraId="5C9E2072">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5BB25804">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shd w:val="clear" w:color="auto" w:fill="auto"/>
            <w:vAlign w:val="center"/>
          </w:tcPr>
          <w:p w14:paraId="5A8BDF47">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kern w:val="0"/>
                <w:szCs w:val="21"/>
              </w:rPr>
            </w:pPr>
            <w:r>
              <w:rPr>
                <w:rFonts w:hint="eastAsia"/>
                <w:color w:val="auto"/>
                <w:kern w:val="0"/>
                <w:szCs w:val="21"/>
                <w:lang w:val="en-US" w:eastAsia="zh-CN"/>
              </w:rPr>
              <w:t>0</w:t>
            </w:r>
          </w:p>
        </w:tc>
        <w:tc>
          <w:tcPr>
            <w:tcW w:w="574" w:type="pct"/>
            <w:tcBorders>
              <w:tl2br w:val="nil"/>
              <w:tr2bl w:val="nil"/>
            </w:tcBorders>
            <w:shd w:val="clear" w:color="auto" w:fill="auto"/>
            <w:vAlign w:val="center"/>
          </w:tcPr>
          <w:p w14:paraId="424E5D92">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shd w:val="clear" w:color="auto" w:fill="auto"/>
            <w:vAlign w:val="center"/>
          </w:tcPr>
          <w:p w14:paraId="720CF131">
            <w:pPr>
              <w:pStyle w:val="5"/>
              <w:keepNext w:val="0"/>
              <w:keepLines w:val="0"/>
              <w:pageBreakBefore w:val="0"/>
              <w:kinsoku/>
              <w:wordWrap/>
              <w:overflowPunct/>
              <w:topLinePunct w:val="0"/>
              <w:autoSpaceDE/>
              <w:autoSpaceDN/>
              <w:bidi w:val="0"/>
              <w:adjustRightInd w:val="0"/>
              <w:snapToGrid w:val="0"/>
              <w:ind w:firstLine="0"/>
              <w:jc w:val="center"/>
              <w:rPr>
                <w:rFonts w:hint="eastAsia" w:eastAsia="宋体"/>
                <w:color w:val="auto"/>
                <w:kern w:val="0"/>
                <w:szCs w:val="21"/>
                <w:lang w:val="en-US" w:eastAsia="zh-CN"/>
              </w:rPr>
            </w:pPr>
            <w:r>
              <w:rPr>
                <w:rFonts w:hint="eastAsia" w:eastAsia="宋体"/>
                <w:color w:val="auto"/>
                <w:kern w:val="0"/>
                <w:szCs w:val="21"/>
                <w:lang w:val="en-US" w:eastAsia="zh-CN"/>
              </w:rPr>
              <w:t>1</w:t>
            </w:r>
          </w:p>
        </w:tc>
        <w:tc>
          <w:tcPr>
            <w:tcW w:w="438" w:type="pct"/>
            <w:tcBorders>
              <w:tl2br w:val="nil"/>
              <w:tr2bl w:val="nil"/>
            </w:tcBorders>
            <w:shd w:val="clear" w:color="auto" w:fill="auto"/>
            <w:vAlign w:val="center"/>
          </w:tcPr>
          <w:p w14:paraId="2D626FD7">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kern w:val="0"/>
                <w:szCs w:val="21"/>
              </w:rPr>
            </w:pPr>
            <w:r>
              <w:rPr>
                <w:rFonts w:hint="eastAsia"/>
                <w:color w:val="auto"/>
                <w:kern w:val="0"/>
                <w:szCs w:val="21"/>
                <w:lang w:val="en-US" w:eastAsia="zh-CN"/>
              </w:rPr>
              <w:t>0</w:t>
            </w:r>
          </w:p>
        </w:tc>
      </w:tr>
      <w:tr w14:paraId="70D1BF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3DAA729A">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47BB864F">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bCs/>
                <w:color w:val="auto"/>
                <w:kern w:val="0"/>
                <w:szCs w:val="21"/>
                <w:lang w:val="en-US" w:eastAsia="zh-CN"/>
              </w:rPr>
            </w:pPr>
            <w:r>
              <w:rPr>
                <w:rFonts w:hint="eastAsia"/>
                <w:bCs/>
                <w:color w:val="auto"/>
                <w:kern w:val="0"/>
                <w:szCs w:val="21"/>
                <w:lang w:val="en-US" w:eastAsia="zh-CN"/>
              </w:rPr>
              <w:t>RO膜</w:t>
            </w:r>
          </w:p>
        </w:tc>
        <w:tc>
          <w:tcPr>
            <w:tcW w:w="398" w:type="pct"/>
            <w:tcBorders>
              <w:tl2br w:val="nil"/>
              <w:tr2bl w:val="nil"/>
            </w:tcBorders>
            <w:shd w:val="clear" w:color="auto" w:fill="auto"/>
            <w:vAlign w:val="center"/>
          </w:tcPr>
          <w:p w14:paraId="3697BDA4">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0.15</w:t>
            </w:r>
          </w:p>
        </w:tc>
        <w:tc>
          <w:tcPr>
            <w:tcW w:w="448" w:type="pct"/>
            <w:tcBorders>
              <w:tl2br w:val="nil"/>
              <w:tr2bl w:val="nil"/>
            </w:tcBorders>
            <w:shd w:val="clear" w:color="auto" w:fill="auto"/>
            <w:vAlign w:val="center"/>
          </w:tcPr>
          <w:p w14:paraId="12CD0FF8">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091C4D47">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shd w:val="clear" w:color="auto" w:fill="auto"/>
            <w:vAlign w:val="center"/>
          </w:tcPr>
          <w:p w14:paraId="1544C082">
            <w:pPr>
              <w:keepNext w:val="0"/>
              <w:keepLines w:val="0"/>
              <w:pageBreakBefore w:val="0"/>
              <w:widowControl/>
              <w:kinsoku/>
              <w:wordWrap/>
              <w:overflowPunct/>
              <w:topLinePunct w:val="0"/>
              <w:autoSpaceDE/>
              <w:autoSpaceDN/>
              <w:bidi w:val="0"/>
              <w:adjustRightInd w:val="0"/>
              <w:snapToGrid w:val="0"/>
              <w:jc w:val="center"/>
              <w:rPr>
                <w:rFonts w:hint="eastAsia"/>
                <w:color w:val="auto"/>
                <w:kern w:val="0"/>
                <w:szCs w:val="21"/>
              </w:rPr>
            </w:pPr>
            <w:r>
              <w:rPr>
                <w:rFonts w:hint="eastAsia" w:eastAsia="宋体"/>
                <w:color w:val="auto"/>
                <w:kern w:val="0"/>
                <w:lang w:val="en-US" w:eastAsia="zh-CN"/>
              </w:rPr>
              <w:t>0</w:t>
            </w:r>
          </w:p>
        </w:tc>
        <w:tc>
          <w:tcPr>
            <w:tcW w:w="574" w:type="pct"/>
            <w:tcBorders>
              <w:tl2br w:val="nil"/>
              <w:tr2bl w:val="nil"/>
            </w:tcBorders>
            <w:shd w:val="clear" w:color="auto" w:fill="auto"/>
            <w:vAlign w:val="center"/>
          </w:tcPr>
          <w:p w14:paraId="7A5F7983">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shd w:val="clear" w:color="auto" w:fill="auto"/>
            <w:vAlign w:val="center"/>
          </w:tcPr>
          <w:p w14:paraId="7D5762F5">
            <w:pPr>
              <w:pStyle w:val="5"/>
              <w:keepNext w:val="0"/>
              <w:keepLines w:val="0"/>
              <w:pageBreakBefore w:val="0"/>
              <w:kinsoku/>
              <w:wordWrap/>
              <w:overflowPunct/>
              <w:topLinePunct w:val="0"/>
              <w:autoSpaceDE/>
              <w:autoSpaceDN/>
              <w:bidi w:val="0"/>
              <w:adjustRightInd w:val="0"/>
              <w:snapToGrid w:val="0"/>
              <w:ind w:firstLine="0"/>
              <w:jc w:val="center"/>
              <w:rPr>
                <w:rFonts w:hint="eastAsia" w:eastAsia="宋体"/>
                <w:color w:val="auto"/>
                <w:kern w:val="0"/>
                <w:szCs w:val="21"/>
                <w:lang w:val="en-US" w:eastAsia="zh-CN"/>
              </w:rPr>
            </w:pPr>
            <w:r>
              <w:rPr>
                <w:rFonts w:hint="eastAsia" w:eastAsia="宋体"/>
                <w:color w:val="auto"/>
                <w:kern w:val="0"/>
                <w:szCs w:val="21"/>
                <w:lang w:val="en-US" w:eastAsia="zh-CN"/>
              </w:rPr>
              <w:t>0.15</w:t>
            </w:r>
          </w:p>
        </w:tc>
        <w:tc>
          <w:tcPr>
            <w:tcW w:w="438" w:type="pct"/>
            <w:tcBorders>
              <w:tl2br w:val="nil"/>
              <w:tr2bl w:val="nil"/>
            </w:tcBorders>
            <w:shd w:val="clear" w:color="auto" w:fill="auto"/>
            <w:vAlign w:val="center"/>
          </w:tcPr>
          <w:p w14:paraId="6F152ED1">
            <w:pPr>
              <w:keepNext w:val="0"/>
              <w:keepLines w:val="0"/>
              <w:pageBreakBefore w:val="0"/>
              <w:widowControl/>
              <w:kinsoku/>
              <w:wordWrap/>
              <w:overflowPunct/>
              <w:topLinePunct w:val="0"/>
              <w:autoSpaceDE/>
              <w:autoSpaceDN/>
              <w:bidi w:val="0"/>
              <w:adjustRightInd w:val="0"/>
              <w:snapToGrid w:val="0"/>
              <w:jc w:val="center"/>
              <w:rPr>
                <w:rFonts w:hint="eastAsia"/>
                <w:color w:val="auto"/>
                <w:kern w:val="0"/>
                <w:szCs w:val="21"/>
              </w:rPr>
            </w:pPr>
            <w:r>
              <w:rPr>
                <w:rFonts w:hint="eastAsia" w:eastAsia="宋体"/>
                <w:color w:val="auto"/>
                <w:kern w:val="0"/>
                <w:lang w:val="en-US" w:eastAsia="zh-CN"/>
              </w:rPr>
              <w:t>0</w:t>
            </w:r>
          </w:p>
        </w:tc>
      </w:tr>
      <w:tr w14:paraId="2A4C90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13635891">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11957F3B">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bCs/>
                <w:color w:val="auto"/>
                <w:kern w:val="0"/>
                <w:szCs w:val="21"/>
                <w:lang w:val="en-US" w:eastAsia="zh-CN"/>
              </w:rPr>
            </w:pPr>
            <w:r>
              <w:rPr>
                <w:rFonts w:hint="eastAsia"/>
                <w:bCs/>
                <w:color w:val="auto"/>
                <w:kern w:val="0"/>
                <w:szCs w:val="21"/>
                <w:lang w:val="en-US" w:eastAsia="zh-CN"/>
              </w:rPr>
              <w:t>浓盐废液</w:t>
            </w:r>
          </w:p>
        </w:tc>
        <w:tc>
          <w:tcPr>
            <w:tcW w:w="398" w:type="pct"/>
            <w:tcBorders>
              <w:tl2br w:val="nil"/>
              <w:tr2bl w:val="nil"/>
            </w:tcBorders>
            <w:shd w:val="clear" w:color="auto" w:fill="auto"/>
            <w:vAlign w:val="center"/>
          </w:tcPr>
          <w:p w14:paraId="783EEBCB">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396.74</w:t>
            </w:r>
          </w:p>
        </w:tc>
        <w:tc>
          <w:tcPr>
            <w:tcW w:w="448" w:type="pct"/>
            <w:tcBorders>
              <w:tl2br w:val="nil"/>
              <w:tr2bl w:val="nil"/>
            </w:tcBorders>
            <w:shd w:val="clear" w:color="auto" w:fill="auto"/>
            <w:vAlign w:val="center"/>
          </w:tcPr>
          <w:p w14:paraId="1ACA2E76">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400EDA9A">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shd w:val="clear" w:color="auto" w:fill="auto"/>
            <w:vAlign w:val="center"/>
          </w:tcPr>
          <w:p w14:paraId="6F986425">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kern w:val="0"/>
                <w:szCs w:val="21"/>
              </w:rPr>
            </w:pPr>
            <w:r>
              <w:rPr>
                <w:rFonts w:hint="eastAsia"/>
                <w:color w:val="auto"/>
                <w:kern w:val="0"/>
                <w:szCs w:val="21"/>
                <w:lang w:val="en-US" w:eastAsia="zh-CN"/>
              </w:rPr>
              <w:t>0</w:t>
            </w:r>
          </w:p>
        </w:tc>
        <w:tc>
          <w:tcPr>
            <w:tcW w:w="574" w:type="pct"/>
            <w:tcBorders>
              <w:tl2br w:val="nil"/>
              <w:tr2bl w:val="nil"/>
            </w:tcBorders>
            <w:shd w:val="clear" w:color="auto" w:fill="auto"/>
            <w:vAlign w:val="center"/>
          </w:tcPr>
          <w:p w14:paraId="1E2858A9">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shd w:val="clear" w:color="auto" w:fill="auto"/>
            <w:vAlign w:val="center"/>
          </w:tcPr>
          <w:p w14:paraId="5D572A2F">
            <w:pPr>
              <w:pStyle w:val="5"/>
              <w:keepNext w:val="0"/>
              <w:keepLines w:val="0"/>
              <w:pageBreakBefore w:val="0"/>
              <w:kinsoku/>
              <w:wordWrap/>
              <w:overflowPunct/>
              <w:topLinePunct w:val="0"/>
              <w:autoSpaceDE/>
              <w:autoSpaceDN/>
              <w:bidi w:val="0"/>
              <w:adjustRightInd w:val="0"/>
              <w:snapToGrid w:val="0"/>
              <w:ind w:firstLine="0"/>
              <w:jc w:val="center"/>
              <w:rPr>
                <w:rFonts w:hint="eastAsia" w:eastAsia="宋体"/>
                <w:color w:val="auto"/>
                <w:kern w:val="0"/>
                <w:szCs w:val="21"/>
                <w:lang w:val="en-US" w:eastAsia="zh-CN"/>
              </w:rPr>
            </w:pPr>
            <w:r>
              <w:rPr>
                <w:rFonts w:hint="eastAsia" w:eastAsia="宋体"/>
                <w:color w:val="auto"/>
                <w:kern w:val="0"/>
                <w:szCs w:val="21"/>
                <w:lang w:val="en-US" w:eastAsia="zh-CN"/>
              </w:rPr>
              <w:t>396.74</w:t>
            </w:r>
          </w:p>
        </w:tc>
        <w:tc>
          <w:tcPr>
            <w:tcW w:w="438" w:type="pct"/>
            <w:tcBorders>
              <w:tl2br w:val="nil"/>
              <w:tr2bl w:val="nil"/>
            </w:tcBorders>
            <w:shd w:val="clear" w:color="auto" w:fill="auto"/>
            <w:vAlign w:val="center"/>
          </w:tcPr>
          <w:p w14:paraId="214D15A1">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kern w:val="0"/>
                <w:szCs w:val="21"/>
              </w:rPr>
            </w:pPr>
            <w:r>
              <w:rPr>
                <w:rFonts w:hint="eastAsia"/>
                <w:color w:val="auto"/>
                <w:kern w:val="0"/>
                <w:szCs w:val="21"/>
                <w:lang w:val="en-US" w:eastAsia="zh-CN"/>
              </w:rPr>
              <w:t>0</w:t>
            </w:r>
          </w:p>
        </w:tc>
      </w:tr>
      <w:tr w14:paraId="6BCC41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4978ADBD">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78F78139">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bCs/>
                <w:color w:val="auto"/>
                <w:kern w:val="0"/>
                <w:szCs w:val="21"/>
                <w:lang w:val="en-US" w:eastAsia="zh-CN"/>
              </w:rPr>
            </w:pPr>
            <w:r>
              <w:rPr>
                <w:rFonts w:hint="eastAsia"/>
                <w:bCs/>
                <w:color w:val="auto"/>
                <w:kern w:val="0"/>
                <w:szCs w:val="21"/>
                <w:lang w:val="en-US" w:eastAsia="zh-CN"/>
              </w:rPr>
              <w:t>废滤网、滤芯</w:t>
            </w:r>
          </w:p>
        </w:tc>
        <w:tc>
          <w:tcPr>
            <w:tcW w:w="398" w:type="pct"/>
            <w:tcBorders>
              <w:tl2br w:val="nil"/>
              <w:tr2bl w:val="nil"/>
            </w:tcBorders>
            <w:shd w:val="clear" w:color="auto" w:fill="auto"/>
            <w:vAlign w:val="center"/>
          </w:tcPr>
          <w:p w14:paraId="2FB22DA6">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3.15</w:t>
            </w:r>
          </w:p>
        </w:tc>
        <w:tc>
          <w:tcPr>
            <w:tcW w:w="448" w:type="pct"/>
            <w:tcBorders>
              <w:tl2br w:val="nil"/>
              <w:tr2bl w:val="nil"/>
            </w:tcBorders>
            <w:shd w:val="clear" w:color="auto" w:fill="auto"/>
            <w:vAlign w:val="center"/>
          </w:tcPr>
          <w:p w14:paraId="43983A22">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389E6E43">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shd w:val="clear" w:color="auto" w:fill="auto"/>
            <w:vAlign w:val="center"/>
          </w:tcPr>
          <w:p w14:paraId="24FA1E15">
            <w:pPr>
              <w:keepNext w:val="0"/>
              <w:keepLines w:val="0"/>
              <w:pageBreakBefore w:val="0"/>
              <w:widowControl/>
              <w:kinsoku/>
              <w:wordWrap/>
              <w:overflowPunct/>
              <w:topLinePunct w:val="0"/>
              <w:autoSpaceDE/>
              <w:autoSpaceDN/>
              <w:bidi w:val="0"/>
              <w:adjustRightInd w:val="0"/>
              <w:snapToGrid w:val="0"/>
              <w:jc w:val="center"/>
              <w:rPr>
                <w:rFonts w:hint="eastAsia"/>
                <w:color w:val="auto"/>
                <w:kern w:val="0"/>
                <w:szCs w:val="21"/>
              </w:rPr>
            </w:pPr>
            <w:r>
              <w:rPr>
                <w:rFonts w:hint="eastAsia" w:eastAsia="宋体"/>
                <w:color w:val="auto"/>
                <w:kern w:val="0"/>
                <w:lang w:val="en-US" w:eastAsia="zh-CN"/>
              </w:rPr>
              <w:t>0</w:t>
            </w:r>
          </w:p>
        </w:tc>
        <w:tc>
          <w:tcPr>
            <w:tcW w:w="574" w:type="pct"/>
            <w:tcBorders>
              <w:tl2br w:val="nil"/>
              <w:tr2bl w:val="nil"/>
            </w:tcBorders>
            <w:shd w:val="clear" w:color="auto" w:fill="auto"/>
            <w:vAlign w:val="center"/>
          </w:tcPr>
          <w:p w14:paraId="1250DEAD">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shd w:val="clear" w:color="auto" w:fill="auto"/>
            <w:vAlign w:val="center"/>
          </w:tcPr>
          <w:p w14:paraId="05C5CC2F">
            <w:pPr>
              <w:pStyle w:val="5"/>
              <w:keepNext w:val="0"/>
              <w:keepLines w:val="0"/>
              <w:pageBreakBefore w:val="0"/>
              <w:kinsoku/>
              <w:wordWrap/>
              <w:overflowPunct/>
              <w:topLinePunct w:val="0"/>
              <w:autoSpaceDE/>
              <w:autoSpaceDN/>
              <w:bidi w:val="0"/>
              <w:adjustRightInd w:val="0"/>
              <w:snapToGrid w:val="0"/>
              <w:ind w:firstLine="0"/>
              <w:jc w:val="center"/>
              <w:rPr>
                <w:rFonts w:hint="eastAsia" w:eastAsia="宋体"/>
                <w:color w:val="auto"/>
                <w:kern w:val="0"/>
                <w:szCs w:val="21"/>
                <w:lang w:val="en-US" w:eastAsia="zh-CN"/>
              </w:rPr>
            </w:pPr>
            <w:r>
              <w:rPr>
                <w:rFonts w:hint="eastAsia" w:eastAsia="宋体"/>
                <w:color w:val="auto"/>
                <w:kern w:val="0"/>
                <w:szCs w:val="21"/>
                <w:lang w:val="en-US" w:eastAsia="zh-CN"/>
              </w:rPr>
              <w:t>3.15</w:t>
            </w:r>
          </w:p>
        </w:tc>
        <w:tc>
          <w:tcPr>
            <w:tcW w:w="438" w:type="pct"/>
            <w:tcBorders>
              <w:tl2br w:val="nil"/>
              <w:tr2bl w:val="nil"/>
            </w:tcBorders>
            <w:shd w:val="clear" w:color="auto" w:fill="auto"/>
            <w:vAlign w:val="center"/>
          </w:tcPr>
          <w:p w14:paraId="25B0199C">
            <w:pPr>
              <w:keepNext w:val="0"/>
              <w:keepLines w:val="0"/>
              <w:pageBreakBefore w:val="0"/>
              <w:widowControl/>
              <w:kinsoku/>
              <w:wordWrap/>
              <w:overflowPunct/>
              <w:topLinePunct w:val="0"/>
              <w:autoSpaceDE/>
              <w:autoSpaceDN/>
              <w:bidi w:val="0"/>
              <w:adjustRightInd w:val="0"/>
              <w:snapToGrid w:val="0"/>
              <w:jc w:val="center"/>
              <w:rPr>
                <w:rFonts w:hint="eastAsia"/>
                <w:color w:val="auto"/>
                <w:kern w:val="0"/>
                <w:szCs w:val="21"/>
              </w:rPr>
            </w:pPr>
            <w:r>
              <w:rPr>
                <w:rFonts w:hint="eastAsia" w:eastAsia="宋体"/>
                <w:color w:val="auto"/>
                <w:kern w:val="0"/>
                <w:lang w:val="en-US" w:eastAsia="zh-CN"/>
              </w:rPr>
              <w:t>0</w:t>
            </w:r>
          </w:p>
        </w:tc>
      </w:tr>
      <w:tr w14:paraId="142046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640F6396">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65580BFE">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bCs/>
                <w:color w:val="auto"/>
                <w:kern w:val="0"/>
                <w:szCs w:val="21"/>
                <w:lang w:val="en-US" w:eastAsia="zh-CN"/>
              </w:rPr>
            </w:pPr>
            <w:r>
              <w:rPr>
                <w:rFonts w:hint="eastAsia"/>
                <w:bCs/>
                <w:color w:val="auto"/>
                <w:kern w:val="0"/>
                <w:szCs w:val="21"/>
                <w:lang w:val="en-US" w:eastAsia="zh-CN"/>
              </w:rPr>
              <w:t>废水处理站污泥（301污水站）</w:t>
            </w:r>
          </w:p>
        </w:tc>
        <w:tc>
          <w:tcPr>
            <w:tcW w:w="398" w:type="pct"/>
            <w:tcBorders>
              <w:tl2br w:val="nil"/>
              <w:tr2bl w:val="nil"/>
            </w:tcBorders>
            <w:shd w:val="clear" w:color="auto" w:fill="auto"/>
            <w:vAlign w:val="center"/>
          </w:tcPr>
          <w:p w14:paraId="7B10DFB3">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25</w:t>
            </w:r>
          </w:p>
        </w:tc>
        <w:tc>
          <w:tcPr>
            <w:tcW w:w="448" w:type="pct"/>
            <w:tcBorders>
              <w:tl2br w:val="nil"/>
              <w:tr2bl w:val="nil"/>
            </w:tcBorders>
            <w:shd w:val="clear" w:color="auto" w:fill="auto"/>
            <w:vAlign w:val="center"/>
          </w:tcPr>
          <w:p w14:paraId="4F0ECE75">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7DADF6C6">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shd w:val="clear" w:color="auto" w:fill="auto"/>
            <w:vAlign w:val="center"/>
          </w:tcPr>
          <w:p w14:paraId="6E7BCD94">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kern w:val="0"/>
                <w:szCs w:val="21"/>
              </w:rPr>
            </w:pPr>
            <w:r>
              <w:rPr>
                <w:rFonts w:hint="eastAsia"/>
                <w:color w:val="auto"/>
                <w:kern w:val="0"/>
                <w:szCs w:val="21"/>
                <w:lang w:val="en-US" w:eastAsia="zh-CN"/>
              </w:rPr>
              <w:t>0</w:t>
            </w:r>
          </w:p>
        </w:tc>
        <w:tc>
          <w:tcPr>
            <w:tcW w:w="574" w:type="pct"/>
            <w:tcBorders>
              <w:tl2br w:val="nil"/>
              <w:tr2bl w:val="nil"/>
            </w:tcBorders>
            <w:shd w:val="clear" w:color="auto" w:fill="auto"/>
            <w:vAlign w:val="center"/>
          </w:tcPr>
          <w:p w14:paraId="227134E7">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shd w:val="clear" w:color="auto" w:fill="auto"/>
            <w:vAlign w:val="center"/>
          </w:tcPr>
          <w:p w14:paraId="3DC1B037">
            <w:pPr>
              <w:pStyle w:val="5"/>
              <w:keepNext w:val="0"/>
              <w:keepLines w:val="0"/>
              <w:pageBreakBefore w:val="0"/>
              <w:kinsoku/>
              <w:wordWrap/>
              <w:overflowPunct/>
              <w:topLinePunct w:val="0"/>
              <w:autoSpaceDE/>
              <w:autoSpaceDN/>
              <w:bidi w:val="0"/>
              <w:adjustRightInd w:val="0"/>
              <w:snapToGrid w:val="0"/>
              <w:ind w:firstLine="0"/>
              <w:jc w:val="center"/>
              <w:rPr>
                <w:rFonts w:hint="eastAsia" w:eastAsia="宋体"/>
                <w:color w:val="auto"/>
                <w:kern w:val="0"/>
                <w:szCs w:val="21"/>
                <w:lang w:val="en-US" w:eastAsia="zh-CN"/>
              </w:rPr>
            </w:pPr>
            <w:r>
              <w:rPr>
                <w:rFonts w:hint="eastAsia" w:eastAsia="宋体"/>
                <w:color w:val="auto"/>
                <w:kern w:val="0"/>
                <w:szCs w:val="21"/>
                <w:lang w:val="en-US" w:eastAsia="zh-CN"/>
              </w:rPr>
              <w:t>25</w:t>
            </w:r>
          </w:p>
        </w:tc>
        <w:tc>
          <w:tcPr>
            <w:tcW w:w="438" w:type="pct"/>
            <w:tcBorders>
              <w:tl2br w:val="nil"/>
              <w:tr2bl w:val="nil"/>
            </w:tcBorders>
            <w:shd w:val="clear" w:color="auto" w:fill="auto"/>
            <w:vAlign w:val="center"/>
          </w:tcPr>
          <w:p w14:paraId="08CC3FD3">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kern w:val="0"/>
                <w:szCs w:val="21"/>
              </w:rPr>
            </w:pPr>
            <w:r>
              <w:rPr>
                <w:rFonts w:hint="eastAsia"/>
                <w:color w:val="auto"/>
                <w:kern w:val="0"/>
                <w:szCs w:val="21"/>
                <w:lang w:val="en-US" w:eastAsia="zh-CN"/>
              </w:rPr>
              <w:t>0</w:t>
            </w:r>
          </w:p>
        </w:tc>
      </w:tr>
      <w:tr w14:paraId="18B2DC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54F3464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1C91307B">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bCs/>
                <w:color w:val="auto"/>
                <w:kern w:val="0"/>
                <w:szCs w:val="21"/>
                <w:lang w:val="en-US" w:eastAsia="zh-CN"/>
              </w:rPr>
            </w:pPr>
            <w:r>
              <w:rPr>
                <w:rFonts w:hint="eastAsia"/>
                <w:bCs/>
                <w:color w:val="auto"/>
                <w:kern w:val="0"/>
                <w:szCs w:val="21"/>
                <w:lang w:val="en-US" w:eastAsia="zh-CN"/>
              </w:rPr>
              <w:t>废水处理站污泥（505污水处理站）</w:t>
            </w:r>
          </w:p>
        </w:tc>
        <w:tc>
          <w:tcPr>
            <w:tcW w:w="398" w:type="pct"/>
            <w:tcBorders>
              <w:tl2br w:val="nil"/>
              <w:tr2bl w:val="nil"/>
            </w:tcBorders>
            <w:shd w:val="clear" w:color="auto" w:fill="auto"/>
            <w:vAlign w:val="center"/>
          </w:tcPr>
          <w:p w14:paraId="6CAA7556">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20</w:t>
            </w:r>
          </w:p>
        </w:tc>
        <w:tc>
          <w:tcPr>
            <w:tcW w:w="448" w:type="pct"/>
            <w:tcBorders>
              <w:tl2br w:val="nil"/>
              <w:tr2bl w:val="nil"/>
            </w:tcBorders>
            <w:shd w:val="clear" w:color="auto" w:fill="auto"/>
            <w:vAlign w:val="center"/>
          </w:tcPr>
          <w:p w14:paraId="5E53A3B1">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28CC146F">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shd w:val="clear" w:color="auto" w:fill="auto"/>
            <w:vAlign w:val="center"/>
          </w:tcPr>
          <w:p w14:paraId="37AF810C">
            <w:pPr>
              <w:keepNext w:val="0"/>
              <w:keepLines w:val="0"/>
              <w:pageBreakBefore w:val="0"/>
              <w:widowControl/>
              <w:kinsoku/>
              <w:wordWrap/>
              <w:overflowPunct/>
              <w:topLinePunct w:val="0"/>
              <w:autoSpaceDE/>
              <w:autoSpaceDN/>
              <w:bidi w:val="0"/>
              <w:adjustRightInd w:val="0"/>
              <w:snapToGrid w:val="0"/>
              <w:jc w:val="center"/>
              <w:rPr>
                <w:rFonts w:hint="eastAsia"/>
                <w:color w:val="auto"/>
                <w:kern w:val="0"/>
                <w:szCs w:val="21"/>
              </w:rPr>
            </w:pPr>
            <w:r>
              <w:rPr>
                <w:rFonts w:hint="eastAsia" w:eastAsia="宋体"/>
                <w:color w:val="auto"/>
                <w:kern w:val="0"/>
                <w:lang w:val="en-US" w:eastAsia="zh-CN"/>
              </w:rPr>
              <w:t>0</w:t>
            </w:r>
          </w:p>
        </w:tc>
        <w:tc>
          <w:tcPr>
            <w:tcW w:w="574" w:type="pct"/>
            <w:tcBorders>
              <w:tl2br w:val="nil"/>
              <w:tr2bl w:val="nil"/>
            </w:tcBorders>
            <w:shd w:val="clear" w:color="auto" w:fill="auto"/>
            <w:vAlign w:val="center"/>
          </w:tcPr>
          <w:p w14:paraId="5C82FC3C">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shd w:val="clear" w:color="auto" w:fill="auto"/>
            <w:vAlign w:val="center"/>
          </w:tcPr>
          <w:p w14:paraId="76BFB786">
            <w:pPr>
              <w:pStyle w:val="5"/>
              <w:keepNext w:val="0"/>
              <w:keepLines w:val="0"/>
              <w:pageBreakBefore w:val="0"/>
              <w:kinsoku/>
              <w:wordWrap/>
              <w:overflowPunct/>
              <w:topLinePunct w:val="0"/>
              <w:autoSpaceDE/>
              <w:autoSpaceDN/>
              <w:bidi w:val="0"/>
              <w:adjustRightInd w:val="0"/>
              <w:snapToGrid w:val="0"/>
              <w:ind w:firstLine="0"/>
              <w:jc w:val="center"/>
              <w:rPr>
                <w:rFonts w:hint="eastAsia" w:eastAsia="宋体"/>
                <w:color w:val="auto"/>
                <w:kern w:val="0"/>
                <w:szCs w:val="21"/>
                <w:lang w:val="en-US" w:eastAsia="zh-CN"/>
              </w:rPr>
            </w:pPr>
            <w:r>
              <w:rPr>
                <w:rFonts w:hint="eastAsia" w:eastAsia="宋体"/>
                <w:color w:val="auto"/>
                <w:kern w:val="0"/>
                <w:szCs w:val="21"/>
                <w:lang w:val="en-US" w:eastAsia="zh-CN"/>
              </w:rPr>
              <w:t>20</w:t>
            </w:r>
          </w:p>
        </w:tc>
        <w:tc>
          <w:tcPr>
            <w:tcW w:w="438" w:type="pct"/>
            <w:tcBorders>
              <w:tl2br w:val="nil"/>
              <w:tr2bl w:val="nil"/>
            </w:tcBorders>
            <w:shd w:val="clear" w:color="auto" w:fill="auto"/>
            <w:vAlign w:val="center"/>
          </w:tcPr>
          <w:p w14:paraId="0A3C3409">
            <w:pPr>
              <w:keepNext w:val="0"/>
              <w:keepLines w:val="0"/>
              <w:pageBreakBefore w:val="0"/>
              <w:widowControl/>
              <w:kinsoku/>
              <w:wordWrap/>
              <w:overflowPunct/>
              <w:topLinePunct w:val="0"/>
              <w:autoSpaceDE/>
              <w:autoSpaceDN/>
              <w:bidi w:val="0"/>
              <w:adjustRightInd w:val="0"/>
              <w:snapToGrid w:val="0"/>
              <w:jc w:val="center"/>
              <w:rPr>
                <w:rFonts w:hint="eastAsia"/>
                <w:color w:val="auto"/>
                <w:kern w:val="0"/>
                <w:szCs w:val="21"/>
              </w:rPr>
            </w:pPr>
            <w:r>
              <w:rPr>
                <w:rFonts w:hint="eastAsia" w:eastAsia="宋体"/>
                <w:color w:val="auto"/>
                <w:kern w:val="0"/>
                <w:lang w:val="en-US" w:eastAsia="zh-CN"/>
              </w:rPr>
              <w:t>0</w:t>
            </w:r>
          </w:p>
        </w:tc>
      </w:tr>
      <w:tr w14:paraId="3A8505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restart"/>
            <w:tcBorders>
              <w:tl2br w:val="nil"/>
              <w:tr2bl w:val="nil"/>
            </w:tcBorders>
            <w:vAlign w:val="center"/>
          </w:tcPr>
          <w:p w14:paraId="3A8505DA">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r>
              <w:rPr>
                <w:rFonts w:ascii="Times New Roman" w:eastAsia="宋体"/>
                <w:color w:val="auto"/>
                <w:sz w:val="21"/>
                <w:szCs w:val="21"/>
              </w:rPr>
              <w:t>危险废物</w:t>
            </w:r>
          </w:p>
        </w:tc>
        <w:tc>
          <w:tcPr>
            <w:tcW w:w="889" w:type="pct"/>
            <w:gridSpan w:val="2"/>
            <w:tcBorders>
              <w:tl2br w:val="nil"/>
              <w:tr2bl w:val="nil"/>
            </w:tcBorders>
            <w:vAlign w:val="center"/>
          </w:tcPr>
          <w:p w14:paraId="3A8505DB">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传火药废水处理站污泥</w:t>
            </w:r>
          </w:p>
        </w:tc>
        <w:tc>
          <w:tcPr>
            <w:tcW w:w="398" w:type="pct"/>
            <w:tcBorders>
              <w:tl2br w:val="nil"/>
              <w:tr2bl w:val="nil"/>
            </w:tcBorders>
            <w:vAlign w:val="center"/>
          </w:tcPr>
          <w:p w14:paraId="3A8505DC">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20</w:t>
            </w:r>
          </w:p>
        </w:tc>
        <w:tc>
          <w:tcPr>
            <w:tcW w:w="448" w:type="pct"/>
            <w:tcBorders>
              <w:tl2br w:val="nil"/>
              <w:tr2bl w:val="nil"/>
            </w:tcBorders>
            <w:vAlign w:val="center"/>
          </w:tcPr>
          <w:p w14:paraId="3A8505DD">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vAlign w:val="center"/>
          </w:tcPr>
          <w:p w14:paraId="3A8505DE">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3A8505DF">
            <w:pPr>
              <w:keepNext w:val="0"/>
              <w:keepLines w:val="0"/>
              <w:pageBreakBefore w:val="0"/>
              <w:kinsoku/>
              <w:wordWrap/>
              <w:overflowPunct/>
              <w:topLinePunct w:val="0"/>
              <w:autoSpaceDE/>
              <w:autoSpaceDN/>
              <w:bidi w:val="0"/>
              <w:adjustRightInd w:val="0"/>
              <w:snapToGrid w:val="0"/>
              <w:ind w:firstLine="0"/>
              <w:jc w:val="center"/>
              <w:rPr>
                <w:color w:val="auto"/>
                <w:kern w:val="0"/>
              </w:rPr>
            </w:pPr>
            <w:r>
              <w:rPr>
                <w:rFonts w:hint="eastAsia" w:eastAsia="宋体"/>
                <w:color w:val="auto"/>
                <w:kern w:val="0"/>
                <w:lang w:val="en-US" w:eastAsia="zh-CN"/>
              </w:rPr>
              <w:t>0</w:t>
            </w:r>
          </w:p>
        </w:tc>
        <w:tc>
          <w:tcPr>
            <w:tcW w:w="574" w:type="pct"/>
            <w:tcBorders>
              <w:tl2br w:val="nil"/>
              <w:tr2bl w:val="nil"/>
            </w:tcBorders>
            <w:vAlign w:val="center"/>
          </w:tcPr>
          <w:p w14:paraId="3A8505E0">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3A8505E1">
            <w:pPr>
              <w:pStyle w:val="656"/>
              <w:keepNext w:val="0"/>
              <w:keepLines w:val="0"/>
              <w:pageBreakBefore w:val="0"/>
              <w:kinsoku/>
              <w:wordWrap/>
              <w:overflowPunct/>
              <w:topLinePunct w:val="0"/>
              <w:autoSpaceDE/>
              <w:autoSpaceDN/>
              <w:bidi w:val="0"/>
              <w:adjustRightInd w:val="0"/>
              <w:snapToGrid w:val="0"/>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20</w:t>
            </w:r>
          </w:p>
        </w:tc>
        <w:tc>
          <w:tcPr>
            <w:tcW w:w="438" w:type="pct"/>
            <w:tcBorders>
              <w:tl2br w:val="nil"/>
              <w:tr2bl w:val="nil"/>
            </w:tcBorders>
            <w:vAlign w:val="center"/>
          </w:tcPr>
          <w:p w14:paraId="3A8505E2">
            <w:pPr>
              <w:keepNext w:val="0"/>
              <w:keepLines w:val="0"/>
              <w:pageBreakBefore w:val="0"/>
              <w:kinsoku/>
              <w:wordWrap/>
              <w:overflowPunct/>
              <w:topLinePunct w:val="0"/>
              <w:autoSpaceDE/>
              <w:autoSpaceDN/>
              <w:bidi w:val="0"/>
              <w:adjustRightInd w:val="0"/>
              <w:snapToGrid w:val="0"/>
              <w:ind w:firstLine="0" w:firstLineChars="0"/>
              <w:jc w:val="center"/>
              <w:rPr>
                <w:color w:val="auto"/>
                <w:kern w:val="0"/>
              </w:rPr>
            </w:pPr>
            <w:r>
              <w:rPr>
                <w:rFonts w:hint="eastAsia" w:eastAsia="宋体"/>
                <w:color w:val="auto"/>
                <w:kern w:val="0"/>
                <w:lang w:val="en-US" w:eastAsia="zh-CN"/>
              </w:rPr>
              <w:t>0</w:t>
            </w:r>
          </w:p>
        </w:tc>
      </w:tr>
      <w:tr w14:paraId="3A8505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3A8505E4">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3A8505E5">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bCs/>
                <w:color w:val="auto"/>
                <w:kern w:val="0"/>
                <w:szCs w:val="18"/>
                <w:lang w:val="en-US" w:eastAsia="zh-CN"/>
              </w:rPr>
            </w:pPr>
            <w:r>
              <w:rPr>
                <w:rFonts w:hint="eastAsia"/>
                <w:bCs/>
                <w:color w:val="auto"/>
                <w:kern w:val="0"/>
                <w:szCs w:val="18"/>
                <w:lang w:val="en-US" w:eastAsia="zh-CN"/>
              </w:rPr>
              <w:t>沉淀渣</w:t>
            </w:r>
          </w:p>
        </w:tc>
        <w:tc>
          <w:tcPr>
            <w:tcW w:w="398" w:type="pct"/>
            <w:tcBorders>
              <w:tl2br w:val="nil"/>
              <w:tr2bl w:val="nil"/>
            </w:tcBorders>
            <w:vAlign w:val="center"/>
          </w:tcPr>
          <w:p w14:paraId="3A8505E6">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3.041</w:t>
            </w:r>
          </w:p>
        </w:tc>
        <w:tc>
          <w:tcPr>
            <w:tcW w:w="448" w:type="pct"/>
            <w:tcBorders>
              <w:tl2br w:val="nil"/>
              <w:tr2bl w:val="nil"/>
            </w:tcBorders>
            <w:vAlign w:val="center"/>
          </w:tcPr>
          <w:p w14:paraId="3A8505E7">
            <w:pPr>
              <w:keepNext w:val="0"/>
              <w:keepLines w:val="0"/>
              <w:pageBreakBefore w:val="0"/>
              <w:widowControl/>
              <w:kinsoku/>
              <w:wordWrap/>
              <w:overflowPunct/>
              <w:topLinePunct w:val="0"/>
              <w:autoSpaceDE/>
              <w:autoSpaceDN/>
              <w:bidi w:val="0"/>
              <w:adjustRightInd w:val="0"/>
              <w:snapToGrid w:val="0"/>
              <w:jc w:val="center"/>
              <w:rPr>
                <w:color w:val="auto"/>
                <w:kern w:val="0"/>
                <w:szCs w:val="18"/>
              </w:rPr>
            </w:pPr>
            <w:r>
              <w:rPr>
                <w:color w:val="auto"/>
                <w:kern w:val="0"/>
              </w:rPr>
              <w:t>/</w:t>
            </w:r>
          </w:p>
        </w:tc>
        <w:tc>
          <w:tcPr>
            <w:tcW w:w="498" w:type="pct"/>
            <w:tcBorders>
              <w:tl2br w:val="nil"/>
              <w:tr2bl w:val="nil"/>
            </w:tcBorders>
            <w:vAlign w:val="center"/>
          </w:tcPr>
          <w:p w14:paraId="3A8505E8">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3A8505E9">
            <w:pPr>
              <w:keepNext w:val="0"/>
              <w:keepLines w:val="0"/>
              <w:pageBreakBefore w:val="0"/>
              <w:kinsoku/>
              <w:wordWrap/>
              <w:overflowPunct/>
              <w:topLinePunct w:val="0"/>
              <w:autoSpaceDE/>
              <w:autoSpaceDN/>
              <w:bidi w:val="0"/>
              <w:adjustRightInd w:val="0"/>
              <w:snapToGrid w:val="0"/>
              <w:ind w:firstLine="0"/>
              <w:jc w:val="center"/>
              <w:rPr>
                <w:color w:val="auto"/>
                <w:kern w:val="0"/>
                <w:szCs w:val="21"/>
              </w:rPr>
            </w:pPr>
            <w:r>
              <w:rPr>
                <w:rFonts w:hint="eastAsia" w:eastAsia="宋体"/>
                <w:color w:val="auto"/>
                <w:kern w:val="0"/>
                <w:lang w:val="en-US" w:eastAsia="zh-CN"/>
              </w:rPr>
              <w:t>0</w:t>
            </w:r>
          </w:p>
        </w:tc>
        <w:tc>
          <w:tcPr>
            <w:tcW w:w="574" w:type="pct"/>
            <w:tcBorders>
              <w:tl2br w:val="nil"/>
              <w:tr2bl w:val="nil"/>
            </w:tcBorders>
            <w:vAlign w:val="center"/>
          </w:tcPr>
          <w:p w14:paraId="3A8505EA">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3A8505EB">
            <w:pPr>
              <w:pStyle w:val="656"/>
              <w:keepNext w:val="0"/>
              <w:keepLines w:val="0"/>
              <w:pageBreakBefore w:val="0"/>
              <w:kinsoku/>
              <w:wordWrap/>
              <w:overflowPunct/>
              <w:topLinePunct w:val="0"/>
              <w:autoSpaceDE/>
              <w:autoSpaceDN/>
              <w:bidi w:val="0"/>
              <w:adjustRightInd w:val="0"/>
              <w:snapToGrid w:val="0"/>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3.041</w:t>
            </w:r>
          </w:p>
        </w:tc>
        <w:tc>
          <w:tcPr>
            <w:tcW w:w="438" w:type="pct"/>
            <w:tcBorders>
              <w:tl2br w:val="nil"/>
              <w:tr2bl w:val="nil"/>
            </w:tcBorders>
            <w:vAlign w:val="center"/>
          </w:tcPr>
          <w:p w14:paraId="3A8505EC">
            <w:pPr>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eastAsia="宋体"/>
                <w:color w:val="auto"/>
                <w:kern w:val="0"/>
                <w:lang w:val="en-US" w:eastAsia="zh-CN"/>
              </w:rPr>
              <w:t>0</w:t>
            </w:r>
          </w:p>
        </w:tc>
      </w:tr>
      <w:tr w14:paraId="3A8505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3A8505EE">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3A8505EF">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bCs/>
                <w:color w:val="auto"/>
                <w:kern w:val="0"/>
                <w:szCs w:val="18"/>
                <w:lang w:val="en-US" w:eastAsia="zh-CN"/>
              </w:rPr>
            </w:pPr>
            <w:r>
              <w:rPr>
                <w:rFonts w:hint="eastAsia"/>
                <w:bCs/>
                <w:color w:val="auto"/>
                <w:kern w:val="0"/>
                <w:szCs w:val="18"/>
                <w:lang w:val="en-US" w:eastAsia="zh-CN"/>
              </w:rPr>
              <w:t>废药浆管</w:t>
            </w:r>
          </w:p>
        </w:tc>
        <w:tc>
          <w:tcPr>
            <w:tcW w:w="398" w:type="pct"/>
            <w:tcBorders>
              <w:tl2br w:val="nil"/>
              <w:tr2bl w:val="nil"/>
            </w:tcBorders>
            <w:vAlign w:val="center"/>
          </w:tcPr>
          <w:p w14:paraId="3A8505F0">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24</w:t>
            </w:r>
          </w:p>
        </w:tc>
        <w:tc>
          <w:tcPr>
            <w:tcW w:w="448" w:type="pct"/>
            <w:tcBorders>
              <w:tl2br w:val="nil"/>
              <w:tr2bl w:val="nil"/>
            </w:tcBorders>
            <w:vAlign w:val="center"/>
          </w:tcPr>
          <w:p w14:paraId="3A8505F1">
            <w:pPr>
              <w:keepNext w:val="0"/>
              <w:keepLines w:val="0"/>
              <w:pageBreakBefore w:val="0"/>
              <w:widowControl/>
              <w:kinsoku/>
              <w:wordWrap/>
              <w:overflowPunct/>
              <w:topLinePunct w:val="0"/>
              <w:autoSpaceDE/>
              <w:autoSpaceDN/>
              <w:bidi w:val="0"/>
              <w:adjustRightInd w:val="0"/>
              <w:snapToGrid w:val="0"/>
              <w:jc w:val="center"/>
              <w:rPr>
                <w:color w:val="auto"/>
                <w:kern w:val="0"/>
                <w:szCs w:val="18"/>
              </w:rPr>
            </w:pPr>
            <w:r>
              <w:rPr>
                <w:color w:val="auto"/>
                <w:kern w:val="0"/>
              </w:rPr>
              <w:t>/</w:t>
            </w:r>
          </w:p>
        </w:tc>
        <w:tc>
          <w:tcPr>
            <w:tcW w:w="498" w:type="pct"/>
            <w:tcBorders>
              <w:tl2br w:val="nil"/>
              <w:tr2bl w:val="nil"/>
            </w:tcBorders>
            <w:vAlign w:val="center"/>
          </w:tcPr>
          <w:p w14:paraId="3A8505F2">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3A8505F3">
            <w:pPr>
              <w:keepNext w:val="0"/>
              <w:keepLines w:val="0"/>
              <w:pageBreakBefore w:val="0"/>
              <w:kinsoku/>
              <w:wordWrap/>
              <w:overflowPunct/>
              <w:topLinePunct w:val="0"/>
              <w:autoSpaceDE/>
              <w:autoSpaceDN/>
              <w:bidi w:val="0"/>
              <w:adjustRightInd w:val="0"/>
              <w:snapToGrid w:val="0"/>
              <w:ind w:firstLine="0"/>
              <w:jc w:val="center"/>
              <w:rPr>
                <w:color w:val="auto"/>
                <w:kern w:val="0"/>
                <w:szCs w:val="21"/>
              </w:rPr>
            </w:pPr>
            <w:r>
              <w:rPr>
                <w:rFonts w:hint="eastAsia" w:eastAsia="宋体"/>
                <w:color w:val="auto"/>
                <w:kern w:val="0"/>
                <w:lang w:val="en-US" w:eastAsia="zh-CN"/>
              </w:rPr>
              <w:t>0</w:t>
            </w:r>
          </w:p>
        </w:tc>
        <w:tc>
          <w:tcPr>
            <w:tcW w:w="574" w:type="pct"/>
            <w:tcBorders>
              <w:tl2br w:val="nil"/>
              <w:tr2bl w:val="nil"/>
            </w:tcBorders>
            <w:vAlign w:val="center"/>
          </w:tcPr>
          <w:p w14:paraId="3A8505F4">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3A8505F5">
            <w:pPr>
              <w:pStyle w:val="656"/>
              <w:keepNext w:val="0"/>
              <w:keepLines w:val="0"/>
              <w:pageBreakBefore w:val="0"/>
              <w:kinsoku/>
              <w:wordWrap/>
              <w:overflowPunct/>
              <w:topLinePunct w:val="0"/>
              <w:autoSpaceDE/>
              <w:autoSpaceDN/>
              <w:bidi w:val="0"/>
              <w:adjustRightInd w:val="0"/>
              <w:snapToGrid w:val="0"/>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24</w:t>
            </w:r>
          </w:p>
        </w:tc>
        <w:tc>
          <w:tcPr>
            <w:tcW w:w="438" w:type="pct"/>
            <w:tcBorders>
              <w:tl2br w:val="nil"/>
              <w:tr2bl w:val="nil"/>
            </w:tcBorders>
            <w:vAlign w:val="center"/>
          </w:tcPr>
          <w:p w14:paraId="3A8505F6">
            <w:pPr>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eastAsia="宋体"/>
                <w:color w:val="auto"/>
                <w:kern w:val="0"/>
                <w:lang w:val="en-US" w:eastAsia="zh-CN"/>
              </w:rPr>
              <w:t>0</w:t>
            </w:r>
          </w:p>
        </w:tc>
      </w:tr>
      <w:tr w14:paraId="3A8506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3A8505F8">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3A8505F9">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bCs/>
                <w:color w:val="auto"/>
                <w:kern w:val="0"/>
                <w:szCs w:val="21"/>
                <w:lang w:val="en-US" w:eastAsia="zh-CN"/>
              </w:rPr>
            </w:pPr>
            <w:r>
              <w:rPr>
                <w:rFonts w:hint="eastAsia"/>
                <w:bCs/>
                <w:color w:val="auto"/>
                <w:kern w:val="0"/>
                <w:szCs w:val="21"/>
                <w:lang w:val="en-US" w:eastAsia="zh-CN"/>
              </w:rPr>
              <w:t>不合格品（废点火具）</w:t>
            </w:r>
          </w:p>
        </w:tc>
        <w:tc>
          <w:tcPr>
            <w:tcW w:w="398" w:type="pct"/>
            <w:tcBorders>
              <w:tl2br w:val="nil"/>
              <w:tr2bl w:val="nil"/>
            </w:tcBorders>
            <w:shd w:val="clear" w:color="auto" w:fill="auto"/>
            <w:vAlign w:val="center"/>
          </w:tcPr>
          <w:p w14:paraId="3A8505FA">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42</w:t>
            </w:r>
          </w:p>
        </w:tc>
        <w:tc>
          <w:tcPr>
            <w:tcW w:w="448" w:type="pct"/>
            <w:tcBorders>
              <w:tl2br w:val="nil"/>
              <w:tr2bl w:val="nil"/>
            </w:tcBorders>
            <w:shd w:val="clear" w:color="auto" w:fill="auto"/>
            <w:vAlign w:val="center"/>
          </w:tcPr>
          <w:p w14:paraId="3A8505FB">
            <w:pPr>
              <w:keepNext w:val="0"/>
              <w:keepLines w:val="0"/>
              <w:pageBreakBefore w:val="0"/>
              <w:widowControl/>
              <w:kinsoku/>
              <w:wordWrap/>
              <w:overflowPunct/>
              <w:topLinePunct w:val="0"/>
              <w:autoSpaceDE/>
              <w:autoSpaceDN/>
              <w:bidi w:val="0"/>
              <w:adjustRightInd w:val="0"/>
              <w:snapToGrid w:val="0"/>
              <w:jc w:val="center"/>
              <w:rPr>
                <w:color w:val="auto"/>
                <w:kern w:val="0"/>
                <w:szCs w:val="18"/>
              </w:rPr>
            </w:pPr>
            <w:r>
              <w:rPr>
                <w:color w:val="auto"/>
                <w:kern w:val="0"/>
              </w:rPr>
              <w:t>/</w:t>
            </w:r>
          </w:p>
        </w:tc>
        <w:tc>
          <w:tcPr>
            <w:tcW w:w="498" w:type="pct"/>
            <w:tcBorders>
              <w:tl2br w:val="nil"/>
              <w:tr2bl w:val="nil"/>
            </w:tcBorders>
            <w:shd w:val="clear" w:color="auto" w:fill="auto"/>
            <w:vAlign w:val="center"/>
          </w:tcPr>
          <w:p w14:paraId="3A8505FC">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3A8505FD">
            <w:pPr>
              <w:keepNext w:val="0"/>
              <w:keepLines w:val="0"/>
              <w:pageBreakBefore w:val="0"/>
              <w:kinsoku/>
              <w:wordWrap/>
              <w:overflowPunct/>
              <w:topLinePunct w:val="0"/>
              <w:autoSpaceDE/>
              <w:autoSpaceDN/>
              <w:bidi w:val="0"/>
              <w:adjustRightInd w:val="0"/>
              <w:snapToGrid w:val="0"/>
              <w:ind w:firstLine="0"/>
              <w:jc w:val="center"/>
              <w:rPr>
                <w:color w:val="auto"/>
                <w:kern w:val="0"/>
                <w:szCs w:val="21"/>
              </w:rPr>
            </w:pPr>
            <w:r>
              <w:rPr>
                <w:rFonts w:hint="eastAsia" w:eastAsia="宋体"/>
                <w:color w:val="auto"/>
                <w:kern w:val="0"/>
                <w:lang w:val="en-US" w:eastAsia="zh-CN"/>
              </w:rPr>
              <w:t>0</w:t>
            </w:r>
          </w:p>
        </w:tc>
        <w:tc>
          <w:tcPr>
            <w:tcW w:w="574" w:type="pct"/>
            <w:tcBorders>
              <w:tl2br w:val="nil"/>
              <w:tr2bl w:val="nil"/>
            </w:tcBorders>
            <w:vAlign w:val="center"/>
          </w:tcPr>
          <w:p w14:paraId="3A8505FE">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3A8505FF">
            <w:pPr>
              <w:pStyle w:val="656"/>
              <w:keepNext w:val="0"/>
              <w:keepLines w:val="0"/>
              <w:pageBreakBefore w:val="0"/>
              <w:kinsoku/>
              <w:wordWrap/>
              <w:overflowPunct/>
              <w:topLinePunct w:val="0"/>
              <w:autoSpaceDE/>
              <w:autoSpaceDN/>
              <w:bidi w:val="0"/>
              <w:adjustRightInd w:val="0"/>
              <w:snapToGrid w:val="0"/>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42</w:t>
            </w:r>
          </w:p>
        </w:tc>
        <w:tc>
          <w:tcPr>
            <w:tcW w:w="438" w:type="pct"/>
            <w:tcBorders>
              <w:tl2br w:val="nil"/>
              <w:tr2bl w:val="nil"/>
            </w:tcBorders>
            <w:vAlign w:val="center"/>
          </w:tcPr>
          <w:p w14:paraId="3A850600">
            <w:pPr>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eastAsia="宋体"/>
                <w:color w:val="auto"/>
                <w:kern w:val="0"/>
                <w:lang w:val="en-US" w:eastAsia="zh-CN"/>
              </w:rPr>
              <w:t>0</w:t>
            </w:r>
          </w:p>
        </w:tc>
      </w:tr>
      <w:tr w14:paraId="144C2D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576F9DEA">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22E3C032">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bCs/>
                <w:color w:val="auto"/>
                <w:kern w:val="0"/>
                <w:szCs w:val="21"/>
                <w:lang w:val="en-US" w:eastAsia="zh-CN"/>
              </w:rPr>
            </w:pPr>
            <w:r>
              <w:rPr>
                <w:rFonts w:hint="eastAsia"/>
                <w:bCs/>
                <w:color w:val="auto"/>
                <w:kern w:val="0"/>
                <w:szCs w:val="21"/>
                <w:lang w:val="en-US" w:eastAsia="zh-CN"/>
              </w:rPr>
              <w:t>废药片（废产气药）</w:t>
            </w:r>
          </w:p>
        </w:tc>
        <w:tc>
          <w:tcPr>
            <w:tcW w:w="398" w:type="pct"/>
            <w:tcBorders>
              <w:tl2br w:val="nil"/>
              <w:tr2bl w:val="nil"/>
            </w:tcBorders>
            <w:shd w:val="clear" w:color="auto" w:fill="auto"/>
            <w:vAlign w:val="center"/>
          </w:tcPr>
          <w:p w14:paraId="026050BE">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142</w:t>
            </w:r>
          </w:p>
        </w:tc>
        <w:tc>
          <w:tcPr>
            <w:tcW w:w="448" w:type="pct"/>
            <w:tcBorders>
              <w:tl2br w:val="nil"/>
              <w:tr2bl w:val="nil"/>
            </w:tcBorders>
            <w:shd w:val="clear" w:color="auto" w:fill="auto"/>
            <w:vAlign w:val="center"/>
          </w:tcPr>
          <w:p w14:paraId="1540EC73">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061E2256">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21C85C00">
            <w:pPr>
              <w:pStyle w:val="656"/>
              <w:keepNext w:val="0"/>
              <w:keepLines w:val="0"/>
              <w:pageBreakBefore w:val="0"/>
              <w:kinsoku/>
              <w:wordWrap/>
              <w:overflowPunct/>
              <w:topLinePunct w:val="0"/>
              <w:autoSpaceDE/>
              <w:autoSpaceDN/>
              <w:bidi w:val="0"/>
              <w:adjustRightInd w:val="0"/>
              <w:snapToGrid w:val="0"/>
              <w:rPr>
                <w:rFonts w:hint="eastAsia" w:eastAsia="仿宋_GB2312"/>
                <w:color w:val="auto"/>
                <w:kern w:val="0"/>
                <w:szCs w:val="21"/>
                <w:lang w:eastAsia="zh-CN"/>
              </w:rPr>
            </w:pPr>
            <w:r>
              <w:rPr>
                <w:rFonts w:hint="eastAsia" w:eastAsia="宋体"/>
                <w:color w:val="auto"/>
                <w:kern w:val="0"/>
                <w:sz w:val="21"/>
                <w:szCs w:val="21"/>
                <w:lang w:val="en-US" w:eastAsia="zh-CN" w:bidi="ar"/>
              </w:rPr>
              <w:t>0</w:t>
            </w:r>
          </w:p>
        </w:tc>
        <w:tc>
          <w:tcPr>
            <w:tcW w:w="574" w:type="pct"/>
            <w:tcBorders>
              <w:tl2br w:val="nil"/>
              <w:tr2bl w:val="nil"/>
            </w:tcBorders>
            <w:vAlign w:val="center"/>
          </w:tcPr>
          <w:p w14:paraId="65049C25">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420FE58A">
            <w:pPr>
              <w:pStyle w:val="656"/>
              <w:keepNext w:val="0"/>
              <w:keepLines w:val="0"/>
              <w:pageBreakBefore w:val="0"/>
              <w:kinsoku/>
              <w:wordWrap/>
              <w:overflowPunct/>
              <w:topLinePunct w:val="0"/>
              <w:autoSpaceDE/>
              <w:autoSpaceDN/>
              <w:bidi w:val="0"/>
              <w:adjustRightInd w:val="0"/>
              <w:snapToGrid w:val="0"/>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142</w:t>
            </w:r>
          </w:p>
        </w:tc>
        <w:tc>
          <w:tcPr>
            <w:tcW w:w="438" w:type="pct"/>
            <w:tcBorders>
              <w:tl2br w:val="nil"/>
              <w:tr2bl w:val="nil"/>
            </w:tcBorders>
            <w:vAlign w:val="center"/>
          </w:tcPr>
          <w:p w14:paraId="7E5A1A9D">
            <w:pPr>
              <w:pStyle w:val="656"/>
              <w:keepNext w:val="0"/>
              <w:keepLines w:val="0"/>
              <w:pageBreakBefore w:val="0"/>
              <w:kinsoku/>
              <w:wordWrap/>
              <w:overflowPunct/>
              <w:topLinePunct w:val="0"/>
              <w:autoSpaceDE/>
              <w:autoSpaceDN/>
              <w:bidi w:val="0"/>
              <w:adjustRightInd w:val="0"/>
              <w:snapToGrid w:val="0"/>
              <w:rPr>
                <w:rFonts w:hint="eastAsia"/>
                <w:color w:val="auto"/>
                <w:kern w:val="0"/>
                <w:szCs w:val="21"/>
              </w:rPr>
            </w:pPr>
            <w:r>
              <w:rPr>
                <w:rFonts w:hint="eastAsia" w:eastAsia="宋体"/>
                <w:color w:val="auto"/>
                <w:kern w:val="0"/>
                <w:sz w:val="21"/>
                <w:szCs w:val="21"/>
                <w:lang w:val="en-US" w:eastAsia="zh-CN" w:bidi="ar"/>
              </w:rPr>
              <w:t>0</w:t>
            </w:r>
          </w:p>
        </w:tc>
      </w:tr>
      <w:tr w14:paraId="5FDFB1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2D9E9DE5">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0C49DECF">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bCs/>
                <w:color w:val="auto"/>
                <w:kern w:val="0"/>
                <w:szCs w:val="21"/>
                <w:lang w:val="en-US" w:eastAsia="zh-CN"/>
              </w:rPr>
            </w:pPr>
            <w:r>
              <w:rPr>
                <w:rFonts w:hint="eastAsia"/>
                <w:bCs/>
                <w:color w:val="auto"/>
                <w:kern w:val="0"/>
                <w:szCs w:val="21"/>
                <w:lang w:val="en-US" w:eastAsia="zh-CN"/>
              </w:rPr>
              <w:t>不合格品（废气体发生器）</w:t>
            </w:r>
          </w:p>
        </w:tc>
        <w:tc>
          <w:tcPr>
            <w:tcW w:w="398" w:type="pct"/>
            <w:tcBorders>
              <w:tl2br w:val="nil"/>
              <w:tr2bl w:val="nil"/>
            </w:tcBorders>
            <w:shd w:val="clear" w:color="auto" w:fill="auto"/>
            <w:vAlign w:val="center"/>
          </w:tcPr>
          <w:p w14:paraId="3DB88C04">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313.6</w:t>
            </w:r>
          </w:p>
        </w:tc>
        <w:tc>
          <w:tcPr>
            <w:tcW w:w="448" w:type="pct"/>
            <w:tcBorders>
              <w:tl2br w:val="nil"/>
              <w:tr2bl w:val="nil"/>
            </w:tcBorders>
            <w:shd w:val="clear" w:color="auto" w:fill="auto"/>
            <w:vAlign w:val="center"/>
          </w:tcPr>
          <w:p w14:paraId="14D14298">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6240F2C5">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05910BF7">
            <w:pPr>
              <w:pStyle w:val="656"/>
              <w:keepNext w:val="0"/>
              <w:keepLines w:val="0"/>
              <w:pageBreakBefore w:val="0"/>
              <w:kinsoku/>
              <w:wordWrap/>
              <w:overflowPunct/>
              <w:topLinePunct w:val="0"/>
              <w:autoSpaceDE/>
              <w:autoSpaceDN/>
              <w:bidi w:val="0"/>
              <w:adjustRightInd w:val="0"/>
              <w:snapToGrid w:val="0"/>
              <w:rPr>
                <w:rFonts w:hint="default" w:eastAsia="仿宋_GB2312"/>
                <w:color w:val="auto"/>
                <w:kern w:val="0"/>
                <w:szCs w:val="21"/>
                <w:lang w:val="en-US" w:eastAsia="zh-CN"/>
              </w:rPr>
            </w:pPr>
            <w:r>
              <w:rPr>
                <w:rFonts w:hint="eastAsia" w:eastAsia="宋体"/>
                <w:color w:val="auto"/>
                <w:kern w:val="0"/>
                <w:sz w:val="21"/>
                <w:szCs w:val="21"/>
                <w:lang w:val="en-US" w:eastAsia="zh-CN" w:bidi="ar"/>
              </w:rPr>
              <w:t>80</w:t>
            </w:r>
          </w:p>
        </w:tc>
        <w:tc>
          <w:tcPr>
            <w:tcW w:w="574" w:type="pct"/>
            <w:tcBorders>
              <w:tl2br w:val="nil"/>
              <w:tr2bl w:val="nil"/>
            </w:tcBorders>
            <w:vAlign w:val="center"/>
          </w:tcPr>
          <w:p w14:paraId="2C524393">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0D4F622E">
            <w:pPr>
              <w:pStyle w:val="656"/>
              <w:keepNext w:val="0"/>
              <w:keepLines w:val="0"/>
              <w:pageBreakBefore w:val="0"/>
              <w:kinsoku/>
              <w:wordWrap/>
              <w:overflowPunct/>
              <w:topLinePunct w:val="0"/>
              <w:autoSpaceDE/>
              <w:autoSpaceDN/>
              <w:bidi w:val="0"/>
              <w:adjustRightInd w:val="0"/>
              <w:snapToGrid w:val="0"/>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393.6</w:t>
            </w:r>
          </w:p>
        </w:tc>
        <w:tc>
          <w:tcPr>
            <w:tcW w:w="438" w:type="pct"/>
            <w:tcBorders>
              <w:tl2br w:val="nil"/>
              <w:tr2bl w:val="nil"/>
            </w:tcBorders>
            <w:vAlign w:val="center"/>
          </w:tcPr>
          <w:p w14:paraId="694DB3B2">
            <w:pPr>
              <w:pStyle w:val="656"/>
              <w:keepNext w:val="0"/>
              <w:keepLines w:val="0"/>
              <w:pageBreakBefore w:val="0"/>
              <w:kinsoku/>
              <w:wordWrap/>
              <w:overflowPunct/>
              <w:topLinePunct w:val="0"/>
              <w:autoSpaceDE/>
              <w:autoSpaceDN/>
              <w:bidi w:val="0"/>
              <w:adjustRightInd w:val="0"/>
              <w:snapToGrid w:val="0"/>
              <w:rPr>
                <w:rFonts w:hint="default"/>
                <w:color w:val="auto"/>
                <w:kern w:val="0"/>
                <w:szCs w:val="21"/>
                <w:lang w:val="en-US"/>
              </w:rPr>
            </w:pPr>
            <w:r>
              <w:rPr>
                <w:rFonts w:hint="eastAsia" w:eastAsia="宋体"/>
                <w:color w:val="auto"/>
                <w:kern w:val="0"/>
                <w:sz w:val="21"/>
                <w:szCs w:val="21"/>
                <w:lang w:val="en-US" w:eastAsia="zh-CN" w:bidi="ar"/>
              </w:rPr>
              <w:t>+80</w:t>
            </w:r>
          </w:p>
        </w:tc>
      </w:tr>
      <w:tr w14:paraId="3056B3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0E1E62BF">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458F8724">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bCs/>
                <w:color w:val="auto"/>
                <w:kern w:val="0"/>
                <w:szCs w:val="21"/>
                <w:lang w:val="en-US" w:eastAsia="zh-CN"/>
              </w:rPr>
            </w:pPr>
            <w:r>
              <w:rPr>
                <w:rFonts w:hint="eastAsia"/>
                <w:bCs/>
                <w:color w:val="auto"/>
                <w:kern w:val="0"/>
                <w:szCs w:val="21"/>
                <w:lang w:val="en-US" w:eastAsia="zh-CN"/>
              </w:rPr>
              <w:t>废矿物油</w:t>
            </w:r>
          </w:p>
        </w:tc>
        <w:tc>
          <w:tcPr>
            <w:tcW w:w="398" w:type="pct"/>
            <w:tcBorders>
              <w:tl2br w:val="nil"/>
              <w:tr2bl w:val="nil"/>
            </w:tcBorders>
            <w:shd w:val="clear" w:color="auto" w:fill="auto"/>
            <w:vAlign w:val="center"/>
          </w:tcPr>
          <w:p w14:paraId="0BF85AA6">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14</w:t>
            </w:r>
          </w:p>
        </w:tc>
        <w:tc>
          <w:tcPr>
            <w:tcW w:w="448" w:type="pct"/>
            <w:tcBorders>
              <w:tl2br w:val="nil"/>
              <w:tr2bl w:val="nil"/>
            </w:tcBorders>
            <w:shd w:val="clear" w:color="auto" w:fill="auto"/>
            <w:vAlign w:val="center"/>
          </w:tcPr>
          <w:p w14:paraId="785EFF80">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22861706">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2213B552">
            <w:pPr>
              <w:pStyle w:val="656"/>
              <w:keepNext w:val="0"/>
              <w:keepLines w:val="0"/>
              <w:pageBreakBefore w:val="0"/>
              <w:kinsoku/>
              <w:wordWrap/>
              <w:overflowPunct/>
              <w:topLinePunct w:val="0"/>
              <w:autoSpaceDE/>
              <w:autoSpaceDN/>
              <w:bidi w:val="0"/>
              <w:adjustRightInd w:val="0"/>
              <w:snapToGrid w:val="0"/>
              <w:rPr>
                <w:rFonts w:hint="eastAsia" w:eastAsia="仿宋_GB2312"/>
                <w:color w:val="auto"/>
                <w:kern w:val="0"/>
                <w:szCs w:val="21"/>
                <w:lang w:eastAsia="zh-CN"/>
              </w:rPr>
            </w:pPr>
            <w:r>
              <w:rPr>
                <w:rFonts w:hint="eastAsia" w:eastAsia="宋体"/>
                <w:color w:val="auto"/>
                <w:kern w:val="0"/>
                <w:sz w:val="21"/>
                <w:szCs w:val="21"/>
                <w:lang w:val="en-US" w:eastAsia="zh-CN" w:bidi="ar"/>
              </w:rPr>
              <w:t>0</w:t>
            </w:r>
          </w:p>
        </w:tc>
        <w:tc>
          <w:tcPr>
            <w:tcW w:w="574" w:type="pct"/>
            <w:tcBorders>
              <w:tl2br w:val="nil"/>
              <w:tr2bl w:val="nil"/>
            </w:tcBorders>
            <w:vAlign w:val="center"/>
          </w:tcPr>
          <w:p w14:paraId="466C64DE">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7A8051A9">
            <w:pPr>
              <w:pStyle w:val="656"/>
              <w:keepNext w:val="0"/>
              <w:keepLines w:val="0"/>
              <w:pageBreakBefore w:val="0"/>
              <w:kinsoku/>
              <w:wordWrap/>
              <w:overflowPunct/>
              <w:topLinePunct w:val="0"/>
              <w:autoSpaceDE/>
              <w:autoSpaceDN/>
              <w:bidi w:val="0"/>
              <w:adjustRightInd w:val="0"/>
              <w:snapToGrid w:val="0"/>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14</w:t>
            </w:r>
          </w:p>
        </w:tc>
        <w:tc>
          <w:tcPr>
            <w:tcW w:w="438" w:type="pct"/>
            <w:tcBorders>
              <w:tl2br w:val="nil"/>
              <w:tr2bl w:val="nil"/>
            </w:tcBorders>
            <w:vAlign w:val="center"/>
          </w:tcPr>
          <w:p w14:paraId="679E575C">
            <w:pPr>
              <w:pStyle w:val="656"/>
              <w:keepNext w:val="0"/>
              <w:keepLines w:val="0"/>
              <w:pageBreakBefore w:val="0"/>
              <w:kinsoku/>
              <w:wordWrap/>
              <w:overflowPunct/>
              <w:topLinePunct w:val="0"/>
              <w:autoSpaceDE/>
              <w:autoSpaceDN/>
              <w:bidi w:val="0"/>
              <w:adjustRightInd w:val="0"/>
              <w:snapToGrid w:val="0"/>
              <w:rPr>
                <w:rFonts w:hint="eastAsia"/>
                <w:color w:val="auto"/>
                <w:kern w:val="0"/>
                <w:szCs w:val="21"/>
              </w:rPr>
            </w:pPr>
            <w:r>
              <w:rPr>
                <w:rFonts w:hint="eastAsia" w:eastAsia="宋体"/>
                <w:color w:val="auto"/>
                <w:kern w:val="0"/>
                <w:sz w:val="21"/>
                <w:szCs w:val="21"/>
                <w:lang w:val="en-US" w:eastAsia="zh-CN" w:bidi="ar"/>
              </w:rPr>
              <w:t>0</w:t>
            </w:r>
          </w:p>
        </w:tc>
      </w:tr>
      <w:tr w14:paraId="280B14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38DA66FE">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756F3F5B">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bCs/>
                <w:color w:val="auto"/>
                <w:kern w:val="0"/>
                <w:szCs w:val="21"/>
                <w:lang w:val="en-US" w:eastAsia="zh-CN"/>
              </w:rPr>
            </w:pPr>
            <w:r>
              <w:rPr>
                <w:rFonts w:hint="eastAsia"/>
                <w:bCs/>
                <w:color w:val="auto"/>
                <w:kern w:val="0"/>
                <w:szCs w:val="21"/>
                <w:lang w:val="en-US" w:eastAsia="zh-CN"/>
              </w:rPr>
              <w:t>药浆擦拭纸</w:t>
            </w:r>
          </w:p>
        </w:tc>
        <w:tc>
          <w:tcPr>
            <w:tcW w:w="398" w:type="pct"/>
            <w:tcBorders>
              <w:tl2br w:val="nil"/>
              <w:tr2bl w:val="nil"/>
            </w:tcBorders>
            <w:shd w:val="clear" w:color="auto" w:fill="auto"/>
            <w:vAlign w:val="center"/>
          </w:tcPr>
          <w:p w14:paraId="6C3AB481">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15.46</w:t>
            </w:r>
          </w:p>
        </w:tc>
        <w:tc>
          <w:tcPr>
            <w:tcW w:w="448" w:type="pct"/>
            <w:tcBorders>
              <w:tl2br w:val="nil"/>
              <w:tr2bl w:val="nil"/>
            </w:tcBorders>
            <w:shd w:val="clear" w:color="auto" w:fill="auto"/>
            <w:vAlign w:val="center"/>
          </w:tcPr>
          <w:p w14:paraId="397F07DD">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63A6E4C1">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098647B1">
            <w:pPr>
              <w:pStyle w:val="656"/>
              <w:keepNext w:val="0"/>
              <w:keepLines w:val="0"/>
              <w:pageBreakBefore w:val="0"/>
              <w:kinsoku/>
              <w:wordWrap/>
              <w:overflowPunct/>
              <w:topLinePunct w:val="0"/>
              <w:autoSpaceDE/>
              <w:autoSpaceDN/>
              <w:bidi w:val="0"/>
              <w:adjustRightInd w:val="0"/>
              <w:snapToGrid w:val="0"/>
              <w:rPr>
                <w:rFonts w:hint="eastAsia" w:eastAsia="仿宋_GB2312"/>
                <w:color w:val="auto"/>
                <w:kern w:val="0"/>
                <w:szCs w:val="21"/>
                <w:lang w:eastAsia="zh-CN"/>
              </w:rPr>
            </w:pPr>
            <w:r>
              <w:rPr>
                <w:rFonts w:hint="eastAsia" w:eastAsia="宋体"/>
                <w:color w:val="auto"/>
                <w:kern w:val="0"/>
                <w:sz w:val="21"/>
                <w:szCs w:val="21"/>
                <w:lang w:val="en-US" w:eastAsia="zh-CN" w:bidi="ar"/>
              </w:rPr>
              <w:t>0</w:t>
            </w:r>
          </w:p>
        </w:tc>
        <w:tc>
          <w:tcPr>
            <w:tcW w:w="574" w:type="pct"/>
            <w:tcBorders>
              <w:tl2br w:val="nil"/>
              <w:tr2bl w:val="nil"/>
            </w:tcBorders>
            <w:vAlign w:val="center"/>
          </w:tcPr>
          <w:p w14:paraId="6A494D83">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1144F0C2">
            <w:pPr>
              <w:pStyle w:val="656"/>
              <w:keepNext w:val="0"/>
              <w:keepLines w:val="0"/>
              <w:pageBreakBefore w:val="0"/>
              <w:kinsoku/>
              <w:wordWrap/>
              <w:overflowPunct/>
              <w:topLinePunct w:val="0"/>
              <w:autoSpaceDE/>
              <w:autoSpaceDN/>
              <w:bidi w:val="0"/>
              <w:adjustRightInd w:val="0"/>
              <w:snapToGrid w:val="0"/>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15.46</w:t>
            </w:r>
          </w:p>
        </w:tc>
        <w:tc>
          <w:tcPr>
            <w:tcW w:w="438" w:type="pct"/>
            <w:tcBorders>
              <w:tl2br w:val="nil"/>
              <w:tr2bl w:val="nil"/>
            </w:tcBorders>
            <w:vAlign w:val="center"/>
          </w:tcPr>
          <w:p w14:paraId="337DE3F7">
            <w:pPr>
              <w:pStyle w:val="656"/>
              <w:keepNext w:val="0"/>
              <w:keepLines w:val="0"/>
              <w:pageBreakBefore w:val="0"/>
              <w:kinsoku/>
              <w:wordWrap/>
              <w:overflowPunct/>
              <w:topLinePunct w:val="0"/>
              <w:autoSpaceDE/>
              <w:autoSpaceDN/>
              <w:bidi w:val="0"/>
              <w:adjustRightInd w:val="0"/>
              <w:snapToGrid w:val="0"/>
              <w:rPr>
                <w:rFonts w:hint="eastAsia"/>
                <w:color w:val="auto"/>
                <w:kern w:val="0"/>
                <w:szCs w:val="21"/>
              </w:rPr>
            </w:pPr>
            <w:r>
              <w:rPr>
                <w:rFonts w:hint="eastAsia" w:eastAsia="宋体"/>
                <w:color w:val="auto"/>
                <w:kern w:val="0"/>
                <w:sz w:val="21"/>
                <w:szCs w:val="21"/>
                <w:lang w:val="en-US" w:eastAsia="zh-CN" w:bidi="ar"/>
              </w:rPr>
              <w:t>0</w:t>
            </w:r>
          </w:p>
        </w:tc>
      </w:tr>
      <w:tr w14:paraId="397633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246295E5">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063016D1">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bCs/>
                <w:color w:val="auto"/>
                <w:kern w:val="0"/>
                <w:szCs w:val="21"/>
                <w:lang w:val="en-US" w:eastAsia="zh-CN"/>
              </w:rPr>
            </w:pPr>
            <w:r>
              <w:rPr>
                <w:rFonts w:hint="eastAsia"/>
                <w:bCs/>
                <w:color w:val="auto"/>
                <w:kern w:val="0"/>
                <w:szCs w:val="21"/>
                <w:lang w:val="en-US" w:eastAsia="zh-CN"/>
              </w:rPr>
              <w:t>化学品沾染物</w:t>
            </w:r>
          </w:p>
        </w:tc>
        <w:tc>
          <w:tcPr>
            <w:tcW w:w="398" w:type="pct"/>
            <w:tcBorders>
              <w:tl2br w:val="nil"/>
              <w:tr2bl w:val="nil"/>
            </w:tcBorders>
            <w:shd w:val="clear" w:color="auto" w:fill="auto"/>
            <w:vAlign w:val="center"/>
          </w:tcPr>
          <w:p w14:paraId="6E57A955">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16</w:t>
            </w:r>
          </w:p>
        </w:tc>
        <w:tc>
          <w:tcPr>
            <w:tcW w:w="448" w:type="pct"/>
            <w:tcBorders>
              <w:tl2br w:val="nil"/>
              <w:tr2bl w:val="nil"/>
            </w:tcBorders>
            <w:shd w:val="clear" w:color="auto" w:fill="auto"/>
            <w:vAlign w:val="center"/>
          </w:tcPr>
          <w:p w14:paraId="0B5359BC">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0C880B5D">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0081104B">
            <w:pPr>
              <w:pStyle w:val="656"/>
              <w:keepNext w:val="0"/>
              <w:keepLines w:val="0"/>
              <w:pageBreakBefore w:val="0"/>
              <w:kinsoku/>
              <w:wordWrap/>
              <w:overflowPunct/>
              <w:topLinePunct w:val="0"/>
              <w:autoSpaceDE/>
              <w:autoSpaceDN/>
              <w:bidi w:val="0"/>
              <w:adjustRightInd w:val="0"/>
              <w:snapToGrid w:val="0"/>
              <w:rPr>
                <w:rFonts w:hint="eastAsia" w:eastAsia="仿宋_GB2312"/>
                <w:color w:val="auto"/>
                <w:kern w:val="0"/>
                <w:szCs w:val="21"/>
                <w:lang w:eastAsia="zh-CN"/>
              </w:rPr>
            </w:pPr>
            <w:r>
              <w:rPr>
                <w:rFonts w:hint="eastAsia" w:eastAsia="宋体"/>
                <w:color w:val="auto"/>
                <w:kern w:val="0"/>
                <w:sz w:val="21"/>
                <w:szCs w:val="21"/>
                <w:lang w:val="en-US" w:eastAsia="zh-CN" w:bidi="ar"/>
              </w:rPr>
              <w:t>0</w:t>
            </w:r>
          </w:p>
        </w:tc>
        <w:tc>
          <w:tcPr>
            <w:tcW w:w="574" w:type="pct"/>
            <w:tcBorders>
              <w:tl2br w:val="nil"/>
              <w:tr2bl w:val="nil"/>
            </w:tcBorders>
            <w:vAlign w:val="center"/>
          </w:tcPr>
          <w:p w14:paraId="53D880D4">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12DF713A">
            <w:pPr>
              <w:pStyle w:val="656"/>
              <w:keepNext w:val="0"/>
              <w:keepLines w:val="0"/>
              <w:pageBreakBefore w:val="0"/>
              <w:kinsoku/>
              <w:wordWrap/>
              <w:overflowPunct/>
              <w:topLinePunct w:val="0"/>
              <w:autoSpaceDE/>
              <w:autoSpaceDN/>
              <w:bidi w:val="0"/>
              <w:adjustRightInd w:val="0"/>
              <w:snapToGrid w:val="0"/>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16</w:t>
            </w:r>
          </w:p>
        </w:tc>
        <w:tc>
          <w:tcPr>
            <w:tcW w:w="438" w:type="pct"/>
            <w:tcBorders>
              <w:tl2br w:val="nil"/>
              <w:tr2bl w:val="nil"/>
            </w:tcBorders>
            <w:vAlign w:val="center"/>
          </w:tcPr>
          <w:p w14:paraId="1C92625E">
            <w:pPr>
              <w:pStyle w:val="656"/>
              <w:keepNext w:val="0"/>
              <w:keepLines w:val="0"/>
              <w:pageBreakBefore w:val="0"/>
              <w:kinsoku/>
              <w:wordWrap/>
              <w:overflowPunct/>
              <w:topLinePunct w:val="0"/>
              <w:autoSpaceDE/>
              <w:autoSpaceDN/>
              <w:bidi w:val="0"/>
              <w:adjustRightInd w:val="0"/>
              <w:snapToGrid w:val="0"/>
              <w:rPr>
                <w:rFonts w:hint="eastAsia"/>
                <w:color w:val="auto"/>
                <w:kern w:val="0"/>
                <w:szCs w:val="21"/>
              </w:rPr>
            </w:pPr>
            <w:r>
              <w:rPr>
                <w:rFonts w:hint="eastAsia" w:eastAsia="宋体"/>
                <w:color w:val="auto"/>
                <w:kern w:val="0"/>
                <w:sz w:val="21"/>
                <w:szCs w:val="21"/>
                <w:lang w:val="en-US" w:eastAsia="zh-CN" w:bidi="ar"/>
              </w:rPr>
              <w:t>0</w:t>
            </w:r>
          </w:p>
        </w:tc>
      </w:tr>
      <w:tr w14:paraId="06EAC8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62C4EC6B">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693523AE">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bCs/>
                <w:color w:val="auto"/>
                <w:kern w:val="0"/>
                <w:szCs w:val="21"/>
                <w:lang w:val="en-US" w:eastAsia="zh-CN"/>
              </w:rPr>
            </w:pPr>
            <w:r>
              <w:rPr>
                <w:rFonts w:hint="eastAsia"/>
                <w:bCs/>
                <w:color w:val="auto"/>
                <w:kern w:val="0"/>
                <w:szCs w:val="21"/>
                <w:lang w:val="en-US" w:eastAsia="zh-CN"/>
              </w:rPr>
              <w:t>废离子交换树脂</w:t>
            </w:r>
          </w:p>
        </w:tc>
        <w:tc>
          <w:tcPr>
            <w:tcW w:w="398" w:type="pct"/>
            <w:tcBorders>
              <w:tl2br w:val="nil"/>
              <w:tr2bl w:val="nil"/>
            </w:tcBorders>
            <w:shd w:val="clear" w:color="auto" w:fill="auto"/>
            <w:vAlign w:val="center"/>
          </w:tcPr>
          <w:p w14:paraId="7F26A683">
            <w:pPr>
              <w:keepNext w:val="0"/>
              <w:keepLines w:val="0"/>
              <w:pageBreakBefore w:val="0"/>
              <w:widowControl/>
              <w:kinsoku/>
              <w:wordWrap/>
              <w:overflowPunct/>
              <w:topLinePunct w:val="0"/>
              <w:autoSpaceDE/>
              <w:autoSpaceDN/>
              <w:bidi w:val="0"/>
              <w:adjustRightInd w:val="0"/>
              <w:snapToGrid w:val="0"/>
              <w:jc w:val="center"/>
              <w:rPr>
                <w:rFonts w:hint="eastAsia" w:eastAsia="宋体"/>
                <w:color w:val="auto"/>
                <w:kern w:val="0"/>
                <w:lang w:eastAsia="zh-CN"/>
              </w:rPr>
            </w:pPr>
            <w:r>
              <w:rPr>
                <w:rFonts w:hint="eastAsia"/>
                <w:color w:val="auto"/>
                <w:kern w:val="0"/>
                <w:lang w:val="en-US" w:eastAsia="zh-CN"/>
              </w:rPr>
              <w:t>4</w:t>
            </w:r>
          </w:p>
        </w:tc>
        <w:tc>
          <w:tcPr>
            <w:tcW w:w="448" w:type="pct"/>
            <w:tcBorders>
              <w:tl2br w:val="nil"/>
              <w:tr2bl w:val="nil"/>
            </w:tcBorders>
            <w:shd w:val="clear" w:color="auto" w:fill="auto"/>
            <w:vAlign w:val="center"/>
          </w:tcPr>
          <w:p w14:paraId="45BA3543">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27794C96">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4DE3DDAE">
            <w:pPr>
              <w:pStyle w:val="656"/>
              <w:keepNext w:val="0"/>
              <w:keepLines w:val="0"/>
              <w:pageBreakBefore w:val="0"/>
              <w:kinsoku/>
              <w:wordWrap/>
              <w:overflowPunct/>
              <w:topLinePunct w:val="0"/>
              <w:autoSpaceDE/>
              <w:autoSpaceDN/>
              <w:bidi w:val="0"/>
              <w:adjustRightInd w:val="0"/>
              <w:snapToGrid w:val="0"/>
              <w:rPr>
                <w:rFonts w:hint="eastAsia" w:eastAsia="仿宋_GB2312"/>
                <w:color w:val="auto"/>
                <w:kern w:val="0"/>
                <w:szCs w:val="21"/>
                <w:lang w:eastAsia="zh-CN"/>
              </w:rPr>
            </w:pPr>
            <w:r>
              <w:rPr>
                <w:rFonts w:hint="eastAsia" w:eastAsia="宋体"/>
                <w:color w:val="auto"/>
                <w:kern w:val="0"/>
                <w:sz w:val="21"/>
                <w:szCs w:val="21"/>
                <w:lang w:val="en-US" w:eastAsia="zh-CN" w:bidi="ar"/>
              </w:rPr>
              <w:t>0</w:t>
            </w:r>
          </w:p>
        </w:tc>
        <w:tc>
          <w:tcPr>
            <w:tcW w:w="574" w:type="pct"/>
            <w:tcBorders>
              <w:tl2br w:val="nil"/>
              <w:tr2bl w:val="nil"/>
            </w:tcBorders>
            <w:vAlign w:val="center"/>
          </w:tcPr>
          <w:p w14:paraId="2967DAE8">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48720518">
            <w:pPr>
              <w:pStyle w:val="656"/>
              <w:keepNext w:val="0"/>
              <w:keepLines w:val="0"/>
              <w:pageBreakBefore w:val="0"/>
              <w:kinsoku/>
              <w:wordWrap/>
              <w:overflowPunct/>
              <w:topLinePunct w:val="0"/>
              <w:autoSpaceDE/>
              <w:autoSpaceDN/>
              <w:bidi w:val="0"/>
              <w:adjustRightInd w:val="0"/>
              <w:snapToGrid w:val="0"/>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4</w:t>
            </w:r>
          </w:p>
        </w:tc>
        <w:tc>
          <w:tcPr>
            <w:tcW w:w="438" w:type="pct"/>
            <w:tcBorders>
              <w:tl2br w:val="nil"/>
              <w:tr2bl w:val="nil"/>
            </w:tcBorders>
            <w:vAlign w:val="center"/>
          </w:tcPr>
          <w:p w14:paraId="37376F75">
            <w:pPr>
              <w:pStyle w:val="656"/>
              <w:keepNext w:val="0"/>
              <w:keepLines w:val="0"/>
              <w:pageBreakBefore w:val="0"/>
              <w:kinsoku/>
              <w:wordWrap/>
              <w:overflowPunct/>
              <w:topLinePunct w:val="0"/>
              <w:autoSpaceDE/>
              <w:autoSpaceDN/>
              <w:bidi w:val="0"/>
              <w:adjustRightInd w:val="0"/>
              <w:snapToGrid w:val="0"/>
              <w:rPr>
                <w:rFonts w:hint="eastAsia"/>
                <w:color w:val="auto"/>
                <w:kern w:val="0"/>
                <w:szCs w:val="21"/>
              </w:rPr>
            </w:pPr>
            <w:r>
              <w:rPr>
                <w:rFonts w:hint="eastAsia" w:eastAsia="宋体"/>
                <w:color w:val="auto"/>
                <w:kern w:val="0"/>
                <w:sz w:val="21"/>
                <w:szCs w:val="21"/>
                <w:lang w:val="en-US" w:eastAsia="zh-CN" w:bidi="ar"/>
              </w:rPr>
              <w:t>0</w:t>
            </w:r>
          </w:p>
        </w:tc>
      </w:tr>
      <w:tr w14:paraId="586C55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6FFBF404">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1983ECD1">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bCs/>
                <w:color w:val="auto"/>
                <w:kern w:val="0"/>
                <w:szCs w:val="21"/>
                <w:lang w:val="en-US" w:eastAsia="zh-CN"/>
              </w:rPr>
            </w:pPr>
            <w:r>
              <w:rPr>
                <w:rFonts w:hint="eastAsia"/>
                <w:bCs/>
                <w:color w:val="auto"/>
                <w:kern w:val="0"/>
                <w:szCs w:val="21"/>
                <w:lang w:val="en-US" w:eastAsia="zh-CN"/>
              </w:rPr>
              <w:t>灰渣</w:t>
            </w:r>
          </w:p>
        </w:tc>
        <w:tc>
          <w:tcPr>
            <w:tcW w:w="398" w:type="pct"/>
            <w:tcBorders>
              <w:tl2br w:val="nil"/>
              <w:tr2bl w:val="nil"/>
            </w:tcBorders>
            <w:shd w:val="clear" w:color="auto" w:fill="auto"/>
            <w:vAlign w:val="center"/>
          </w:tcPr>
          <w:p w14:paraId="189F8475">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8.8</w:t>
            </w:r>
          </w:p>
        </w:tc>
        <w:tc>
          <w:tcPr>
            <w:tcW w:w="448" w:type="pct"/>
            <w:tcBorders>
              <w:tl2br w:val="nil"/>
              <w:tr2bl w:val="nil"/>
            </w:tcBorders>
            <w:shd w:val="clear" w:color="auto" w:fill="auto"/>
            <w:vAlign w:val="center"/>
          </w:tcPr>
          <w:p w14:paraId="3D60FBA8">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455613BF">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40F0E66D">
            <w:pPr>
              <w:pStyle w:val="656"/>
              <w:keepNext w:val="0"/>
              <w:keepLines w:val="0"/>
              <w:pageBreakBefore w:val="0"/>
              <w:kinsoku/>
              <w:wordWrap/>
              <w:overflowPunct/>
              <w:topLinePunct w:val="0"/>
              <w:autoSpaceDE/>
              <w:autoSpaceDN/>
              <w:bidi w:val="0"/>
              <w:adjustRightInd w:val="0"/>
              <w:snapToGrid w:val="0"/>
              <w:rPr>
                <w:rFonts w:hint="default" w:eastAsia="仿宋_GB2312"/>
                <w:color w:val="auto"/>
                <w:kern w:val="0"/>
                <w:szCs w:val="21"/>
                <w:lang w:val="en-US" w:eastAsia="zh-CN"/>
              </w:rPr>
            </w:pPr>
            <w:r>
              <w:rPr>
                <w:rFonts w:hint="eastAsia" w:eastAsia="宋体"/>
                <w:color w:val="auto"/>
                <w:kern w:val="0"/>
                <w:sz w:val="21"/>
                <w:szCs w:val="21"/>
                <w:lang w:val="en-US" w:eastAsia="zh-CN" w:bidi="ar"/>
              </w:rPr>
              <w:t>1.6</w:t>
            </w:r>
          </w:p>
        </w:tc>
        <w:tc>
          <w:tcPr>
            <w:tcW w:w="574" w:type="pct"/>
            <w:tcBorders>
              <w:tl2br w:val="nil"/>
              <w:tr2bl w:val="nil"/>
            </w:tcBorders>
            <w:vAlign w:val="center"/>
          </w:tcPr>
          <w:p w14:paraId="20C22944">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644C27C0">
            <w:pPr>
              <w:pStyle w:val="656"/>
              <w:keepNext w:val="0"/>
              <w:keepLines w:val="0"/>
              <w:pageBreakBefore w:val="0"/>
              <w:kinsoku/>
              <w:wordWrap/>
              <w:overflowPunct/>
              <w:topLinePunct w:val="0"/>
              <w:autoSpaceDE/>
              <w:autoSpaceDN/>
              <w:bidi w:val="0"/>
              <w:adjustRightInd w:val="0"/>
              <w:snapToGrid w:val="0"/>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10.4</w:t>
            </w:r>
          </w:p>
        </w:tc>
        <w:tc>
          <w:tcPr>
            <w:tcW w:w="438" w:type="pct"/>
            <w:tcBorders>
              <w:tl2br w:val="nil"/>
              <w:tr2bl w:val="nil"/>
            </w:tcBorders>
            <w:vAlign w:val="center"/>
          </w:tcPr>
          <w:p w14:paraId="183DDBD7">
            <w:pPr>
              <w:pStyle w:val="656"/>
              <w:keepNext w:val="0"/>
              <w:keepLines w:val="0"/>
              <w:pageBreakBefore w:val="0"/>
              <w:kinsoku/>
              <w:wordWrap/>
              <w:overflowPunct/>
              <w:topLinePunct w:val="0"/>
              <w:autoSpaceDE/>
              <w:autoSpaceDN/>
              <w:bidi w:val="0"/>
              <w:adjustRightInd w:val="0"/>
              <w:snapToGrid w:val="0"/>
              <w:rPr>
                <w:rFonts w:hint="default"/>
                <w:color w:val="auto"/>
                <w:kern w:val="0"/>
                <w:szCs w:val="21"/>
                <w:lang w:val="en-US"/>
              </w:rPr>
            </w:pPr>
            <w:r>
              <w:rPr>
                <w:rFonts w:hint="eastAsia" w:eastAsia="宋体"/>
                <w:color w:val="auto"/>
                <w:kern w:val="0"/>
                <w:sz w:val="21"/>
                <w:szCs w:val="21"/>
                <w:lang w:val="en-US" w:eastAsia="zh-CN" w:bidi="ar"/>
              </w:rPr>
              <w:t>+1.6</w:t>
            </w:r>
          </w:p>
        </w:tc>
      </w:tr>
      <w:tr w14:paraId="1AB831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38882CA7">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65A0C72B">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bCs/>
                <w:color w:val="auto"/>
                <w:kern w:val="0"/>
                <w:szCs w:val="21"/>
                <w:lang w:val="en-US" w:eastAsia="zh-CN"/>
              </w:rPr>
            </w:pPr>
            <w:r>
              <w:rPr>
                <w:rFonts w:hint="eastAsia"/>
                <w:bCs/>
                <w:color w:val="auto"/>
                <w:kern w:val="0"/>
                <w:szCs w:val="21"/>
                <w:lang w:val="en-US" w:eastAsia="zh-CN"/>
              </w:rPr>
              <w:t>飞灰</w:t>
            </w:r>
          </w:p>
        </w:tc>
        <w:tc>
          <w:tcPr>
            <w:tcW w:w="398" w:type="pct"/>
            <w:tcBorders>
              <w:tl2br w:val="nil"/>
              <w:tr2bl w:val="nil"/>
            </w:tcBorders>
            <w:shd w:val="clear" w:color="auto" w:fill="auto"/>
            <w:vAlign w:val="center"/>
          </w:tcPr>
          <w:p w14:paraId="488F3DB3">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16.45</w:t>
            </w:r>
          </w:p>
        </w:tc>
        <w:tc>
          <w:tcPr>
            <w:tcW w:w="448" w:type="pct"/>
            <w:tcBorders>
              <w:tl2br w:val="nil"/>
              <w:tr2bl w:val="nil"/>
            </w:tcBorders>
            <w:shd w:val="clear" w:color="auto" w:fill="auto"/>
            <w:vAlign w:val="center"/>
          </w:tcPr>
          <w:p w14:paraId="0EEB220C">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11208AC6">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5AAF0421">
            <w:pPr>
              <w:pStyle w:val="656"/>
              <w:keepNext w:val="0"/>
              <w:keepLines w:val="0"/>
              <w:pageBreakBefore w:val="0"/>
              <w:kinsoku/>
              <w:wordWrap/>
              <w:overflowPunct/>
              <w:topLinePunct w:val="0"/>
              <w:autoSpaceDE/>
              <w:autoSpaceDN/>
              <w:bidi w:val="0"/>
              <w:adjustRightInd w:val="0"/>
              <w:snapToGrid w:val="0"/>
              <w:rPr>
                <w:rFonts w:hint="default" w:eastAsia="仿宋_GB2312"/>
                <w:color w:val="auto"/>
                <w:kern w:val="0"/>
                <w:szCs w:val="21"/>
                <w:lang w:val="en-US" w:eastAsia="zh-CN"/>
              </w:rPr>
            </w:pPr>
            <w:r>
              <w:rPr>
                <w:rFonts w:hint="eastAsia" w:eastAsia="宋体"/>
                <w:color w:val="auto"/>
                <w:kern w:val="0"/>
                <w:sz w:val="21"/>
                <w:szCs w:val="21"/>
                <w:lang w:val="en-US" w:eastAsia="zh-CN" w:bidi="ar"/>
              </w:rPr>
              <w:t>1.3</w:t>
            </w:r>
          </w:p>
        </w:tc>
        <w:tc>
          <w:tcPr>
            <w:tcW w:w="574" w:type="pct"/>
            <w:tcBorders>
              <w:tl2br w:val="nil"/>
              <w:tr2bl w:val="nil"/>
            </w:tcBorders>
            <w:vAlign w:val="center"/>
          </w:tcPr>
          <w:p w14:paraId="4D5D5D03">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134EE427">
            <w:pPr>
              <w:pStyle w:val="656"/>
              <w:keepNext w:val="0"/>
              <w:keepLines w:val="0"/>
              <w:pageBreakBefore w:val="0"/>
              <w:kinsoku/>
              <w:wordWrap/>
              <w:overflowPunct/>
              <w:topLinePunct w:val="0"/>
              <w:autoSpaceDE/>
              <w:autoSpaceDN/>
              <w:bidi w:val="0"/>
              <w:adjustRightInd w:val="0"/>
              <w:snapToGrid w:val="0"/>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17.75</w:t>
            </w:r>
          </w:p>
        </w:tc>
        <w:tc>
          <w:tcPr>
            <w:tcW w:w="438" w:type="pct"/>
            <w:tcBorders>
              <w:tl2br w:val="nil"/>
              <w:tr2bl w:val="nil"/>
            </w:tcBorders>
            <w:vAlign w:val="center"/>
          </w:tcPr>
          <w:p w14:paraId="40DE10A6">
            <w:pPr>
              <w:pStyle w:val="656"/>
              <w:keepNext w:val="0"/>
              <w:keepLines w:val="0"/>
              <w:pageBreakBefore w:val="0"/>
              <w:kinsoku/>
              <w:wordWrap/>
              <w:overflowPunct/>
              <w:topLinePunct w:val="0"/>
              <w:autoSpaceDE/>
              <w:autoSpaceDN/>
              <w:bidi w:val="0"/>
              <w:adjustRightInd w:val="0"/>
              <w:snapToGrid w:val="0"/>
              <w:rPr>
                <w:rFonts w:hint="eastAsia"/>
                <w:color w:val="auto"/>
                <w:kern w:val="0"/>
                <w:szCs w:val="21"/>
              </w:rPr>
            </w:pPr>
            <w:r>
              <w:rPr>
                <w:rFonts w:hint="eastAsia" w:eastAsia="宋体"/>
                <w:color w:val="auto"/>
                <w:kern w:val="0"/>
                <w:sz w:val="21"/>
                <w:szCs w:val="21"/>
                <w:lang w:val="en-US" w:eastAsia="zh-CN" w:bidi="ar"/>
              </w:rPr>
              <w:t>+1.3</w:t>
            </w:r>
          </w:p>
        </w:tc>
      </w:tr>
      <w:tr w14:paraId="798B1F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18836F4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156DCBF3">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bCs/>
                <w:color w:val="auto"/>
                <w:kern w:val="0"/>
                <w:szCs w:val="21"/>
                <w:lang w:val="en-US" w:eastAsia="zh-CN"/>
              </w:rPr>
            </w:pPr>
            <w:r>
              <w:rPr>
                <w:rFonts w:hint="eastAsia"/>
                <w:bCs/>
                <w:color w:val="auto"/>
                <w:kern w:val="0"/>
                <w:szCs w:val="21"/>
                <w:lang w:val="en-US" w:eastAsia="zh-CN"/>
              </w:rPr>
              <w:t>废布袋</w:t>
            </w:r>
          </w:p>
        </w:tc>
        <w:tc>
          <w:tcPr>
            <w:tcW w:w="398" w:type="pct"/>
            <w:tcBorders>
              <w:tl2br w:val="nil"/>
              <w:tr2bl w:val="nil"/>
            </w:tcBorders>
            <w:shd w:val="clear" w:color="auto" w:fill="auto"/>
            <w:vAlign w:val="center"/>
          </w:tcPr>
          <w:p w14:paraId="77F6175D">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0.5</w:t>
            </w:r>
          </w:p>
        </w:tc>
        <w:tc>
          <w:tcPr>
            <w:tcW w:w="448" w:type="pct"/>
            <w:tcBorders>
              <w:tl2br w:val="nil"/>
              <w:tr2bl w:val="nil"/>
            </w:tcBorders>
            <w:shd w:val="clear" w:color="auto" w:fill="auto"/>
            <w:vAlign w:val="center"/>
          </w:tcPr>
          <w:p w14:paraId="3813235F">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6D9EE2D2">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7A9EB0F7">
            <w:pPr>
              <w:pStyle w:val="656"/>
              <w:keepNext w:val="0"/>
              <w:keepLines w:val="0"/>
              <w:pageBreakBefore w:val="0"/>
              <w:kinsoku/>
              <w:wordWrap/>
              <w:overflowPunct/>
              <w:topLinePunct w:val="0"/>
              <w:autoSpaceDE/>
              <w:autoSpaceDN/>
              <w:bidi w:val="0"/>
              <w:adjustRightInd w:val="0"/>
              <w:snapToGrid w:val="0"/>
              <w:rPr>
                <w:rFonts w:hint="default" w:eastAsia="仿宋_GB2312"/>
                <w:color w:val="auto"/>
                <w:kern w:val="0"/>
                <w:szCs w:val="21"/>
                <w:lang w:val="en-US" w:eastAsia="zh-CN"/>
              </w:rPr>
            </w:pPr>
            <w:r>
              <w:rPr>
                <w:rFonts w:hint="eastAsia" w:eastAsia="宋体"/>
                <w:color w:val="auto"/>
                <w:kern w:val="0"/>
                <w:sz w:val="21"/>
                <w:szCs w:val="21"/>
                <w:lang w:val="en-US" w:eastAsia="zh-CN" w:bidi="ar"/>
              </w:rPr>
              <w:t>0.2</w:t>
            </w:r>
          </w:p>
        </w:tc>
        <w:tc>
          <w:tcPr>
            <w:tcW w:w="574" w:type="pct"/>
            <w:tcBorders>
              <w:tl2br w:val="nil"/>
              <w:tr2bl w:val="nil"/>
            </w:tcBorders>
            <w:vAlign w:val="center"/>
          </w:tcPr>
          <w:p w14:paraId="269EB235">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14EEDFDC">
            <w:pPr>
              <w:pStyle w:val="656"/>
              <w:keepNext w:val="0"/>
              <w:keepLines w:val="0"/>
              <w:pageBreakBefore w:val="0"/>
              <w:kinsoku/>
              <w:wordWrap/>
              <w:overflowPunct/>
              <w:topLinePunct w:val="0"/>
              <w:autoSpaceDE/>
              <w:autoSpaceDN/>
              <w:bidi w:val="0"/>
              <w:adjustRightInd w:val="0"/>
              <w:snapToGrid w:val="0"/>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0.7</w:t>
            </w:r>
          </w:p>
        </w:tc>
        <w:tc>
          <w:tcPr>
            <w:tcW w:w="438" w:type="pct"/>
            <w:tcBorders>
              <w:tl2br w:val="nil"/>
              <w:tr2bl w:val="nil"/>
            </w:tcBorders>
            <w:vAlign w:val="center"/>
          </w:tcPr>
          <w:p w14:paraId="29E70C5B">
            <w:pPr>
              <w:pStyle w:val="656"/>
              <w:keepNext w:val="0"/>
              <w:keepLines w:val="0"/>
              <w:pageBreakBefore w:val="0"/>
              <w:kinsoku/>
              <w:wordWrap/>
              <w:overflowPunct/>
              <w:topLinePunct w:val="0"/>
              <w:autoSpaceDE/>
              <w:autoSpaceDN/>
              <w:bidi w:val="0"/>
              <w:adjustRightInd w:val="0"/>
              <w:snapToGrid w:val="0"/>
              <w:rPr>
                <w:rFonts w:hint="eastAsia"/>
                <w:color w:val="auto"/>
                <w:kern w:val="0"/>
                <w:szCs w:val="21"/>
              </w:rPr>
            </w:pPr>
            <w:r>
              <w:rPr>
                <w:rFonts w:hint="eastAsia" w:eastAsia="宋体"/>
                <w:color w:val="auto"/>
                <w:kern w:val="0"/>
                <w:sz w:val="21"/>
                <w:szCs w:val="21"/>
                <w:lang w:val="en-US" w:eastAsia="zh-CN" w:bidi="ar"/>
              </w:rPr>
              <w:t>+0.2</w:t>
            </w:r>
          </w:p>
        </w:tc>
      </w:tr>
      <w:tr w14:paraId="5E3CEB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5703DB43">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2BA4075B">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bCs/>
                <w:color w:val="auto"/>
                <w:kern w:val="0"/>
                <w:szCs w:val="21"/>
                <w:lang w:val="en-US" w:eastAsia="zh-CN"/>
              </w:rPr>
            </w:pPr>
            <w:r>
              <w:rPr>
                <w:rFonts w:hint="eastAsia"/>
                <w:bCs/>
                <w:color w:val="auto"/>
                <w:kern w:val="0"/>
                <w:szCs w:val="21"/>
                <w:lang w:val="en-US" w:eastAsia="zh-CN"/>
              </w:rPr>
              <w:t>废活性炭（中水回用处理）</w:t>
            </w:r>
          </w:p>
        </w:tc>
        <w:tc>
          <w:tcPr>
            <w:tcW w:w="398" w:type="pct"/>
            <w:tcBorders>
              <w:tl2br w:val="nil"/>
              <w:tr2bl w:val="nil"/>
            </w:tcBorders>
            <w:shd w:val="clear" w:color="auto" w:fill="auto"/>
            <w:vAlign w:val="center"/>
          </w:tcPr>
          <w:p w14:paraId="7B7CD4A8">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7.6</w:t>
            </w:r>
          </w:p>
        </w:tc>
        <w:tc>
          <w:tcPr>
            <w:tcW w:w="448" w:type="pct"/>
            <w:tcBorders>
              <w:tl2br w:val="nil"/>
              <w:tr2bl w:val="nil"/>
            </w:tcBorders>
            <w:shd w:val="clear" w:color="auto" w:fill="auto"/>
            <w:vAlign w:val="center"/>
          </w:tcPr>
          <w:p w14:paraId="7326DF04">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5CA6B1DC">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08B726BF">
            <w:pPr>
              <w:pStyle w:val="656"/>
              <w:keepNext w:val="0"/>
              <w:keepLines w:val="0"/>
              <w:pageBreakBefore w:val="0"/>
              <w:kinsoku/>
              <w:wordWrap/>
              <w:overflowPunct/>
              <w:topLinePunct w:val="0"/>
              <w:autoSpaceDE/>
              <w:autoSpaceDN/>
              <w:bidi w:val="0"/>
              <w:adjustRightInd w:val="0"/>
              <w:snapToGrid w:val="0"/>
              <w:rPr>
                <w:rFonts w:hint="eastAsia" w:eastAsia="仿宋_GB2312"/>
                <w:color w:val="auto"/>
                <w:kern w:val="0"/>
                <w:szCs w:val="21"/>
                <w:lang w:eastAsia="zh-CN"/>
              </w:rPr>
            </w:pPr>
            <w:r>
              <w:rPr>
                <w:rFonts w:hint="eastAsia" w:eastAsia="宋体"/>
                <w:color w:val="auto"/>
                <w:kern w:val="0"/>
                <w:sz w:val="21"/>
                <w:szCs w:val="21"/>
                <w:lang w:val="en-US" w:eastAsia="zh-CN" w:bidi="ar"/>
              </w:rPr>
              <w:t>0</w:t>
            </w:r>
          </w:p>
        </w:tc>
        <w:tc>
          <w:tcPr>
            <w:tcW w:w="574" w:type="pct"/>
            <w:tcBorders>
              <w:tl2br w:val="nil"/>
              <w:tr2bl w:val="nil"/>
            </w:tcBorders>
            <w:vAlign w:val="center"/>
          </w:tcPr>
          <w:p w14:paraId="2BD14F60">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1C5930B7">
            <w:pPr>
              <w:pStyle w:val="656"/>
              <w:keepNext w:val="0"/>
              <w:keepLines w:val="0"/>
              <w:pageBreakBefore w:val="0"/>
              <w:kinsoku/>
              <w:wordWrap/>
              <w:overflowPunct/>
              <w:topLinePunct w:val="0"/>
              <w:autoSpaceDE/>
              <w:autoSpaceDN/>
              <w:bidi w:val="0"/>
              <w:adjustRightInd w:val="0"/>
              <w:snapToGrid w:val="0"/>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7.6</w:t>
            </w:r>
          </w:p>
        </w:tc>
        <w:tc>
          <w:tcPr>
            <w:tcW w:w="438" w:type="pct"/>
            <w:tcBorders>
              <w:tl2br w:val="nil"/>
              <w:tr2bl w:val="nil"/>
            </w:tcBorders>
            <w:vAlign w:val="center"/>
          </w:tcPr>
          <w:p w14:paraId="3E1D4816">
            <w:pPr>
              <w:pStyle w:val="656"/>
              <w:keepNext w:val="0"/>
              <w:keepLines w:val="0"/>
              <w:pageBreakBefore w:val="0"/>
              <w:kinsoku/>
              <w:wordWrap/>
              <w:overflowPunct/>
              <w:topLinePunct w:val="0"/>
              <w:autoSpaceDE/>
              <w:autoSpaceDN/>
              <w:bidi w:val="0"/>
              <w:adjustRightInd w:val="0"/>
              <w:snapToGrid w:val="0"/>
              <w:rPr>
                <w:rFonts w:hint="eastAsia"/>
                <w:color w:val="auto"/>
                <w:kern w:val="0"/>
                <w:szCs w:val="21"/>
              </w:rPr>
            </w:pPr>
            <w:r>
              <w:rPr>
                <w:rFonts w:hint="eastAsia" w:eastAsia="宋体"/>
                <w:color w:val="auto"/>
                <w:kern w:val="0"/>
                <w:sz w:val="21"/>
                <w:szCs w:val="21"/>
                <w:lang w:val="en-US" w:eastAsia="zh-CN" w:bidi="ar"/>
              </w:rPr>
              <w:t>0</w:t>
            </w:r>
          </w:p>
        </w:tc>
      </w:tr>
      <w:tr w14:paraId="06BD65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6B3BC07E">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1827FE90">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bCs/>
                <w:color w:val="auto"/>
                <w:kern w:val="0"/>
                <w:szCs w:val="21"/>
                <w:lang w:val="en-US" w:eastAsia="zh-CN"/>
              </w:rPr>
            </w:pPr>
            <w:r>
              <w:rPr>
                <w:rFonts w:hint="eastAsia"/>
                <w:bCs/>
                <w:color w:val="auto"/>
                <w:kern w:val="0"/>
                <w:szCs w:val="21"/>
                <w:lang w:val="en-US" w:eastAsia="zh-CN"/>
              </w:rPr>
              <w:t>有毒有害物质塑料内封</w:t>
            </w:r>
          </w:p>
        </w:tc>
        <w:tc>
          <w:tcPr>
            <w:tcW w:w="398" w:type="pct"/>
            <w:tcBorders>
              <w:tl2br w:val="nil"/>
              <w:tr2bl w:val="nil"/>
            </w:tcBorders>
            <w:shd w:val="clear" w:color="auto" w:fill="auto"/>
            <w:vAlign w:val="center"/>
          </w:tcPr>
          <w:p w14:paraId="4E60AEF4">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0.2</w:t>
            </w:r>
          </w:p>
        </w:tc>
        <w:tc>
          <w:tcPr>
            <w:tcW w:w="448" w:type="pct"/>
            <w:tcBorders>
              <w:tl2br w:val="nil"/>
              <w:tr2bl w:val="nil"/>
            </w:tcBorders>
            <w:shd w:val="clear" w:color="auto" w:fill="auto"/>
            <w:vAlign w:val="center"/>
          </w:tcPr>
          <w:p w14:paraId="3DC20CCB">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6B3C4E5A">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3B742488">
            <w:pPr>
              <w:pStyle w:val="656"/>
              <w:keepNext w:val="0"/>
              <w:keepLines w:val="0"/>
              <w:pageBreakBefore w:val="0"/>
              <w:kinsoku/>
              <w:wordWrap/>
              <w:overflowPunct/>
              <w:topLinePunct w:val="0"/>
              <w:autoSpaceDE/>
              <w:autoSpaceDN/>
              <w:bidi w:val="0"/>
              <w:adjustRightInd w:val="0"/>
              <w:snapToGrid w:val="0"/>
              <w:rPr>
                <w:rFonts w:hint="eastAsia" w:eastAsia="仿宋_GB2312"/>
                <w:color w:val="auto"/>
                <w:kern w:val="0"/>
                <w:szCs w:val="21"/>
                <w:lang w:eastAsia="zh-CN"/>
              </w:rPr>
            </w:pPr>
            <w:r>
              <w:rPr>
                <w:rFonts w:hint="eastAsia" w:eastAsia="宋体"/>
                <w:color w:val="auto"/>
                <w:kern w:val="0"/>
                <w:sz w:val="21"/>
                <w:szCs w:val="21"/>
                <w:lang w:val="en-US" w:eastAsia="zh-CN" w:bidi="ar"/>
              </w:rPr>
              <w:t>0</w:t>
            </w:r>
          </w:p>
        </w:tc>
        <w:tc>
          <w:tcPr>
            <w:tcW w:w="574" w:type="pct"/>
            <w:tcBorders>
              <w:tl2br w:val="nil"/>
              <w:tr2bl w:val="nil"/>
            </w:tcBorders>
            <w:vAlign w:val="center"/>
          </w:tcPr>
          <w:p w14:paraId="0A10ACCD">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7AEE908E">
            <w:pPr>
              <w:pStyle w:val="656"/>
              <w:keepNext w:val="0"/>
              <w:keepLines w:val="0"/>
              <w:pageBreakBefore w:val="0"/>
              <w:kinsoku/>
              <w:wordWrap/>
              <w:overflowPunct/>
              <w:topLinePunct w:val="0"/>
              <w:autoSpaceDE/>
              <w:autoSpaceDN/>
              <w:bidi w:val="0"/>
              <w:adjustRightInd w:val="0"/>
              <w:snapToGrid w:val="0"/>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0.2</w:t>
            </w:r>
          </w:p>
        </w:tc>
        <w:tc>
          <w:tcPr>
            <w:tcW w:w="438" w:type="pct"/>
            <w:tcBorders>
              <w:tl2br w:val="nil"/>
              <w:tr2bl w:val="nil"/>
            </w:tcBorders>
            <w:vAlign w:val="center"/>
          </w:tcPr>
          <w:p w14:paraId="3D386073">
            <w:pPr>
              <w:pStyle w:val="656"/>
              <w:keepNext w:val="0"/>
              <w:keepLines w:val="0"/>
              <w:pageBreakBefore w:val="0"/>
              <w:kinsoku/>
              <w:wordWrap/>
              <w:overflowPunct/>
              <w:topLinePunct w:val="0"/>
              <w:autoSpaceDE/>
              <w:autoSpaceDN/>
              <w:bidi w:val="0"/>
              <w:adjustRightInd w:val="0"/>
              <w:snapToGrid w:val="0"/>
              <w:rPr>
                <w:rFonts w:hint="eastAsia"/>
                <w:color w:val="auto"/>
                <w:kern w:val="0"/>
                <w:szCs w:val="21"/>
              </w:rPr>
            </w:pPr>
            <w:r>
              <w:rPr>
                <w:rFonts w:hint="eastAsia" w:eastAsia="宋体"/>
                <w:color w:val="auto"/>
                <w:kern w:val="0"/>
                <w:sz w:val="21"/>
                <w:szCs w:val="21"/>
                <w:lang w:val="en-US" w:eastAsia="zh-CN" w:bidi="ar"/>
              </w:rPr>
              <w:t>0</w:t>
            </w:r>
          </w:p>
        </w:tc>
      </w:tr>
      <w:tr w14:paraId="719903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055D2424">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1915FBCD">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bCs/>
                <w:color w:val="auto"/>
                <w:kern w:val="0"/>
                <w:szCs w:val="21"/>
                <w:lang w:val="en-US" w:eastAsia="zh-CN"/>
              </w:rPr>
            </w:pPr>
            <w:r>
              <w:rPr>
                <w:rFonts w:hint="eastAsia"/>
                <w:bCs/>
                <w:color w:val="auto"/>
                <w:kern w:val="0"/>
                <w:szCs w:val="21"/>
                <w:lang w:val="en-US" w:eastAsia="zh-CN"/>
              </w:rPr>
              <w:t>废电瓶、废灯管</w:t>
            </w:r>
          </w:p>
        </w:tc>
        <w:tc>
          <w:tcPr>
            <w:tcW w:w="398" w:type="pct"/>
            <w:tcBorders>
              <w:tl2br w:val="nil"/>
              <w:tr2bl w:val="nil"/>
            </w:tcBorders>
            <w:shd w:val="clear" w:color="auto" w:fill="auto"/>
            <w:vAlign w:val="center"/>
          </w:tcPr>
          <w:p w14:paraId="0E65B9D4">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0.2</w:t>
            </w:r>
          </w:p>
        </w:tc>
        <w:tc>
          <w:tcPr>
            <w:tcW w:w="448" w:type="pct"/>
            <w:tcBorders>
              <w:tl2br w:val="nil"/>
              <w:tr2bl w:val="nil"/>
            </w:tcBorders>
            <w:shd w:val="clear" w:color="auto" w:fill="auto"/>
            <w:vAlign w:val="center"/>
          </w:tcPr>
          <w:p w14:paraId="53742949">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0AF15D83">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055059B8">
            <w:pPr>
              <w:pStyle w:val="656"/>
              <w:keepNext w:val="0"/>
              <w:keepLines w:val="0"/>
              <w:pageBreakBefore w:val="0"/>
              <w:kinsoku/>
              <w:wordWrap/>
              <w:overflowPunct/>
              <w:topLinePunct w:val="0"/>
              <w:autoSpaceDE/>
              <w:autoSpaceDN/>
              <w:bidi w:val="0"/>
              <w:adjustRightInd w:val="0"/>
              <w:snapToGrid w:val="0"/>
              <w:rPr>
                <w:rFonts w:hint="eastAsia" w:eastAsia="仿宋_GB2312"/>
                <w:color w:val="auto"/>
                <w:kern w:val="0"/>
                <w:szCs w:val="21"/>
                <w:lang w:eastAsia="zh-CN"/>
              </w:rPr>
            </w:pPr>
            <w:r>
              <w:rPr>
                <w:rFonts w:hint="eastAsia" w:eastAsia="宋体"/>
                <w:color w:val="auto"/>
                <w:kern w:val="0"/>
                <w:sz w:val="21"/>
                <w:szCs w:val="21"/>
                <w:lang w:val="en-US" w:eastAsia="zh-CN" w:bidi="ar"/>
              </w:rPr>
              <w:t>0</w:t>
            </w:r>
          </w:p>
        </w:tc>
        <w:tc>
          <w:tcPr>
            <w:tcW w:w="574" w:type="pct"/>
            <w:tcBorders>
              <w:tl2br w:val="nil"/>
              <w:tr2bl w:val="nil"/>
            </w:tcBorders>
            <w:vAlign w:val="center"/>
          </w:tcPr>
          <w:p w14:paraId="4A657F93">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6291D364">
            <w:pPr>
              <w:pStyle w:val="656"/>
              <w:keepNext w:val="0"/>
              <w:keepLines w:val="0"/>
              <w:pageBreakBefore w:val="0"/>
              <w:kinsoku/>
              <w:wordWrap/>
              <w:overflowPunct/>
              <w:topLinePunct w:val="0"/>
              <w:autoSpaceDE/>
              <w:autoSpaceDN/>
              <w:bidi w:val="0"/>
              <w:adjustRightInd w:val="0"/>
              <w:snapToGrid w:val="0"/>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0.2</w:t>
            </w:r>
          </w:p>
        </w:tc>
        <w:tc>
          <w:tcPr>
            <w:tcW w:w="438" w:type="pct"/>
            <w:tcBorders>
              <w:tl2br w:val="nil"/>
              <w:tr2bl w:val="nil"/>
            </w:tcBorders>
            <w:vAlign w:val="center"/>
          </w:tcPr>
          <w:p w14:paraId="18697690">
            <w:pPr>
              <w:pStyle w:val="656"/>
              <w:keepNext w:val="0"/>
              <w:keepLines w:val="0"/>
              <w:pageBreakBefore w:val="0"/>
              <w:kinsoku/>
              <w:wordWrap/>
              <w:overflowPunct/>
              <w:topLinePunct w:val="0"/>
              <w:autoSpaceDE/>
              <w:autoSpaceDN/>
              <w:bidi w:val="0"/>
              <w:adjustRightInd w:val="0"/>
              <w:snapToGrid w:val="0"/>
              <w:rPr>
                <w:rFonts w:hint="eastAsia"/>
                <w:color w:val="auto"/>
                <w:kern w:val="0"/>
                <w:szCs w:val="21"/>
              </w:rPr>
            </w:pPr>
            <w:r>
              <w:rPr>
                <w:rFonts w:hint="eastAsia" w:eastAsia="宋体"/>
                <w:color w:val="auto"/>
                <w:kern w:val="0"/>
                <w:sz w:val="21"/>
                <w:szCs w:val="21"/>
                <w:lang w:val="en-US" w:eastAsia="zh-CN" w:bidi="ar"/>
              </w:rPr>
              <w:t>0</w:t>
            </w:r>
          </w:p>
        </w:tc>
      </w:tr>
      <w:tr w14:paraId="1710EB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3F5F3B4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6392D56C">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bCs/>
                <w:color w:val="auto"/>
                <w:kern w:val="0"/>
                <w:szCs w:val="21"/>
                <w:lang w:val="en-US" w:eastAsia="zh-CN"/>
              </w:rPr>
            </w:pPr>
            <w:r>
              <w:rPr>
                <w:rFonts w:hint="eastAsia"/>
                <w:bCs/>
                <w:color w:val="auto"/>
                <w:kern w:val="0"/>
                <w:szCs w:val="21"/>
                <w:lang w:val="en-US" w:eastAsia="zh-CN"/>
              </w:rPr>
              <w:t>废氨水</w:t>
            </w:r>
          </w:p>
        </w:tc>
        <w:tc>
          <w:tcPr>
            <w:tcW w:w="398" w:type="pct"/>
            <w:tcBorders>
              <w:tl2br w:val="nil"/>
              <w:tr2bl w:val="nil"/>
            </w:tcBorders>
            <w:shd w:val="clear" w:color="auto" w:fill="auto"/>
            <w:vAlign w:val="center"/>
          </w:tcPr>
          <w:p w14:paraId="702094B2">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1.2</w:t>
            </w:r>
          </w:p>
        </w:tc>
        <w:tc>
          <w:tcPr>
            <w:tcW w:w="448" w:type="pct"/>
            <w:tcBorders>
              <w:tl2br w:val="nil"/>
              <w:tr2bl w:val="nil"/>
            </w:tcBorders>
            <w:shd w:val="clear" w:color="auto" w:fill="auto"/>
            <w:vAlign w:val="center"/>
          </w:tcPr>
          <w:p w14:paraId="02C5DBC6">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0A12D905">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6834DDE4">
            <w:pPr>
              <w:pStyle w:val="656"/>
              <w:keepNext w:val="0"/>
              <w:keepLines w:val="0"/>
              <w:pageBreakBefore w:val="0"/>
              <w:kinsoku/>
              <w:wordWrap/>
              <w:overflowPunct/>
              <w:topLinePunct w:val="0"/>
              <w:autoSpaceDE/>
              <w:autoSpaceDN/>
              <w:bidi w:val="0"/>
              <w:adjustRightInd w:val="0"/>
              <w:snapToGrid w:val="0"/>
              <w:rPr>
                <w:rFonts w:hint="eastAsia" w:eastAsia="仿宋_GB2312"/>
                <w:color w:val="auto"/>
                <w:kern w:val="0"/>
                <w:szCs w:val="21"/>
                <w:lang w:eastAsia="zh-CN"/>
              </w:rPr>
            </w:pPr>
            <w:r>
              <w:rPr>
                <w:rFonts w:hint="eastAsia" w:eastAsia="宋体"/>
                <w:color w:val="auto"/>
                <w:kern w:val="0"/>
                <w:sz w:val="21"/>
                <w:szCs w:val="21"/>
                <w:lang w:val="en-US" w:eastAsia="zh-CN" w:bidi="ar"/>
              </w:rPr>
              <w:t>0</w:t>
            </w:r>
          </w:p>
        </w:tc>
        <w:tc>
          <w:tcPr>
            <w:tcW w:w="574" w:type="pct"/>
            <w:tcBorders>
              <w:tl2br w:val="nil"/>
              <w:tr2bl w:val="nil"/>
            </w:tcBorders>
            <w:vAlign w:val="center"/>
          </w:tcPr>
          <w:p w14:paraId="460B89FA">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7C14E493">
            <w:pPr>
              <w:pStyle w:val="656"/>
              <w:keepNext w:val="0"/>
              <w:keepLines w:val="0"/>
              <w:pageBreakBefore w:val="0"/>
              <w:kinsoku/>
              <w:wordWrap/>
              <w:overflowPunct/>
              <w:topLinePunct w:val="0"/>
              <w:autoSpaceDE/>
              <w:autoSpaceDN/>
              <w:bidi w:val="0"/>
              <w:adjustRightInd w:val="0"/>
              <w:snapToGrid w:val="0"/>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1.2</w:t>
            </w:r>
          </w:p>
        </w:tc>
        <w:tc>
          <w:tcPr>
            <w:tcW w:w="438" w:type="pct"/>
            <w:tcBorders>
              <w:tl2br w:val="nil"/>
              <w:tr2bl w:val="nil"/>
            </w:tcBorders>
            <w:vAlign w:val="center"/>
          </w:tcPr>
          <w:p w14:paraId="3E579456">
            <w:pPr>
              <w:pStyle w:val="656"/>
              <w:keepNext w:val="0"/>
              <w:keepLines w:val="0"/>
              <w:pageBreakBefore w:val="0"/>
              <w:kinsoku/>
              <w:wordWrap/>
              <w:overflowPunct/>
              <w:topLinePunct w:val="0"/>
              <w:autoSpaceDE/>
              <w:autoSpaceDN/>
              <w:bidi w:val="0"/>
              <w:adjustRightInd w:val="0"/>
              <w:snapToGrid w:val="0"/>
              <w:rPr>
                <w:rFonts w:hint="eastAsia"/>
                <w:color w:val="auto"/>
                <w:kern w:val="0"/>
                <w:szCs w:val="21"/>
              </w:rPr>
            </w:pPr>
            <w:r>
              <w:rPr>
                <w:rFonts w:hint="eastAsia" w:eastAsia="宋体"/>
                <w:color w:val="auto"/>
                <w:kern w:val="0"/>
                <w:sz w:val="21"/>
                <w:szCs w:val="21"/>
                <w:lang w:val="en-US" w:eastAsia="zh-CN" w:bidi="ar"/>
              </w:rPr>
              <w:t>0</w:t>
            </w:r>
          </w:p>
        </w:tc>
      </w:tr>
      <w:tr w14:paraId="727102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66487D13">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0FA4E3F0">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bCs/>
                <w:color w:val="auto"/>
                <w:kern w:val="0"/>
                <w:szCs w:val="21"/>
                <w:lang w:val="en-US" w:eastAsia="zh-CN"/>
              </w:rPr>
            </w:pPr>
            <w:r>
              <w:rPr>
                <w:rFonts w:hint="eastAsia"/>
                <w:bCs/>
                <w:color w:val="auto"/>
                <w:kern w:val="0"/>
                <w:szCs w:val="21"/>
                <w:lang w:val="en-US" w:eastAsia="zh-CN"/>
              </w:rPr>
              <w:t>过滤布袋</w:t>
            </w:r>
          </w:p>
        </w:tc>
        <w:tc>
          <w:tcPr>
            <w:tcW w:w="398" w:type="pct"/>
            <w:tcBorders>
              <w:tl2br w:val="nil"/>
              <w:tr2bl w:val="nil"/>
            </w:tcBorders>
            <w:shd w:val="clear" w:color="auto" w:fill="auto"/>
            <w:vAlign w:val="center"/>
          </w:tcPr>
          <w:p w14:paraId="15A3087C">
            <w:pPr>
              <w:keepNext w:val="0"/>
              <w:keepLines w:val="0"/>
              <w:pageBreakBefore w:val="0"/>
              <w:widowControl/>
              <w:kinsoku/>
              <w:wordWrap/>
              <w:overflowPunct/>
              <w:topLinePunct w:val="0"/>
              <w:autoSpaceDE/>
              <w:autoSpaceDN/>
              <w:bidi w:val="0"/>
              <w:adjustRightInd w:val="0"/>
              <w:snapToGrid w:val="0"/>
              <w:jc w:val="center"/>
              <w:rPr>
                <w:rFonts w:hint="eastAsia" w:eastAsia="宋体"/>
                <w:color w:val="auto"/>
                <w:kern w:val="0"/>
                <w:lang w:eastAsia="zh-CN"/>
              </w:rPr>
            </w:pPr>
            <w:r>
              <w:rPr>
                <w:rFonts w:hint="eastAsia"/>
                <w:color w:val="auto"/>
                <w:kern w:val="0"/>
                <w:lang w:val="en-US" w:eastAsia="zh-CN"/>
              </w:rPr>
              <w:t>1</w:t>
            </w:r>
          </w:p>
        </w:tc>
        <w:tc>
          <w:tcPr>
            <w:tcW w:w="448" w:type="pct"/>
            <w:tcBorders>
              <w:tl2br w:val="nil"/>
              <w:tr2bl w:val="nil"/>
            </w:tcBorders>
            <w:shd w:val="clear" w:color="auto" w:fill="auto"/>
            <w:vAlign w:val="center"/>
          </w:tcPr>
          <w:p w14:paraId="12AAADB3">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727929E2">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031F277D">
            <w:pPr>
              <w:pStyle w:val="656"/>
              <w:keepNext w:val="0"/>
              <w:keepLines w:val="0"/>
              <w:pageBreakBefore w:val="0"/>
              <w:kinsoku/>
              <w:wordWrap/>
              <w:overflowPunct/>
              <w:topLinePunct w:val="0"/>
              <w:autoSpaceDE/>
              <w:autoSpaceDN/>
              <w:bidi w:val="0"/>
              <w:adjustRightInd w:val="0"/>
              <w:snapToGrid w:val="0"/>
              <w:rPr>
                <w:rFonts w:hint="eastAsia" w:eastAsia="仿宋_GB2312"/>
                <w:color w:val="auto"/>
                <w:kern w:val="0"/>
                <w:szCs w:val="21"/>
                <w:lang w:eastAsia="zh-CN"/>
              </w:rPr>
            </w:pPr>
            <w:r>
              <w:rPr>
                <w:rFonts w:hint="eastAsia" w:eastAsia="宋体"/>
                <w:color w:val="auto"/>
                <w:kern w:val="0"/>
                <w:sz w:val="21"/>
                <w:szCs w:val="21"/>
                <w:lang w:val="en-US" w:eastAsia="zh-CN" w:bidi="ar"/>
              </w:rPr>
              <w:t>0</w:t>
            </w:r>
          </w:p>
        </w:tc>
        <w:tc>
          <w:tcPr>
            <w:tcW w:w="574" w:type="pct"/>
            <w:tcBorders>
              <w:tl2br w:val="nil"/>
              <w:tr2bl w:val="nil"/>
            </w:tcBorders>
            <w:vAlign w:val="center"/>
          </w:tcPr>
          <w:p w14:paraId="568A4B97">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436BD06E">
            <w:pPr>
              <w:pStyle w:val="656"/>
              <w:keepNext w:val="0"/>
              <w:keepLines w:val="0"/>
              <w:pageBreakBefore w:val="0"/>
              <w:kinsoku/>
              <w:wordWrap/>
              <w:overflowPunct/>
              <w:topLinePunct w:val="0"/>
              <w:autoSpaceDE/>
              <w:autoSpaceDN/>
              <w:bidi w:val="0"/>
              <w:adjustRightInd w:val="0"/>
              <w:snapToGrid w:val="0"/>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1</w:t>
            </w:r>
          </w:p>
        </w:tc>
        <w:tc>
          <w:tcPr>
            <w:tcW w:w="438" w:type="pct"/>
            <w:tcBorders>
              <w:tl2br w:val="nil"/>
              <w:tr2bl w:val="nil"/>
            </w:tcBorders>
            <w:vAlign w:val="center"/>
          </w:tcPr>
          <w:p w14:paraId="663DB592">
            <w:pPr>
              <w:pStyle w:val="656"/>
              <w:keepNext w:val="0"/>
              <w:keepLines w:val="0"/>
              <w:pageBreakBefore w:val="0"/>
              <w:kinsoku/>
              <w:wordWrap/>
              <w:overflowPunct/>
              <w:topLinePunct w:val="0"/>
              <w:autoSpaceDE/>
              <w:autoSpaceDN/>
              <w:bidi w:val="0"/>
              <w:adjustRightInd w:val="0"/>
              <w:snapToGrid w:val="0"/>
              <w:rPr>
                <w:rFonts w:hint="eastAsia"/>
                <w:color w:val="auto"/>
                <w:kern w:val="0"/>
                <w:szCs w:val="21"/>
              </w:rPr>
            </w:pPr>
            <w:r>
              <w:rPr>
                <w:rFonts w:hint="eastAsia" w:eastAsia="宋体"/>
                <w:color w:val="auto"/>
                <w:kern w:val="0"/>
                <w:sz w:val="21"/>
                <w:szCs w:val="21"/>
                <w:lang w:val="en-US" w:eastAsia="zh-CN" w:bidi="ar"/>
              </w:rPr>
              <w:t>0</w:t>
            </w:r>
          </w:p>
        </w:tc>
      </w:tr>
      <w:tr w14:paraId="15E52D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18CD2649">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3ACA25CC">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bCs/>
                <w:color w:val="auto"/>
                <w:kern w:val="0"/>
                <w:szCs w:val="21"/>
                <w:lang w:val="en-US" w:eastAsia="zh-CN"/>
              </w:rPr>
            </w:pPr>
            <w:r>
              <w:rPr>
                <w:rFonts w:hint="eastAsia"/>
                <w:bCs/>
                <w:color w:val="auto"/>
                <w:kern w:val="0"/>
                <w:szCs w:val="21"/>
                <w:lang w:val="en-US" w:eastAsia="zh-CN"/>
              </w:rPr>
              <w:t>废耐火材料</w:t>
            </w:r>
          </w:p>
        </w:tc>
        <w:tc>
          <w:tcPr>
            <w:tcW w:w="398" w:type="pct"/>
            <w:tcBorders>
              <w:tl2br w:val="nil"/>
              <w:tr2bl w:val="nil"/>
            </w:tcBorders>
            <w:shd w:val="clear" w:color="auto" w:fill="auto"/>
            <w:vAlign w:val="center"/>
          </w:tcPr>
          <w:p w14:paraId="794F155D">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3t/3a</w:t>
            </w:r>
          </w:p>
        </w:tc>
        <w:tc>
          <w:tcPr>
            <w:tcW w:w="448" w:type="pct"/>
            <w:tcBorders>
              <w:tl2br w:val="nil"/>
              <w:tr2bl w:val="nil"/>
            </w:tcBorders>
            <w:shd w:val="clear" w:color="auto" w:fill="auto"/>
            <w:vAlign w:val="center"/>
          </w:tcPr>
          <w:p w14:paraId="56E93115">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5725DAF4">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5751C35C">
            <w:pPr>
              <w:pStyle w:val="656"/>
              <w:keepNext w:val="0"/>
              <w:keepLines w:val="0"/>
              <w:pageBreakBefore w:val="0"/>
              <w:kinsoku/>
              <w:wordWrap/>
              <w:overflowPunct/>
              <w:topLinePunct w:val="0"/>
              <w:autoSpaceDE/>
              <w:autoSpaceDN/>
              <w:bidi w:val="0"/>
              <w:adjustRightInd w:val="0"/>
              <w:snapToGrid w:val="0"/>
              <w:rPr>
                <w:rFonts w:hint="default" w:eastAsia="仿宋_GB2312"/>
                <w:color w:val="auto"/>
                <w:kern w:val="0"/>
                <w:szCs w:val="21"/>
                <w:lang w:val="en-US" w:eastAsia="zh-CN"/>
              </w:rPr>
            </w:pPr>
            <w:r>
              <w:rPr>
                <w:rFonts w:hint="eastAsia" w:eastAsia="宋体"/>
                <w:color w:val="auto"/>
                <w:kern w:val="0"/>
                <w:sz w:val="21"/>
                <w:szCs w:val="21"/>
                <w:lang w:val="en-US" w:eastAsia="zh-CN" w:bidi="ar"/>
              </w:rPr>
              <w:t>0</w:t>
            </w:r>
          </w:p>
        </w:tc>
        <w:tc>
          <w:tcPr>
            <w:tcW w:w="574" w:type="pct"/>
            <w:tcBorders>
              <w:tl2br w:val="nil"/>
              <w:tr2bl w:val="nil"/>
            </w:tcBorders>
            <w:vAlign w:val="center"/>
          </w:tcPr>
          <w:p w14:paraId="69857DE7">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351880F9">
            <w:pPr>
              <w:pStyle w:val="656"/>
              <w:keepNext w:val="0"/>
              <w:keepLines w:val="0"/>
              <w:pageBreakBefore w:val="0"/>
              <w:kinsoku/>
              <w:wordWrap/>
              <w:overflowPunct/>
              <w:topLinePunct w:val="0"/>
              <w:autoSpaceDE/>
              <w:autoSpaceDN/>
              <w:bidi w:val="0"/>
              <w:adjustRightInd w:val="0"/>
              <w:snapToGrid w:val="0"/>
              <w:rPr>
                <w:rFonts w:hint="default" w:eastAsia="仿宋_GB2312"/>
                <w:color w:val="auto"/>
                <w:kern w:val="0"/>
                <w:szCs w:val="21"/>
                <w:lang w:val="en-US" w:eastAsia="zh-CN"/>
              </w:rPr>
            </w:pPr>
            <w:r>
              <w:rPr>
                <w:rFonts w:hint="eastAsia" w:eastAsia="宋体"/>
                <w:color w:val="auto"/>
                <w:kern w:val="0"/>
                <w:sz w:val="21"/>
                <w:szCs w:val="21"/>
                <w:lang w:val="en-US" w:eastAsia="zh-CN" w:bidi="ar"/>
              </w:rPr>
              <w:t>3t/3a</w:t>
            </w:r>
          </w:p>
        </w:tc>
        <w:tc>
          <w:tcPr>
            <w:tcW w:w="438" w:type="pct"/>
            <w:tcBorders>
              <w:tl2br w:val="nil"/>
              <w:tr2bl w:val="nil"/>
            </w:tcBorders>
            <w:vAlign w:val="center"/>
          </w:tcPr>
          <w:p w14:paraId="2D772F08">
            <w:pPr>
              <w:pStyle w:val="656"/>
              <w:keepNext w:val="0"/>
              <w:keepLines w:val="0"/>
              <w:pageBreakBefore w:val="0"/>
              <w:kinsoku/>
              <w:wordWrap/>
              <w:overflowPunct/>
              <w:topLinePunct w:val="0"/>
              <w:autoSpaceDE/>
              <w:autoSpaceDN/>
              <w:bidi w:val="0"/>
              <w:adjustRightInd w:val="0"/>
              <w:snapToGrid w:val="0"/>
              <w:rPr>
                <w:rFonts w:hint="eastAsia" w:eastAsia="宋体"/>
                <w:color w:val="auto"/>
                <w:kern w:val="0"/>
                <w:szCs w:val="21"/>
                <w:lang w:val="en-US" w:eastAsia="zh-CN"/>
              </w:rPr>
            </w:pPr>
            <w:r>
              <w:rPr>
                <w:rFonts w:hint="eastAsia" w:eastAsia="宋体"/>
                <w:color w:val="auto"/>
                <w:kern w:val="0"/>
                <w:sz w:val="21"/>
                <w:szCs w:val="21"/>
                <w:lang w:val="en-US" w:eastAsia="zh-CN" w:bidi="ar"/>
              </w:rPr>
              <w:t>0</w:t>
            </w:r>
          </w:p>
        </w:tc>
      </w:tr>
      <w:tr w14:paraId="670AC9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4EBCCC45">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p>
        </w:tc>
        <w:tc>
          <w:tcPr>
            <w:tcW w:w="889" w:type="pct"/>
            <w:gridSpan w:val="2"/>
            <w:tcBorders>
              <w:tl2br w:val="nil"/>
              <w:tr2bl w:val="nil"/>
            </w:tcBorders>
            <w:vAlign w:val="center"/>
          </w:tcPr>
          <w:p w14:paraId="5855FE06">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eastAsia="宋体"/>
                <w:bCs/>
                <w:color w:val="auto"/>
                <w:kern w:val="0"/>
                <w:szCs w:val="21"/>
                <w:lang w:val="en-US" w:eastAsia="zh-CN"/>
              </w:rPr>
            </w:pPr>
            <w:r>
              <w:rPr>
                <w:rFonts w:hint="eastAsia"/>
                <w:bCs/>
                <w:color w:val="auto"/>
                <w:kern w:val="0"/>
                <w:szCs w:val="21"/>
                <w:lang w:val="en-US" w:eastAsia="zh-CN"/>
              </w:rPr>
              <w:t>废活性炭</w:t>
            </w:r>
          </w:p>
        </w:tc>
        <w:tc>
          <w:tcPr>
            <w:tcW w:w="398" w:type="pct"/>
            <w:tcBorders>
              <w:tl2br w:val="nil"/>
              <w:tr2bl w:val="nil"/>
            </w:tcBorders>
            <w:shd w:val="clear" w:color="auto" w:fill="auto"/>
            <w:vAlign w:val="center"/>
          </w:tcPr>
          <w:p w14:paraId="349C0BAF">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5.625</w:t>
            </w:r>
          </w:p>
        </w:tc>
        <w:tc>
          <w:tcPr>
            <w:tcW w:w="448" w:type="pct"/>
            <w:tcBorders>
              <w:tl2br w:val="nil"/>
              <w:tr2bl w:val="nil"/>
            </w:tcBorders>
            <w:shd w:val="clear" w:color="auto" w:fill="auto"/>
            <w:vAlign w:val="center"/>
          </w:tcPr>
          <w:p w14:paraId="308C04DE">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shd w:val="clear" w:color="auto" w:fill="auto"/>
            <w:vAlign w:val="center"/>
          </w:tcPr>
          <w:p w14:paraId="0C1B6A97">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698E45DE">
            <w:pPr>
              <w:pStyle w:val="656"/>
              <w:keepNext w:val="0"/>
              <w:keepLines w:val="0"/>
              <w:pageBreakBefore w:val="0"/>
              <w:kinsoku/>
              <w:wordWrap/>
              <w:overflowPunct/>
              <w:topLinePunct w:val="0"/>
              <w:autoSpaceDE/>
              <w:autoSpaceDN/>
              <w:bidi w:val="0"/>
              <w:adjustRightInd w:val="0"/>
              <w:snapToGrid w:val="0"/>
              <w:rPr>
                <w:rFonts w:hint="eastAsia" w:eastAsia="仿宋_GB2312"/>
                <w:color w:val="auto"/>
                <w:kern w:val="0"/>
                <w:szCs w:val="21"/>
                <w:lang w:eastAsia="zh-CN"/>
              </w:rPr>
            </w:pPr>
            <w:r>
              <w:rPr>
                <w:rFonts w:hint="eastAsia" w:eastAsia="宋体"/>
                <w:color w:val="auto"/>
                <w:kern w:val="0"/>
                <w:sz w:val="21"/>
                <w:szCs w:val="21"/>
                <w:lang w:val="en-US" w:eastAsia="zh-CN" w:bidi="ar"/>
              </w:rPr>
              <w:t>0</w:t>
            </w:r>
          </w:p>
        </w:tc>
        <w:tc>
          <w:tcPr>
            <w:tcW w:w="574" w:type="pct"/>
            <w:tcBorders>
              <w:tl2br w:val="nil"/>
              <w:tr2bl w:val="nil"/>
            </w:tcBorders>
            <w:vAlign w:val="center"/>
          </w:tcPr>
          <w:p w14:paraId="0D48571B">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6993E412">
            <w:pPr>
              <w:pStyle w:val="656"/>
              <w:keepNext w:val="0"/>
              <w:keepLines w:val="0"/>
              <w:pageBreakBefore w:val="0"/>
              <w:kinsoku/>
              <w:wordWrap/>
              <w:overflowPunct/>
              <w:topLinePunct w:val="0"/>
              <w:autoSpaceDE/>
              <w:autoSpaceDN/>
              <w:bidi w:val="0"/>
              <w:adjustRightInd w:val="0"/>
              <w:snapToGrid w:val="0"/>
              <w:rPr>
                <w:rFonts w:hint="default" w:eastAsia="仿宋_GB2312"/>
                <w:color w:val="auto"/>
                <w:kern w:val="0"/>
                <w:szCs w:val="21"/>
                <w:lang w:val="en-US" w:eastAsia="zh-CN"/>
              </w:rPr>
            </w:pPr>
            <w:r>
              <w:rPr>
                <w:rFonts w:hint="eastAsia" w:eastAsia="宋体"/>
                <w:color w:val="auto"/>
                <w:kern w:val="0"/>
                <w:sz w:val="21"/>
                <w:szCs w:val="21"/>
                <w:lang w:val="en-US" w:eastAsia="zh-CN" w:bidi="ar"/>
              </w:rPr>
              <w:t>5.625</w:t>
            </w:r>
          </w:p>
        </w:tc>
        <w:tc>
          <w:tcPr>
            <w:tcW w:w="438" w:type="pct"/>
            <w:tcBorders>
              <w:tl2br w:val="nil"/>
              <w:tr2bl w:val="nil"/>
            </w:tcBorders>
            <w:vAlign w:val="center"/>
          </w:tcPr>
          <w:p w14:paraId="4D914632">
            <w:pPr>
              <w:pStyle w:val="656"/>
              <w:keepNext w:val="0"/>
              <w:keepLines w:val="0"/>
              <w:pageBreakBefore w:val="0"/>
              <w:kinsoku/>
              <w:wordWrap/>
              <w:overflowPunct/>
              <w:topLinePunct w:val="0"/>
              <w:autoSpaceDE/>
              <w:autoSpaceDN/>
              <w:bidi w:val="0"/>
              <w:adjustRightInd w:val="0"/>
              <w:snapToGrid w:val="0"/>
              <w:rPr>
                <w:rFonts w:hint="eastAsia" w:eastAsia="仿宋_GB2312"/>
                <w:color w:val="auto"/>
                <w:kern w:val="0"/>
                <w:szCs w:val="21"/>
                <w:lang w:eastAsia="zh-CN"/>
              </w:rPr>
            </w:pPr>
            <w:r>
              <w:rPr>
                <w:rFonts w:hint="eastAsia" w:eastAsia="宋体"/>
                <w:color w:val="auto"/>
                <w:kern w:val="0"/>
                <w:sz w:val="21"/>
                <w:szCs w:val="21"/>
                <w:lang w:val="en-US" w:eastAsia="zh-CN" w:bidi="ar"/>
              </w:rPr>
              <w:t>0</w:t>
            </w:r>
          </w:p>
        </w:tc>
      </w:tr>
      <w:tr w14:paraId="3A8506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tcBorders>
              <w:tl2br w:val="nil"/>
              <w:tr2bl w:val="nil"/>
            </w:tcBorders>
            <w:vAlign w:val="center"/>
          </w:tcPr>
          <w:p w14:paraId="3A850602">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z w:val="21"/>
                <w:szCs w:val="21"/>
              </w:rPr>
            </w:pPr>
            <w:r>
              <w:rPr>
                <w:rFonts w:hint="eastAsia" w:ascii="Times New Roman" w:eastAsia="宋体"/>
                <w:color w:val="auto"/>
                <w:sz w:val="21"/>
                <w:szCs w:val="21"/>
              </w:rPr>
              <w:t>生活垃圾</w:t>
            </w:r>
          </w:p>
        </w:tc>
        <w:tc>
          <w:tcPr>
            <w:tcW w:w="889" w:type="pct"/>
            <w:gridSpan w:val="2"/>
            <w:tcBorders>
              <w:tl2br w:val="nil"/>
              <w:tr2bl w:val="nil"/>
            </w:tcBorders>
            <w:vAlign w:val="center"/>
          </w:tcPr>
          <w:p w14:paraId="3A850603">
            <w:pPr>
              <w:keepNext w:val="0"/>
              <w:keepLines w:val="0"/>
              <w:pageBreakBefore w:val="0"/>
              <w:kinsoku/>
              <w:wordWrap/>
              <w:overflowPunct/>
              <w:topLinePunct w:val="0"/>
              <w:autoSpaceDE/>
              <w:autoSpaceDN/>
              <w:bidi w:val="0"/>
              <w:adjustRightInd w:val="0"/>
              <w:snapToGrid w:val="0"/>
              <w:jc w:val="center"/>
              <w:rPr>
                <w:color w:val="auto"/>
                <w:kern w:val="0"/>
              </w:rPr>
            </w:pPr>
            <w:r>
              <w:rPr>
                <w:rFonts w:hint="eastAsia"/>
                <w:color w:val="auto"/>
                <w:kern w:val="0"/>
              </w:rPr>
              <w:t>生活垃圾</w:t>
            </w:r>
          </w:p>
        </w:tc>
        <w:tc>
          <w:tcPr>
            <w:tcW w:w="398" w:type="pct"/>
            <w:tcBorders>
              <w:tl2br w:val="nil"/>
              <w:tr2bl w:val="nil"/>
            </w:tcBorders>
            <w:vAlign w:val="center"/>
          </w:tcPr>
          <w:p w14:paraId="3A850604">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kern w:val="0"/>
                <w:lang w:val="en-US" w:eastAsia="zh-CN"/>
              </w:rPr>
            </w:pPr>
            <w:r>
              <w:rPr>
                <w:rFonts w:hint="eastAsia"/>
                <w:color w:val="auto"/>
                <w:kern w:val="0"/>
                <w:lang w:val="en-US" w:eastAsia="zh-CN"/>
              </w:rPr>
              <w:t>231</w:t>
            </w:r>
          </w:p>
        </w:tc>
        <w:tc>
          <w:tcPr>
            <w:tcW w:w="448" w:type="pct"/>
            <w:tcBorders>
              <w:tl2br w:val="nil"/>
              <w:tr2bl w:val="nil"/>
            </w:tcBorders>
            <w:vAlign w:val="center"/>
          </w:tcPr>
          <w:p w14:paraId="3A850605">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498" w:type="pct"/>
            <w:tcBorders>
              <w:tl2br w:val="nil"/>
              <w:tr2bl w:val="nil"/>
            </w:tcBorders>
            <w:vAlign w:val="center"/>
          </w:tcPr>
          <w:p w14:paraId="3A850606">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17" w:type="pct"/>
            <w:tcBorders>
              <w:tl2br w:val="nil"/>
              <w:tr2bl w:val="nil"/>
            </w:tcBorders>
            <w:vAlign w:val="center"/>
          </w:tcPr>
          <w:p w14:paraId="3A850607">
            <w:pPr>
              <w:pStyle w:val="5"/>
              <w:keepNext w:val="0"/>
              <w:keepLines w:val="0"/>
              <w:pageBreakBefore w:val="0"/>
              <w:kinsoku/>
              <w:wordWrap/>
              <w:overflowPunct/>
              <w:topLinePunct w:val="0"/>
              <w:autoSpaceDE/>
              <w:autoSpaceDN/>
              <w:bidi w:val="0"/>
              <w:adjustRightInd w:val="0"/>
              <w:snapToGrid w:val="0"/>
              <w:ind w:firstLine="0"/>
              <w:jc w:val="center"/>
              <w:rPr>
                <w:rFonts w:hint="default" w:eastAsia="宋体"/>
                <w:color w:val="auto"/>
                <w:kern w:val="0"/>
                <w:szCs w:val="21"/>
                <w:lang w:val="en-US" w:eastAsia="zh-CN"/>
              </w:rPr>
            </w:pPr>
            <w:r>
              <w:rPr>
                <w:rFonts w:hint="eastAsia"/>
                <w:color w:val="auto"/>
                <w:kern w:val="0"/>
                <w:szCs w:val="21"/>
                <w:lang w:val="en-US" w:eastAsia="zh-CN"/>
              </w:rPr>
              <w:t>11.2</w:t>
            </w:r>
          </w:p>
        </w:tc>
        <w:tc>
          <w:tcPr>
            <w:tcW w:w="574" w:type="pct"/>
            <w:tcBorders>
              <w:tl2br w:val="nil"/>
              <w:tr2bl w:val="nil"/>
            </w:tcBorders>
            <w:vAlign w:val="center"/>
          </w:tcPr>
          <w:p w14:paraId="3A850608">
            <w:pPr>
              <w:keepNext w:val="0"/>
              <w:keepLines w:val="0"/>
              <w:pageBreakBefore w:val="0"/>
              <w:widowControl/>
              <w:kinsoku/>
              <w:wordWrap/>
              <w:overflowPunct/>
              <w:topLinePunct w:val="0"/>
              <w:autoSpaceDE/>
              <w:autoSpaceDN/>
              <w:bidi w:val="0"/>
              <w:adjustRightInd w:val="0"/>
              <w:snapToGrid w:val="0"/>
              <w:jc w:val="center"/>
              <w:rPr>
                <w:color w:val="auto"/>
                <w:kern w:val="0"/>
              </w:rPr>
            </w:pPr>
            <w:r>
              <w:rPr>
                <w:color w:val="auto"/>
                <w:kern w:val="0"/>
              </w:rPr>
              <w:t>/</w:t>
            </w:r>
          </w:p>
        </w:tc>
        <w:tc>
          <w:tcPr>
            <w:tcW w:w="632" w:type="pct"/>
            <w:tcBorders>
              <w:tl2br w:val="nil"/>
              <w:tr2bl w:val="nil"/>
            </w:tcBorders>
            <w:vAlign w:val="center"/>
          </w:tcPr>
          <w:p w14:paraId="3A850609">
            <w:pPr>
              <w:pStyle w:val="5"/>
              <w:keepNext w:val="0"/>
              <w:keepLines w:val="0"/>
              <w:pageBreakBefore w:val="0"/>
              <w:kinsoku/>
              <w:wordWrap/>
              <w:overflowPunct/>
              <w:topLinePunct w:val="0"/>
              <w:autoSpaceDE/>
              <w:autoSpaceDN/>
              <w:bidi w:val="0"/>
              <w:adjustRightInd w:val="0"/>
              <w:snapToGrid w:val="0"/>
              <w:ind w:firstLine="0"/>
              <w:jc w:val="center"/>
              <w:rPr>
                <w:rFonts w:hint="default" w:eastAsia="宋体"/>
                <w:color w:val="auto"/>
                <w:kern w:val="0"/>
                <w:szCs w:val="21"/>
                <w:lang w:val="en-US" w:eastAsia="zh-CN"/>
              </w:rPr>
            </w:pPr>
            <w:r>
              <w:rPr>
                <w:rFonts w:hint="eastAsia"/>
                <w:color w:val="auto"/>
                <w:kern w:val="0"/>
                <w:szCs w:val="21"/>
                <w:lang w:val="en-US" w:eastAsia="zh-CN"/>
              </w:rPr>
              <w:t>242.2</w:t>
            </w:r>
          </w:p>
        </w:tc>
        <w:tc>
          <w:tcPr>
            <w:tcW w:w="438" w:type="pct"/>
            <w:tcBorders>
              <w:tl2br w:val="nil"/>
              <w:tr2bl w:val="nil"/>
            </w:tcBorders>
            <w:vAlign w:val="center"/>
          </w:tcPr>
          <w:p w14:paraId="3A85060A">
            <w:pPr>
              <w:pStyle w:val="5"/>
              <w:keepNext w:val="0"/>
              <w:keepLines w:val="0"/>
              <w:pageBreakBefore w:val="0"/>
              <w:kinsoku/>
              <w:wordWrap/>
              <w:overflowPunct/>
              <w:topLinePunct w:val="0"/>
              <w:autoSpaceDE/>
              <w:autoSpaceDN/>
              <w:bidi w:val="0"/>
              <w:adjustRightInd w:val="0"/>
              <w:snapToGrid w:val="0"/>
              <w:ind w:firstLine="0"/>
              <w:jc w:val="center"/>
              <w:rPr>
                <w:rFonts w:hint="default" w:eastAsia="宋体"/>
                <w:color w:val="auto"/>
                <w:kern w:val="0"/>
                <w:szCs w:val="21"/>
                <w:lang w:val="en-US" w:eastAsia="zh-CN"/>
              </w:rPr>
            </w:pPr>
            <w:r>
              <w:rPr>
                <w:rFonts w:hint="eastAsia"/>
                <w:color w:val="auto"/>
                <w:kern w:val="0"/>
                <w:szCs w:val="21"/>
              </w:rPr>
              <w:t>+</w:t>
            </w:r>
            <w:r>
              <w:rPr>
                <w:rFonts w:hint="eastAsia"/>
                <w:color w:val="auto"/>
                <w:kern w:val="0"/>
                <w:szCs w:val="21"/>
                <w:lang w:val="en-US" w:eastAsia="zh-CN"/>
              </w:rPr>
              <w:t>11.2</w:t>
            </w:r>
          </w:p>
        </w:tc>
      </w:tr>
    </w:tbl>
    <w:p w14:paraId="3A85060C">
      <w:pPr>
        <w:pStyle w:val="72"/>
        <w:adjustRightInd w:val="0"/>
        <w:snapToGrid w:val="0"/>
        <w:spacing w:line="240" w:lineRule="auto"/>
        <w:rPr>
          <w:color w:val="auto"/>
          <w:spacing w:val="-16"/>
          <w:kern w:val="21"/>
          <w:sz w:val="24"/>
          <w:szCs w:val="24"/>
        </w:rPr>
      </w:pPr>
      <w:r>
        <w:rPr>
          <w:color w:val="auto"/>
          <w:kern w:val="21"/>
          <w:sz w:val="24"/>
          <w:szCs w:val="24"/>
        </w:rPr>
        <w:t>注：</w:t>
      </w:r>
      <w:r>
        <w:rPr>
          <w:color w:val="auto"/>
          <w:spacing w:val="-16"/>
          <w:kern w:val="21"/>
          <w:sz w:val="24"/>
          <w:szCs w:val="24"/>
        </w:rPr>
        <w:fldChar w:fldCharType="begin"/>
      </w:r>
      <w:r>
        <w:rPr>
          <w:color w:val="auto"/>
          <w:spacing w:val="-16"/>
          <w:kern w:val="21"/>
          <w:sz w:val="24"/>
          <w:szCs w:val="24"/>
        </w:rPr>
        <w:instrText xml:space="preserve"> = 6 \* GB3 \* MERGEFORMAT </w:instrText>
      </w:r>
      <w:r>
        <w:rPr>
          <w:color w:val="auto"/>
          <w:spacing w:val="-16"/>
          <w:kern w:val="21"/>
          <w:sz w:val="24"/>
          <w:szCs w:val="24"/>
        </w:rPr>
        <w:fldChar w:fldCharType="separate"/>
      </w:r>
      <w:r>
        <w:rPr>
          <w:color w:val="auto"/>
          <w:sz w:val="24"/>
          <w:szCs w:val="24"/>
        </w:rPr>
        <w:t>⑥</w:t>
      </w:r>
      <w:r>
        <w:rPr>
          <w:color w:val="auto"/>
          <w:spacing w:val="-16"/>
          <w:kern w:val="21"/>
          <w:sz w:val="24"/>
          <w:szCs w:val="24"/>
        </w:rPr>
        <w:fldChar w:fldCharType="end"/>
      </w:r>
      <w:r>
        <w:rPr>
          <w:color w:val="auto"/>
          <w:spacing w:val="-16"/>
          <w:kern w:val="21"/>
          <w:sz w:val="24"/>
          <w:szCs w:val="24"/>
        </w:rPr>
        <w:t>=</w:t>
      </w:r>
      <w:r>
        <w:rPr>
          <w:color w:val="auto"/>
          <w:spacing w:val="-6"/>
          <w:kern w:val="21"/>
          <w:sz w:val="24"/>
          <w:szCs w:val="24"/>
        </w:rPr>
        <w:fldChar w:fldCharType="begin"/>
      </w:r>
      <w:r>
        <w:rPr>
          <w:color w:val="auto"/>
          <w:spacing w:val="-6"/>
          <w:kern w:val="21"/>
          <w:sz w:val="24"/>
          <w:szCs w:val="24"/>
        </w:rPr>
        <w:instrText xml:space="preserve"> = 1 \* GB3 \* MERGEFORMAT </w:instrText>
      </w:r>
      <w:r>
        <w:rPr>
          <w:color w:val="auto"/>
          <w:spacing w:val="-6"/>
          <w:kern w:val="21"/>
          <w:sz w:val="24"/>
          <w:szCs w:val="24"/>
        </w:rPr>
        <w:fldChar w:fldCharType="separate"/>
      </w:r>
      <w:r>
        <w:rPr>
          <w:color w:val="auto"/>
          <w:sz w:val="24"/>
          <w:szCs w:val="24"/>
        </w:rPr>
        <w:t>①</w:t>
      </w:r>
      <w:r>
        <w:rPr>
          <w:color w:val="auto"/>
          <w:spacing w:val="-6"/>
          <w:kern w:val="21"/>
          <w:sz w:val="24"/>
          <w:szCs w:val="24"/>
        </w:rPr>
        <w:fldChar w:fldCharType="end"/>
      </w:r>
      <w:r>
        <w:rPr>
          <w:color w:val="auto"/>
          <w:spacing w:val="-6"/>
          <w:kern w:val="21"/>
          <w:sz w:val="24"/>
          <w:szCs w:val="24"/>
        </w:rPr>
        <w:t>+</w:t>
      </w:r>
      <w:r>
        <w:rPr>
          <w:color w:val="auto"/>
          <w:spacing w:val="-6"/>
          <w:kern w:val="21"/>
          <w:sz w:val="24"/>
          <w:szCs w:val="24"/>
        </w:rPr>
        <w:fldChar w:fldCharType="begin"/>
      </w:r>
      <w:r>
        <w:rPr>
          <w:color w:val="auto"/>
          <w:spacing w:val="-6"/>
          <w:kern w:val="21"/>
          <w:sz w:val="24"/>
          <w:szCs w:val="24"/>
        </w:rPr>
        <w:instrText xml:space="preserve"> = 3 \* GB3 \* MERGEFORMAT </w:instrText>
      </w:r>
      <w:r>
        <w:rPr>
          <w:color w:val="auto"/>
          <w:spacing w:val="-6"/>
          <w:kern w:val="21"/>
          <w:sz w:val="24"/>
          <w:szCs w:val="24"/>
        </w:rPr>
        <w:fldChar w:fldCharType="separate"/>
      </w:r>
      <w:r>
        <w:rPr>
          <w:color w:val="auto"/>
          <w:sz w:val="24"/>
          <w:szCs w:val="24"/>
        </w:rPr>
        <w:t>③</w:t>
      </w:r>
      <w:r>
        <w:rPr>
          <w:color w:val="auto"/>
          <w:spacing w:val="-6"/>
          <w:kern w:val="21"/>
          <w:sz w:val="24"/>
          <w:szCs w:val="24"/>
        </w:rPr>
        <w:fldChar w:fldCharType="end"/>
      </w:r>
      <w:r>
        <w:rPr>
          <w:color w:val="auto"/>
          <w:spacing w:val="-6"/>
          <w:kern w:val="21"/>
          <w:sz w:val="24"/>
          <w:szCs w:val="24"/>
        </w:rPr>
        <w:t>+</w:t>
      </w:r>
      <w:r>
        <w:rPr>
          <w:color w:val="auto"/>
          <w:spacing w:val="-6"/>
          <w:kern w:val="21"/>
          <w:sz w:val="24"/>
          <w:szCs w:val="24"/>
        </w:rPr>
        <w:fldChar w:fldCharType="begin"/>
      </w:r>
      <w:r>
        <w:rPr>
          <w:color w:val="auto"/>
          <w:spacing w:val="-6"/>
          <w:kern w:val="21"/>
          <w:sz w:val="24"/>
          <w:szCs w:val="24"/>
        </w:rPr>
        <w:instrText xml:space="preserve"> = 4 \* GB3 \* MERGEFORMAT </w:instrText>
      </w:r>
      <w:r>
        <w:rPr>
          <w:color w:val="auto"/>
          <w:spacing w:val="-6"/>
          <w:kern w:val="21"/>
          <w:sz w:val="24"/>
          <w:szCs w:val="24"/>
        </w:rPr>
        <w:fldChar w:fldCharType="separate"/>
      </w:r>
      <w:r>
        <w:rPr>
          <w:color w:val="auto"/>
          <w:sz w:val="24"/>
          <w:szCs w:val="24"/>
        </w:rPr>
        <w:t>④</w:t>
      </w:r>
      <w:r>
        <w:rPr>
          <w:color w:val="auto"/>
          <w:spacing w:val="-6"/>
          <w:kern w:val="21"/>
          <w:sz w:val="24"/>
          <w:szCs w:val="24"/>
        </w:rPr>
        <w:fldChar w:fldCharType="end"/>
      </w:r>
      <w:r>
        <w:rPr>
          <w:color w:val="auto"/>
          <w:spacing w:val="-6"/>
          <w:kern w:val="21"/>
          <w:sz w:val="24"/>
          <w:szCs w:val="24"/>
        </w:rPr>
        <w:t>-</w:t>
      </w:r>
      <w:r>
        <w:rPr>
          <w:color w:val="auto"/>
          <w:spacing w:val="-16"/>
          <w:kern w:val="21"/>
          <w:sz w:val="24"/>
          <w:szCs w:val="24"/>
        </w:rPr>
        <w:fldChar w:fldCharType="begin"/>
      </w:r>
      <w:r>
        <w:rPr>
          <w:color w:val="auto"/>
          <w:spacing w:val="-16"/>
          <w:kern w:val="21"/>
          <w:sz w:val="24"/>
          <w:szCs w:val="24"/>
        </w:rPr>
        <w:instrText xml:space="preserve"> = 5 \* GB3 \* MERGEFORMAT </w:instrText>
      </w:r>
      <w:r>
        <w:rPr>
          <w:color w:val="auto"/>
          <w:spacing w:val="-16"/>
          <w:kern w:val="21"/>
          <w:sz w:val="24"/>
          <w:szCs w:val="24"/>
        </w:rPr>
        <w:fldChar w:fldCharType="separate"/>
      </w:r>
      <w:r>
        <w:rPr>
          <w:color w:val="auto"/>
          <w:sz w:val="24"/>
          <w:szCs w:val="24"/>
        </w:rPr>
        <w:t>⑤</w:t>
      </w:r>
      <w:r>
        <w:rPr>
          <w:color w:val="auto"/>
          <w:spacing w:val="-16"/>
          <w:kern w:val="21"/>
          <w:sz w:val="24"/>
          <w:szCs w:val="24"/>
        </w:rPr>
        <w:fldChar w:fldCharType="end"/>
      </w:r>
      <w:r>
        <w:rPr>
          <w:color w:val="auto"/>
          <w:spacing w:val="-16"/>
          <w:kern w:val="21"/>
          <w:sz w:val="24"/>
          <w:szCs w:val="24"/>
        </w:rPr>
        <w:t>；</w:t>
      </w:r>
      <w:r>
        <w:rPr>
          <w:color w:val="auto"/>
          <w:spacing w:val="-6"/>
          <w:kern w:val="21"/>
          <w:sz w:val="24"/>
          <w:szCs w:val="24"/>
        </w:rPr>
        <w:fldChar w:fldCharType="begin"/>
      </w:r>
      <w:r>
        <w:rPr>
          <w:color w:val="auto"/>
          <w:spacing w:val="-6"/>
          <w:kern w:val="21"/>
          <w:sz w:val="24"/>
          <w:szCs w:val="24"/>
        </w:rPr>
        <w:instrText xml:space="preserve"> = 7 \* GB3 \* MERGEFORMAT </w:instrText>
      </w:r>
      <w:r>
        <w:rPr>
          <w:color w:val="auto"/>
          <w:spacing w:val="-6"/>
          <w:kern w:val="21"/>
          <w:sz w:val="24"/>
          <w:szCs w:val="24"/>
        </w:rPr>
        <w:fldChar w:fldCharType="separate"/>
      </w:r>
      <w:r>
        <w:rPr>
          <w:color w:val="auto"/>
          <w:sz w:val="24"/>
          <w:szCs w:val="24"/>
        </w:rPr>
        <w:t>⑦</w:t>
      </w:r>
      <w:r>
        <w:rPr>
          <w:color w:val="auto"/>
          <w:spacing w:val="-6"/>
          <w:kern w:val="21"/>
          <w:sz w:val="24"/>
          <w:szCs w:val="24"/>
        </w:rPr>
        <w:fldChar w:fldCharType="end"/>
      </w:r>
      <w:r>
        <w:rPr>
          <w:color w:val="auto"/>
          <w:spacing w:val="-6"/>
          <w:kern w:val="21"/>
          <w:sz w:val="24"/>
          <w:szCs w:val="24"/>
        </w:rPr>
        <w:t>=</w:t>
      </w:r>
      <w:r>
        <w:rPr>
          <w:color w:val="auto"/>
          <w:spacing w:val="-16"/>
          <w:kern w:val="21"/>
          <w:sz w:val="24"/>
          <w:szCs w:val="24"/>
        </w:rPr>
        <w:fldChar w:fldCharType="begin"/>
      </w:r>
      <w:r>
        <w:rPr>
          <w:color w:val="auto"/>
          <w:spacing w:val="-16"/>
          <w:kern w:val="21"/>
          <w:sz w:val="24"/>
          <w:szCs w:val="24"/>
        </w:rPr>
        <w:instrText xml:space="preserve"> = 6 \* GB3 \* MERGEFORMAT </w:instrText>
      </w:r>
      <w:r>
        <w:rPr>
          <w:color w:val="auto"/>
          <w:spacing w:val="-16"/>
          <w:kern w:val="21"/>
          <w:sz w:val="24"/>
          <w:szCs w:val="24"/>
        </w:rPr>
        <w:fldChar w:fldCharType="separate"/>
      </w:r>
      <w:r>
        <w:rPr>
          <w:color w:val="auto"/>
          <w:sz w:val="24"/>
          <w:szCs w:val="24"/>
        </w:rPr>
        <w:t>⑥</w:t>
      </w:r>
      <w:r>
        <w:rPr>
          <w:color w:val="auto"/>
          <w:spacing w:val="-16"/>
          <w:kern w:val="21"/>
          <w:sz w:val="24"/>
          <w:szCs w:val="24"/>
        </w:rPr>
        <w:fldChar w:fldCharType="end"/>
      </w:r>
      <w:r>
        <w:rPr>
          <w:rFonts w:hint="eastAsia"/>
          <w:color w:val="auto"/>
          <w:spacing w:val="-16"/>
          <w:kern w:val="21"/>
          <w:sz w:val="24"/>
          <w:szCs w:val="24"/>
        </w:rPr>
        <w:t>-①</w:t>
      </w:r>
    </w:p>
    <w:p w14:paraId="3A85060D">
      <w:pPr>
        <w:pStyle w:val="72"/>
        <w:rPr>
          <w:color w:val="auto"/>
          <w:spacing w:val="-16"/>
          <w:kern w:val="21"/>
          <w:sz w:val="24"/>
          <w:szCs w:val="24"/>
        </w:rPr>
      </w:pPr>
    </w:p>
    <w:p w14:paraId="3A85060E">
      <w:pPr>
        <w:pStyle w:val="72"/>
        <w:rPr>
          <w:color w:val="auto"/>
          <w:spacing w:val="-16"/>
          <w:kern w:val="21"/>
          <w:sz w:val="24"/>
          <w:szCs w:val="24"/>
        </w:rPr>
      </w:pPr>
    </w:p>
    <w:p w14:paraId="3A85060F">
      <w:pPr>
        <w:pStyle w:val="72"/>
        <w:rPr>
          <w:color w:val="auto"/>
          <w:spacing w:val="-16"/>
          <w:kern w:val="21"/>
          <w:sz w:val="24"/>
          <w:szCs w:val="24"/>
        </w:rPr>
      </w:pPr>
    </w:p>
    <w:p w14:paraId="3A850610">
      <w:pPr>
        <w:pStyle w:val="72"/>
        <w:rPr>
          <w:color w:val="auto"/>
          <w:spacing w:val="-16"/>
          <w:kern w:val="21"/>
          <w:sz w:val="24"/>
          <w:szCs w:val="24"/>
        </w:rPr>
      </w:pPr>
    </w:p>
    <w:p w14:paraId="3A850611">
      <w:pPr>
        <w:pStyle w:val="72"/>
        <w:rPr>
          <w:color w:val="auto"/>
          <w:spacing w:val="-16"/>
          <w:kern w:val="21"/>
          <w:sz w:val="24"/>
          <w:szCs w:val="24"/>
        </w:rPr>
      </w:pPr>
    </w:p>
    <w:p w14:paraId="3A850612">
      <w:pPr>
        <w:rPr>
          <w:color w:val="auto"/>
          <w:spacing w:val="-16"/>
          <w:kern w:val="21"/>
          <w:sz w:val="24"/>
          <w:szCs w:val="24"/>
        </w:rPr>
      </w:pPr>
      <w:r>
        <w:rPr>
          <w:color w:val="auto"/>
          <w:spacing w:val="-16"/>
          <w:kern w:val="21"/>
          <w:sz w:val="24"/>
          <w:szCs w:val="24"/>
        </w:rPr>
        <w:br w:type="page"/>
      </w:r>
    </w:p>
    <w:p w14:paraId="788B0846">
      <w:pPr>
        <w:pStyle w:val="72"/>
        <w:rPr>
          <w:color w:val="auto"/>
          <w:spacing w:val="-16"/>
          <w:kern w:val="21"/>
          <w:sz w:val="24"/>
          <w:szCs w:val="24"/>
        </w:rPr>
      </w:pPr>
    </w:p>
    <w:p w14:paraId="0796567B">
      <w:pPr>
        <w:pStyle w:val="72"/>
        <w:rPr>
          <w:color w:val="auto"/>
          <w:spacing w:val="-16"/>
          <w:kern w:val="21"/>
          <w:sz w:val="24"/>
          <w:szCs w:val="24"/>
        </w:rPr>
        <w:sectPr>
          <w:footerReference r:id="rId6" w:type="default"/>
          <w:pgSz w:w="16838" w:h="11906" w:orient="landscape"/>
          <w:pgMar w:top="1803" w:right="1440" w:bottom="1803" w:left="1440" w:header="851" w:footer="992" w:gutter="0"/>
          <w:pgBorders>
            <w:top w:val="none" w:sz="0" w:space="0"/>
            <w:left w:val="none" w:sz="0" w:space="0"/>
            <w:bottom w:val="none" w:sz="0" w:space="0"/>
            <w:right w:val="none" w:sz="0" w:space="0"/>
          </w:pgBorders>
          <w:cols w:space="720" w:num="1"/>
          <w:docGrid w:type="lines" w:linePitch="319" w:charSpace="0"/>
        </w:sectPr>
      </w:pPr>
    </w:p>
    <w:p w14:paraId="3A850614">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b/>
          <w:bCs/>
          <w:color w:val="auto"/>
        </w:rPr>
      </w:pPr>
      <w:bookmarkStart w:id="34" w:name="_Toc31937"/>
      <w:bookmarkStart w:id="35" w:name="_Toc137559026"/>
      <w:r>
        <w:rPr>
          <w:b/>
          <w:bCs/>
          <w:color w:val="auto"/>
        </w:rPr>
        <w:t>附图</w:t>
      </w:r>
      <w:bookmarkEnd w:id="34"/>
      <w:bookmarkEnd w:id="35"/>
    </w:p>
    <w:p w14:paraId="3A850615">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bookmarkStart w:id="36" w:name="_Toc16842"/>
      <w:bookmarkStart w:id="37" w:name="_Toc5636"/>
      <w:bookmarkStart w:id="38" w:name="_Toc137559027"/>
      <w:r>
        <w:rPr>
          <w:color w:val="auto"/>
        </w:rPr>
        <w:t>1、项目所在地示意图</w:t>
      </w:r>
    </w:p>
    <w:p w14:paraId="3A850616">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color w:val="auto"/>
        </w:rPr>
        <w:t>2、项目周边500</w:t>
      </w:r>
      <w:r>
        <w:rPr>
          <w:rFonts w:hint="eastAsia"/>
          <w:color w:val="auto"/>
          <w:lang w:val="en-US" w:eastAsia="zh-CN"/>
        </w:rPr>
        <w:t>m</w:t>
      </w:r>
      <w:r>
        <w:rPr>
          <w:color w:val="auto"/>
        </w:rPr>
        <w:t>概况图</w:t>
      </w:r>
    </w:p>
    <w:p w14:paraId="3A850617">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color w:val="auto"/>
        </w:rPr>
        <w:t>3、厂区平面布置图</w:t>
      </w:r>
    </w:p>
    <w:p w14:paraId="3A850618">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rFonts w:hint="eastAsia"/>
          <w:color w:val="auto"/>
        </w:rPr>
        <w:t>4、</w:t>
      </w:r>
      <w:r>
        <w:rPr>
          <w:rFonts w:hint="eastAsia"/>
          <w:color w:val="auto"/>
          <w:lang w:val="en-US" w:eastAsia="zh-CN"/>
        </w:rPr>
        <w:t>薛埠产业新镇总体规划</w:t>
      </w:r>
      <w:r>
        <w:rPr>
          <w:rFonts w:hint="eastAsia"/>
          <w:color w:val="auto"/>
        </w:rPr>
        <w:t>图</w:t>
      </w:r>
    </w:p>
    <w:p w14:paraId="3A85061A">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rFonts w:hint="eastAsia"/>
          <w:color w:val="auto"/>
        </w:rPr>
        <w:t>5</w:t>
      </w:r>
      <w:r>
        <w:rPr>
          <w:color w:val="auto"/>
        </w:rPr>
        <w:t>、</w:t>
      </w:r>
      <w:r>
        <w:rPr>
          <w:rFonts w:hint="eastAsia"/>
          <w:color w:val="auto"/>
        </w:rPr>
        <w:t>常州市</w:t>
      </w:r>
      <w:r>
        <w:rPr>
          <w:color w:val="auto"/>
        </w:rPr>
        <w:t>生态空间</w:t>
      </w:r>
      <w:r>
        <w:rPr>
          <w:rFonts w:hint="eastAsia"/>
          <w:color w:val="auto"/>
        </w:rPr>
        <w:t>保护</w:t>
      </w:r>
      <w:r>
        <w:rPr>
          <w:color w:val="auto"/>
        </w:rPr>
        <w:t>区域</w:t>
      </w:r>
      <w:r>
        <w:rPr>
          <w:rFonts w:hint="eastAsia"/>
          <w:color w:val="auto"/>
        </w:rPr>
        <w:t>分布</w:t>
      </w:r>
      <w:r>
        <w:rPr>
          <w:color w:val="auto"/>
        </w:rPr>
        <w:t>图</w:t>
      </w:r>
    </w:p>
    <w:p w14:paraId="261A2F4C">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eastAsia="宋体"/>
          <w:color w:val="auto"/>
          <w:lang w:val="en-US" w:eastAsia="zh-CN"/>
        </w:rPr>
      </w:pPr>
      <w:r>
        <w:rPr>
          <w:rFonts w:hint="eastAsia"/>
          <w:color w:val="auto"/>
          <w:lang w:val="en-US" w:eastAsia="zh-CN"/>
        </w:rPr>
        <w:t>6、周边水系图</w:t>
      </w:r>
    </w:p>
    <w:p w14:paraId="3A85061B">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rFonts w:hint="eastAsia"/>
          <w:color w:val="auto"/>
        </w:rPr>
        <w:t>7、</w:t>
      </w:r>
      <w:r>
        <w:rPr>
          <w:rFonts w:hint="eastAsia"/>
          <w:color w:val="auto"/>
          <w:lang w:val="en-US" w:eastAsia="zh-CN"/>
        </w:rPr>
        <w:t>市域国土空间控制线规划</w:t>
      </w:r>
      <w:r>
        <w:rPr>
          <w:rFonts w:hint="eastAsia"/>
          <w:color w:val="auto"/>
        </w:rPr>
        <w:t>图</w:t>
      </w:r>
    </w:p>
    <w:p w14:paraId="3A85061C">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rPr>
      </w:pPr>
      <w:r>
        <w:rPr>
          <w:rFonts w:hint="eastAsia"/>
          <w:color w:val="auto"/>
        </w:rPr>
        <w:t>8、</w:t>
      </w:r>
      <w:r>
        <w:rPr>
          <w:rFonts w:hint="eastAsia"/>
          <w:color w:val="auto"/>
          <w:lang w:val="en-US" w:eastAsia="zh-CN"/>
        </w:rPr>
        <w:t>市辖区国土空间规划分区</w:t>
      </w:r>
      <w:r>
        <w:rPr>
          <w:rFonts w:hint="eastAsia"/>
          <w:color w:val="auto"/>
        </w:rPr>
        <w:t>图</w:t>
      </w:r>
    </w:p>
    <w:p w14:paraId="6E2ADFE9">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eastAsia="宋体"/>
          <w:color w:val="auto"/>
          <w:lang w:val="en-US" w:eastAsia="zh-CN"/>
        </w:rPr>
      </w:pPr>
      <w:r>
        <w:rPr>
          <w:rFonts w:hint="eastAsia"/>
          <w:color w:val="auto"/>
          <w:lang w:val="en-US" w:eastAsia="zh-CN"/>
        </w:rPr>
        <w:t>9、环境风险空间分布图</w:t>
      </w:r>
    </w:p>
    <w:p w14:paraId="3A85061D">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color w:val="auto"/>
        </w:rPr>
      </w:pPr>
      <w:r>
        <w:rPr>
          <w:b/>
          <w:bCs/>
          <w:color w:val="auto"/>
        </w:rPr>
        <w:t>附件</w:t>
      </w:r>
      <w:bookmarkEnd w:id="36"/>
      <w:bookmarkEnd w:id="37"/>
      <w:bookmarkEnd w:id="38"/>
    </w:p>
    <w:p w14:paraId="3A85061E">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color w:val="auto"/>
        </w:rPr>
        <w:t>1、</w:t>
      </w:r>
      <w:r>
        <w:rPr>
          <w:rFonts w:hint="eastAsia"/>
          <w:color w:val="auto"/>
          <w:lang w:val="en-US" w:eastAsia="zh-CN"/>
        </w:rPr>
        <w:t>薛埠工业园区回顾性评价批复</w:t>
      </w:r>
    </w:p>
    <w:p w14:paraId="3A85061F">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color w:val="auto"/>
        </w:rPr>
        <w:t>2、备案证</w:t>
      </w:r>
    </w:p>
    <w:p w14:paraId="3A850620">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color w:val="auto"/>
        </w:rPr>
        <w:t>3、营业执照</w:t>
      </w:r>
    </w:p>
    <w:p w14:paraId="3A850621">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color w:val="auto"/>
        </w:rPr>
        <w:t>4、法人身份证</w:t>
      </w:r>
    </w:p>
    <w:p w14:paraId="3A850623">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color w:val="auto"/>
        </w:rPr>
        <w:t>5、不动产权证</w:t>
      </w:r>
    </w:p>
    <w:p w14:paraId="3A850624">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rFonts w:hint="eastAsia"/>
          <w:color w:val="auto"/>
          <w:lang w:val="en-US" w:eastAsia="zh-CN"/>
        </w:rPr>
        <w:t>6</w:t>
      </w:r>
      <w:r>
        <w:rPr>
          <w:color w:val="auto"/>
        </w:rPr>
        <w:t>、环评公示</w:t>
      </w:r>
    </w:p>
    <w:p w14:paraId="3A850625">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rFonts w:hint="eastAsia"/>
          <w:color w:val="auto"/>
          <w:lang w:val="en-US" w:eastAsia="zh-CN"/>
        </w:rPr>
        <w:t>7</w:t>
      </w:r>
      <w:r>
        <w:rPr>
          <w:color w:val="auto"/>
        </w:rPr>
        <w:t>、咨询合同</w:t>
      </w:r>
    </w:p>
    <w:p w14:paraId="3A850626">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rFonts w:hint="eastAsia"/>
          <w:color w:val="auto"/>
          <w:lang w:val="en-US" w:eastAsia="zh-CN"/>
        </w:rPr>
        <w:t>8</w:t>
      </w:r>
      <w:r>
        <w:rPr>
          <w:color w:val="auto"/>
        </w:rPr>
        <w:t>、工程师现场踏勘照片</w:t>
      </w:r>
    </w:p>
    <w:p w14:paraId="3A850627">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rFonts w:hint="eastAsia"/>
          <w:color w:val="auto"/>
          <w:lang w:val="en-US" w:eastAsia="zh-CN"/>
        </w:rPr>
        <w:t>9</w:t>
      </w:r>
      <w:r>
        <w:rPr>
          <w:color w:val="auto"/>
        </w:rPr>
        <w:t>、</w:t>
      </w:r>
      <w:r>
        <w:rPr>
          <w:rFonts w:hint="eastAsia"/>
          <w:color w:val="auto"/>
        </w:rPr>
        <w:t>现状</w:t>
      </w:r>
      <w:r>
        <w:rPr>
          <w:color w:val="auto"/>
        </w:rPr>
        <w:t>检测报告</w:t>
      </w:r>
      <w:r>
        <w:rPr>
          <w:rFonts w:hint="eastAsia"/>
          <w:color w:val="auto"/>
        </w:rPr>
        <w:t>和引用说明</w:t>
      </w:r>
    </w:p>
    <w:p w14:paraId="3A850628">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color w:val="auto"/>
        </w:rPr>
        <w:t>1</w:t>
      </w:r>
      <w:r>
        <w:rPr>
          <w:rFonts w:hint="eastAsia"/>
          <w:color w:val="auto"/>
          <w:lang w:val="en-US" w:eastAsia="zh-CN"/>
        </w:rPr>
        <w:t>0</w:t>
      </w:r>
      <w:r>
        <w:rPr>
          <w:color w:val="auto"/>
        </w:rPr>
        <w:t>、环境影响评价委托书</w:t>
      </w:r>
    </w:p>
    <w:p w14:paraId="3A850629">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color w:val="auto"/>
        </w:rPr>
        <w:t>1</w:t>
      </w:r>
      <w:r>
        <w:rPr>
          <w:rFonts w:hint="eastAsia"/>
          <w:color w:val="auto"/>
          <w:lang w:val="en-US" w:eastAsia="zh-CN"/>
        </w:rPr>
        <w:t>1</w:t>
      </w:r>
      <w:r>
        <w:rPr>
          <w:color w:val="auto"/>
        </w:rPr>
        <w:t>、建设单位承诺函</w:t>
      </w:r>
    </w:p>
    <w:p w14:paraId="3A85062A">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color w:val="auto"/>
        </w:rPr>
        <w:t>1</w:t>
      </w:r>
      <w:r>
        <w:rPr>
          <w:rFonts w:hint="eastAsia"/>
          <w:color w:val="auto"/>
          <w:lang w:val="en-US" w:eastAsia="zh-CN"/>
        </w:rPr>
        <w:t>2</w:t>
      </w:r>
      <w:r>
        <w:rPr>
          <w:color w:val="auto"/>
        </w:rPr>
        <w:t>、建设单位环评单位承诺函</w:t>
      </w:r>
    </w:p>
    <w:p w14:paraId="3A85062B">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color w:val="auto"/>
        </w:rPr>
        <w:t>1</w:t>
      </w:r>
      <w:r>
        <w:rPr>
          <w:rFonts w:hint="eastAsia"/>
          <w:color w:val="auto"/>
          <w:lang w:val="en-US" w:eastAsia="zh-CN"/>
        </w:rPr>
        <w:t>3</w:t>
      </w:r>
      <w:r>
        <w:rPr>
          <w:color w:val="auto"/>
        </w:rPr>
        <w:t>、声明确认单</w:t>
      </w:r>
    </w:p>
    <w:p w14:paraId="3A85062C">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eastAsia="宋体"/>
          <w:color w:val="auto"/>
          <w:lang w:val="en-US" w:eastAsia="zh-CN"/>
        </w:rPr>
      </w:pPr>
      <w:r>
        <w:rPr>
          <w:color w:val="auto"/>
        </w:rPr>
        <w:t>1</w:t>
      </w:r>
      <w:r>
        <w:rPr>
          <w:rFonts w:hint="eastAsia"/>
          <w:color w:val="auto"/>
          <w:lang w:val="en-US" w:eastAsia="zh-CN"/>
        </w:rPr>
        <w:t>4</w:t>
      </w:r>
      <w:r>
        <w:rPr>
          <w:color w:val="auto"/>
        </w:rPr>
        <w:t>、</w:t>
      </w:r>
      <w:r>
        <w:rPr>
          <w:rFonts w:hint="eastAsia"/>
          <w:color w:val="auto"/>
          <w:lang w:val="en-US" w:eastAsia="zh-CN"/>
        </w:rPr>
        <w:t>污水接管协议</w:t>
      </w:r>
    </w:p>
    <w:p w14:paraId="3A85062D">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eastAsia="宋体"/>
          <w:color w:val="auto"/>
          <w:lang w:eastAsia="zh-CN"/>
        </w:rPr>
      </w:pPr>
      <w:r>
        <w:rPr>
          <w:rFonts w:hint="eastAsia"/>
          <w:color w:val="auto"/>
        </w:rPr>
        <w:t>1</w:t>
      </w:r>
      <w:r>
        <w:rPr>
          <w:rFonts w:hint="eastAsia"/>
          <w:color w:val="auto"/>
          <w:lang w:val="en-US" w:eastAsia="zh-CN"/>
        </w:rPr>
        <w:t>5</w:t>
      </w:r>
      <w:r>
        <w:rPr>
          <w:rFonts w:hint="eastAsia"/>
          <w:color w:val="auto"/>
        </w:rPr>
        <w:t>、</w:t>
      </w:r>
      <w:r>
        <w:rPr>
          <w:rFonts w:hint="eastAsia"/>
          <w:color w:val="auto"/>
          <w:lang w:val="en-US" w:eastAsia="zh-CN"/>
        </w:rPr>
        <w:t>茅东污水处理厂批复</w:t>
      </w:r>
    </w:p>
    <w:p w14:paraId="3A85062E">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rPr>
        <w:t>1</w:t>
      </w:r>
      <w:r>
        <w:rPr>
          <w:rFonts w:hint="eastAsia"/>
          <w:color w:val="auto"/>
          <w:lang w:val="en-US" w:eastAsia="zh-CN"/>
        </w:rPr>
        <w:t>6</w:t>
      </w:r>
      <w:r>
        <w:rPr>
          <w:rFonts w:hint="eastAsia"/>
          <w:color w:val="auto"/>
        </w:rPr>
        <w:t>、</w:t>
      </w:r>
      <w:r>
        <w:rPr>
          <w:rFonts w:hint="eastAsia"/>
          <w:color w:val="auto"/>
          <w:lang w:val="en-US" w:eastAsia="zh-CN"/>
        </w:rPr>
        <w:t>往期环保手续</w:t>
      </w:r>
    </w:p>
    <w:p w14:paraId="118B3B98">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17、咨询建言</w:t>
      </w:r>
    </w:p>
    <w:p w14:paraId="356FB3CC">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18、情况说明、照片、采购合同、安装方案</w:t>
      </w:r>
    </w:p>
    <w:p w14:paraId="6FE9F04A">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rFonts w:hint="eastAsia"/>
          <w:color w:val="auto"/>
          <w:lang w:val="en-US" w:eastAsia="zh-CN"/>
        </w:rPr>
        <w:t>19、排污许可证</w:t>
      </w:r>
    </w:p>
    <w:p w14:paraId="4411E54D">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olor w:val="auto"/>
          <w:lang w:val="en-US" w:eastAsia="zh-CN"/>
        </w:rPr>
      </w:pPr>
      <w:r>
        <w:rPr>
          <w:rFonts w:hint="eastAsia"/>
          <w:color w:val="auto"/>
          <w:lang w:val="en-US" w:eastAsia="zh-CN"/>
        </w:rPr>
        <w:t>20、突发环境事件应急预案备案表</w:t>
      </w:r>
    </w:p>
    <w:p w14:paraId="6E009203">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olor w:val="auto"/>
          <w:lang w:val="en-US" w:eastAsia="zh-CN"/>
        </w:rPr>
      </w:pPr>
      <w:r>
        <w:rPr>
          <w:rFonts w:hint="eastAsia"/>
          <w:color w:val="auto"/>
          <w:lang w:val="en-US" w:eastAsia="zh-CN"/>
        </w:rPr>
        <w:t>21、危废协议</w:t>
      </w:r>
    </w:p>
    <w:p w14:paraId="457FD305">
      <w:pPr>
        <w:pStyle w:val="7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olor w:val="auto"/>
          <w:lang w:val="en-US" w:eastAsia="zh-CN"/>
        </w:rPr>
      </w:pPr>
      <w:r>
        <w:rPr>
          <w:rFonts w:hint="eastAsia"/>
          <w:color w:val="auto"/>
          <w:lang w:val="en-US" w:eastAsia="zh-CN"/>
        </w:rPr>
        <w:t>22、相关MSDS及检测报告</w:t>
      </w:r>
    </w:p>
    <w:p w14:paraId="3D5D40D1">
      <w:pPr>
        <w:adjustRightInd w:val="0"/>
        <w:snapToGrid w:val="0"/>
        <w:spacing w:line="360" w:lineRule="auto"/>
        <w:rPr>
          <w:rFonts w:hint="default" w:eastAsia="宋体"/>
          <w:color w:val="auto"/>
          <w:lang w:val="en-US" w:eastAsia="zh-CN"/>
        </w:rPr>
      </w:pPr>
      <w:r>
        <w:rPr>
          <w:rFonts w:hint="eastAsia"/>
          <w:color w:val="auto"/>
          <w:lang w:val="en-US" w:eastAsia="zh-CN"/>
        </w:rPr>
        <w:t>23、专家意见及修改清单</w:t>
      </w:r>
    </w:p>
    <w:sectPr>
      <w:pgSz w:w="11906" w:h="16838"/>
      <w:pgMar w:top="1440" w:right="1803" w:bottom="1440" w:left="1803" w:header="851" w:footer="992" w:gutter="0"/>
      <w:pgBorders>
        <w:top w:val="none" w:sz="0" w:space="0"/>
        <w:left w:val="none" w:sz="0" w:space="0"/>
        <w:bottom w:val="none" w:sz="0" w:space="0"/>
        <w:right w:val="none" w:sz="0" w:space="0"/>
      </w:pgBorders>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 w:name="Arial Unicode MS">
    <w:altName w:val="宋体"/>
    <w:panose1 w:val="020B0604020202020204"/>
    <w:charset w:val="86"/>
    <w:family w:val="swiss"/>
    <w:pitch w:val="default"/>
    <w:sig w:usb0="00000000" w:usb1="00000000" w:usb2="0000007F" w:usb3="00000000" w:csb0="203F01FF" w:csb1="DFFF0000"/>
  </w:font>
  <w:font w:name="Calibri Light">
    <w:panose1 w:val="020F0302020204030204"/>
    <w:charset w:val="00"/>
    <w:family w:val="swiss"/>
    <w:pitch w:val="default"/>
    <w:sig w:usb0="A00002EF" w:usb1="4000207B" w:usb2="00000000" w:usb3="00000000" w:csb0="2000019F" w:csb1="00000000"/>
  </w:font>
  <w:font w:name="新宋体">
    <w:panose1 w:val="02010609030101010101"/>
    <w:charset w:val="86"/>
    <w:family w:val="modern"/>
    <w:pitch w:val="default"/>
    <w:sig w:usb0="00000003" w:usb1="288F0000" w:usb2="00000006" w:usb3="00000000" w:csb0="00040001" w:csb1="00000000"/>
  </w:font>
  <w:font w:name="time">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imesNewRomanPSMT">
    <w:altName w:val="Times New Roman"/>
    <w:panose1 w:val="00000000000000000000"/>
    <w:charset w:val="00"/>
    <w:family w:val="auto"/>
    <w:pitch w:val="default"/>
    <w:sig w:usb0="00000000" w:usb1="00000000" w:usb2="00000010" w:usb3="00000000" w:csb0="00060001" w:csb1="00000000"/>
  </w:font>
  <w:font w:name="Tahoma">
    <w:panose1 w:val="020B0604030504040204"/>
    <w:charset w:val="00"/>
    <w:family w:val="swiss"/>
    <w:pitch w:val="default"/>
    <w:sig w:usb0="E1002EFF" w:usb1="C000605B" w:usb2="00000029" w:usb3="00000000" w:csb0="200101FF" w:csb1="20280000"/>
  </w:font>
  <w:font w:name="华文新魏">
    <w:altName w:val="宋体"/>
    <w:panose1 w:val="02010800040101010101"/>
    <w:charset w:val="86"/>
    <w:family w:val="auto"/>
    <w:pitch w:val="default"/>
    <w:sig w:usb0="00000000" w:usb1="00000000" w:usb2="00000000" w:usb3="00000000" w:csb0="00040000" w:csb1="00000000"/>
  </w:font>
  <w:font w:name="Brush Script MT">
    <w:altName w:val="Mongolian Baiti"/>
    <w:panose1 w:val="03060802040406070304"/>
    <w:charset w:val="00"/>
    <w:family w:val="script"/>
    <w:pitch w:val="default"/>
    <w:sig w:usb0="00000000" w:usb1="00000000" w:usb2="00000000" w:usb3="00000000" w:csb0="20000001" w:csb1="00000000"/>
  </w:font>
  <w:font w:name="Mongolian Baiti">
    <w:panose1 w:val="03000500000000000000"/>
    <w:charset w:val="00"/>
    <w:family w:val="auto"/>
    <w:pitch w:val="default"/>
    <w:sig w:usb0="80000023" w:usb1="00000000" w:usb2="00020000" w:usb3="00000000" w:csb0="00000001" w:csb1="00000000"/>
  </w:font>
  <w:font w:name="”“Times New Roman”“">
    <w:altName w:val="宋体"/>
    <w:panose1 w:val="00000000000000000000"/>
    <w:charset w:val="86"/>
    <w:family w:val="roma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CG Times (W1)">
    <w:altName w:val="Segoe Print"/>
    <w:panose1 w:val="00000000000000000000"/>
    <w:charset w:val="00"/>
    <w:family w:val="roman"/>
    <w:pitch w:val="default"/>
    <w:sig w:usb0="00000000"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Segoe UI Symbol">
    <w:panose1 w:val="020B0502040204020203"/>
    <w:charset w:val="00"/>
    <w:family w:val="swiss"/>
    <w:pitch w:val="default"/>
    <w:sig w:usb0="8000006F" w:usb1="1200FBEF" w:usb2="0064C000" w:usb3="00000002" w:csb0="00000001" w:csb1="4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MS PGothic">
    <w:panose1 w:val="020B0600070205080204"/>
    <w:charset w:val="80"/>
    <w:family w:val="auto"/>
    <w:pitch w:val="default"/>
    <w:sig w:usb0="E00002FF" w:usb1="6AC7FDFB" w:usb2="00000012" w:usb3="00000000" w:csb0="4002009F" w:csb1="DFD7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50653">
    <w:pPr>
      <w:pStyle w:val="3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50654">
    <w:pPr>
      <w:pStyle w:val="38"/>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align>outside</wp:align>
              </wp:positionV>
              <wp:extent cx="1828800" cy="1828800"/>
              <wp:effectExtent l="0" t="0" r="0" b="0"/>
              <wp:wrapNone/>
              <wp:docPr id="1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85065B">
                          <w:pPr>
                            <w:pStyle w:val="38"/>
                            <w:rPr>
                              <w:rStyle w:val="66"/>
                              <w:rFonts w:hint="eastAsia" w:ascii="宋体" w:hAnsi="宋体"/>
                              <w:sz w:val="21"/>
                              <w:szCs w:val="21"/>
                            </w:rPr>
                          </w:pPr>
                          <w:r>
                            <w:rPr>
                              <w:rStyle w:val="66"/>
                              <w:rFonts w:hint="eastAsia" w:ascii="宋体" w:hAnsi="宋体"/>
                              <w:sz w:val="21"/>
                              <w:szCs w:val="21"/>
                            </w:rPr>
                            <w:t xml:space="preserve">—  </w:t>
                          </w:r>
                          <w:r>
                            <w:rPr>
                              <w:rFonts w:ascii="宋体" w:hAnsi="宋体"/>
                              <w:sz w:val="21"/>
                              <w:szCs w:val="21"/>
                            </w:rPr>
                            <w:fldChar w:fldCharType="begin"/>
                          </w:r>
                          <w:r>
                            <w:rPr>
                              <w:rStyle w:val="66"/>
                              <w:rFonts w:ascii="宋体" w:hAnsi="宋体"/>
                              <w:sz w:val="21"/>
                              <w:szCs w:val="21"/>
                            </w:rPr>
                            <w:instrText xml:space="preserve">PAGE  </w:instrText>
                          </w:r>
                          <w:r>
                            <w:rPr>
                              <w:rFonts w:ascii="宋体" w:hAnsi="宋体"/>
                              <w:sz w:val="21"/>
                              <w:szCs w:val="21"/>
                            </w:rPr>
                            <w:fldChar w:fldCharType="separate"/>
                          </w:r>
                          <w:r>
                            <w:rPr>
                              <w:rStyle w:val="66"/>
                              <w:rFonts w:ascii="宋体" w:hAnsi="宋体"/>
                              <w:sz w:val="21"/>
                              <w:szCs w:val="21"/>
                            </w:rPr>
                            <w:t>11</w:t>
                          </w:r>
                          <w:r>
                            <w:rPr>
                              <w:rFonts w:ascii="宋体" w:hAnsi="宋体"/>
                              <w:sz w:val="21"/>
                              <w:szCs w:val="21"/>
                            </w:rPr>
                            <w:fldChar w:fldCharType="end"/>
                          </w:r>
                          <w:r>
                            <w:rPr>
                              <w:rStyle w:val="66"/>
                              <w:rFonts w:hint="eastAsia" w:ascii="宋体" w:hAnsi="宋体"/>
                              <w:sz w:val="21"/>
                              <w:szCs w:val="21"/>
                            </w:rPr>
                            <w:t xml:space="preserve">  —</w:t>
                          </w:r>
                        </w:p>
                      </w:txbxContent>
                    </wps:txbx>
                    <wps:bodyPr wrap="none" lIns="0" tIns="0" rIns="0" bIns="0" upright="1">
                      <a:spAutoFit/>
                    </wps:bodyPr>
                  </wps:wsp>
                </a:graphicData>
              </a:graphic>
            </wp:anchor>
          </w:drawing>
        </mc:Choice>
        <mc:Fallback>
          <w:pict>
            <v:shape id="文本框 1025" o:spid="_x0000_s1026" o:spt="202" type="#_x0000_t202" style="position:absolute;left:0pt;height:144pt;width:144pt;mso-position-horizontal:center;mso-position-horizontal-relative:margin;mso-position-vertical:outside;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ePh6GzAEAAJ0DAAAOAAAAAAAAAAEAIAAAAB4BAABkcnMvZTJv&#10;RG9jLnhtbFBLBQYAAAAABgAGAFkBAABcBQAAAAA=&#10;">
              <v:fill on="f" focussize="0,0"/>
              <v:stroke on="f"/>
              <v:imagedata o:title=""/>
              <o:lock v:ext="edit" aspectratio="f"/>
              <v:textbox inset="0mm,0mm,0mm,0mm" style="mso-fit-shape-to-text:t;">
                <w:txbxContent>
                  <w:p w14:paraId="3A85065B">
                    <w:pPr>
                      <w:pStyle w:val="38"/>
                      <w:rPr>
                        <w:rStyle w:val="66"/>
                        <w:rFonts w:hint="eastAsia" w:ascii="宋体" w:hAnsi="宋体"/>
                        <w:sz w:val="21"/>
                        <w:szCs w:val="21"/>
                      </w:rPr>
                    </w:pPr>
                    <w:r>
                      <w:rPr>
                        <w:rStyle w:val="66"/>
                        <w:rFonts w:hint="eastAsia" w:ascii="宋体" w:hAnsi="宋体"/>
                        <w:sz w:val="21"/>
                        <w:szCs w:val="21"/>
                      </w:rPr>
                      <w:t xml:space="preserve">—  </w:t>
                    </w:r>
                    <w:r>
                      <w:rPr>
                        <w:rFonts w:ascii="宋体" w:hAnsi="宋体"/>
                        <w:sz w:val="21"/>
                        <w:szCs w:val="21"/>
                      </w:rPr>
                      <w:fldChar w:fldCharType="begin"/>
                    </w:r>
                    <w:r>
                      <w:rPr>
                        <w:rStyle w:val="66"/>
                        <w:rFonts w:ascii="宋体" w:hAnsi="宋体"/>
                        <w:sz w:val="21"/>
                        <w:szCs w:val="21"/>
                      </w:rPr>
                      <w:instrText xml:space="preserve">PAGE  </w:instrText>
                    </w:r>
                    <w:r>
                      <w:rPr>
                        <w:rFonts w:ascii="宋体" w:hAnsi="宋体"/>
                        <w:sz w:val="21"/>
                        <w:szCs w:val="21"/>
                      </w:rPr>
                      <w:fldChar w:fldCharType="separate"/>
                    </w:r>
                    <w:r>
                      <w:rPr>
                        <w:rStyle w:val="66"/>
                        <w:rFonts w:ascii="宋体" w:hAnsi="宋体"/>
                        <w:sz w:val="21"/>
                        <w:szCs w:val="21"/>
                      </w:rPr>
                      <w:t>11</w:t>
                    </w:r>
                    <w:r>
                      <w:rPr>
                        <w:rFonts w:ascii="宋体" w:hAnsi="宋体"/>
                        <w:sz w:val="21"/>
                        <w:szCs w:val="21"/>
                      </w:rPr>
                      <w:fldChar w:fldCharType="end"/>
                    </w:r>
                    <w:r>
                      <w:rPr>
                        <w:rStyle w:val="66"/>
                        <w:rFonts w:hint="eastAsia" w:ascii="宋体" w:hAnsi="宋体"/>
                        <w:sz w:val="21"/>
                        <w:szCs w:val="21"/>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50655">
    <w:pPr>
      <w:pStyle w:val="38"/>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50656">
    <w:pPr>
      <w:pStyle w:val="38"/>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5"/>
      <w:lvlText w:val="%1."/>
      <w:lvlJc w:val="left"/>
      <w:pPr>
        <w:tabs>
          <w:tab w:val="left" w:pos="1788"/>
        </w:tabs>
        <w:ind w:left="1788" w:hanging="360"/>
      </w:pPr>
    </w:lvl>
  </w:abstractNum>
  <w:abstractNum w:abstractNumId="1">
    <w:nsid w:val="0D147AAC"/>
    <w:multiLevelType w:val="multilevel"/>
    <w:tmpl w:val="0D147AAC"/>
    <w:lvl w:ilvl="0" w:tentative="0">
      <w:start w:val="1"/>
      <w:numFmt w:val="decimal"/>
      <w:pStyle w:val="10"/>
      <w:lvlText w:val="C%1 -"/>
      <w:lvlJc w:val="left"/>
      <w:pPr>
        <w:tabs>
          <w:tab w:val="left" w:pos="567"/>
        </w:tabs>
        <w:ind w:left="567" w:hanging="567"/>
      </w:pPr>
      <w:rPr>
        <w:rFonts w:hint="default"/>
      </w:rPr>
    </w:lvl>
    <w:lvl w:ilvl="1" w:tentative="0">
      <w:start w:val="1"/>
      <w:numFmt w:val="decimal"/>
      <w:lvlText w:val="%1.%2 -"/>
      <w:lvlJc w:val="left"/>
      <w:pPr>
        <w:tabs>
          <w:tab w:val="left" w:pos="510"/>
        </w:tabs>
        <w:ind w:left="1077" w:hanging="567"/>
      </w:pPr>
      <w:rPr>
        <w:rFonts w:hint="default"/>
      </w:rPr>
    </w:lvl>
    <w:lvl w:ilvl="2" w:tentative="0">
      <w:start w:val="1"/>
      <w:numFmt w:val="decimal"/>
      <w:lvlText w:val="%1.%2.%3 -"/>
      <w:lvlJc w:val="left"/>
      <w:pPr>
        <w:tabs>
          <w:tab w:val="left" w:pos="1077"/>
        </w:tabs>
        <w:ind w:left="1985" w:hanging="908"/>
      </w:pPr>
      <w:rPr>
        <w:rFonts w:hint="default"/>
      </w:rPr>
    </w:lvl>
    <w:lvl w:ilvl="3" w:tentative="0">
      <w:start w:val="1"/>
      <w:numFmt w:val="decimal"/>
      <w:lvlText w:val="%1.%2.%3.%4."/>
      <w:lvlJc w:val="left"/>
      <w:pPr>
        <w:tabs>
          <w:tab w:val="left" w:pos="1800"/>
        </w:tabs>
        <w:ind w:left="1728" w:hanging="648"/>
      </w:pPr>
      <w:rPr>
        <w:rFonts w:hint="default"/>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288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3960"/>
        </w:tabs>
        <w:ind w:left="3744" w:hanging="1224"/>
      </w:pPr>
      <w:rPr>
        <w:rFonts w:hint="default"/>
      </w:rPr>
    </w:lvl>
    <w:lvl w:ilvl="8" w:tentative="0">
      <w:start w:val="1"/>
      <w:numFmt w:val="decimal"/>
      <w:lvlText w:val="%1.%2.%3.%4.%5.%6.%7.%8.%9."/>
      <w:lvlJc w:val="left"/>
      <w:pPr>
        <w:tabs>
          <w:tab w:val="left" w:pos="4680"/>
        </w:tabs>
        <w:ind w:left="4320" w:hanging="1440"/>
      </w:pPr>
      <w:rPr>
        <w:rFonts w:hint="default"/>
      </w:rPr>
    </w:lvl>
  </w:abstractNum>
  <w:abstractNum w:abstractNumId="2">
    <w:nsid w:val="2D9AC9AD"/>
    <w:multiLevelType w:val="singleLevel"/>
    <w:tmpl w:val="2D9AC9AD"/>
    <w:lvl w:ilvl="0" w:tentative="0">
      <w:start w:val="1"/>
      <w:numFmt w:val="bullet"/>
      <w:pStyle w:val="33"/>
      <w:lvlText w:val=""/>
      <w:lvlJc w:val="left"/>
      <w:pPr>
        <w:tabs>
          <w:tab w:val="left" w:pos="2040"/>
        </w:tabs>
        <w:ind w:left="2040" w:hanging="360"/>
      </w:pPr>
      <w:rPr>
        <w:rFonts w:hint="default" w:ascii="Wingdings" w:hAnsi="Wingdings"/>
      </w:rPr>
    </w:lvl>
  </w:abstractNum>
  <w:abstractNum w:abstractNumId="3">
    <w:nsid w:val="791A2E70"/>
    <w:multiLevelType w:val="multilevel"/>
    <w:tmpl w:val="791A2E70"/>
    <w:lvl w:ilvl="0" w:tentative="0">
      <w:start w:val="1"/>
      <w:numFmt w:val="decimal"/>
      <w:pStyle w:val="649"/>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420"/>
  <w:doNotHyphenateCaps/>
  <w:drawingGridVerticalSpacing w:val="159"/>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jY2RmZWQwODBhMjJkMTUzY2RkYjFlZjUxMmI1ZmQifQ=="/>
    <w:docVar w:name="KSO_WPS_MARK_KEY" w:val="97171b80-204e-47b9-86aa-cb27ad78f31a"/>
  </w:docVars>
  <w:rsids>
    <w:rsidRoot w:val="00172A27"/>
    <w:rsid w:val="000000EC"/>
    <w:rsid w:val="00000A9D"/>
    <w:rsid w:val="00002D3B"/>
    <w:rsid w:val="00002E64"/>
    <w:rsid w:val="000040A1"/>
    <w:rsid w:val="000060B3"/>
    <w:rsid w:val="00015B06"/>
    <w:rsid w:val="0001713D"/>
    <w:rsid w:val="000174AB"/>
    <w:rsid w:val="00020D06"/>
    <w:rsid w:val="00020F94"/>
    <w:rsid w:val="000249FD"/>
    <w:rsid w:val="000255EB"/>
    <w:rsid w:val="00026A97"/>
    <w:rsid w:val="00033EFB"/>
    <w:rsid w:val="00034DEF"/>
    <w:rsid w:val="000425D0"/>
    <w:rsid w:val="0004364B"/>
    <w:rsid w:val="00050BAB"/>
    <w:rsid w:val="00051D99"/>
    <w:rsid w:val="00054A2E"/>
    <w:rsid w:val="00056428"/>
    <w:rsid w:val="00057BB4"/>
    <w:rsid w:val="00060376"/>
    <w:rsid w:val="00061B1F"/>
    <w:rsid w:val="00063270"/>
    <w:rsid w:val="0006457B"/>
    <w:rsid w:val="00073169"/>
    <w:rsid w:val="000733C4"/>
    <w:rsid w:val="000739AB"/>
    <w:rsid w:val="00074783"/>
    <w:rsid w:val="00074969"/>
    <w:rsid w:val="000750C2"/>
    <w:rsid w:val="00077AE8"/>
    <w:rsid w:val="00077FEC"/>
    <w:rsid w:val="0008070B"/>
    <w:rsid w:val="000810AC"/>
    <w:rsid w:val="00081290"/>
    <w:rsid w:val="00081A02"/>
    <w:rsid w:val="00082231"/>
    <w:rsid w:val="00082356"/>
    <w:rsid w:val="000857CB"/>
    <w:rsid w:val="0008723B"/>
    <w:rsid w:val="00090C0E"/>
    <w:rsid w:val="00091CEC"/>
    <w:rsid w:val="00092AD2"/>
    <w:rsid w:val="00092D38"/>
    <w:rsid w:val="0009377B"/>
    <w:rsid w:val="00093A45"/>
    <w:rsid w:val="000A1825"/>
    <w:rsid w:val="000A20C9"/>
    <w:rsid w:val="000A33EC"/>
    <w:rsid w:val="000A4334"/>
    <w:rsid w:val="000A4DB9"/>
    <w:rsid w:val="000A5CF0"/>
    <w:rsid w:val="000A6930"/>
    <w:rsid w:val="000A6F32"/>
    <w:rsid w:val="000B058F"/>
    <w:rsid w:val="000B124E"/>
    <w:rsid w:val="000B1FD4"/>
    <w:rsid w:val="000B4467"/>
    <w:rsid w:val="000B4DB9"/>
    <w:rsid w:val="000B7BC5"/>
    <w:rsid w:val="000B7DFB"/>
    <w:rsid w:val="000C09AC"/>
    <w:rsid w:val="000C32D0"/>
    <w:rsid w:val="000C4710"/>
    <w:rsid w:val="000C672C"/>
    <w:rsid w:val="000C767F"/>
    <w:rsid w:val="000D1B9B"/>
    <w:rsid w:val="000D2046"/>
    <w:rsid w:val="000D287F"/>
    <w:rsid w:val="000D5A44"/>
    <w:rsid w:val="000E34C0"/>
    <w:rsid w:val="000E3ED2"/>
    <w:rsid w:val="000E4371"/>
    <w:rsid w:val="000F0FE4"/>
    <w:rsid w:val="000F2B34"/>
    <w:rsid w:val="000F4BA7"/>
    <w:rsid w:val="000F59D1"/>
    <w:rsid w:val="00101541"/>
    <w:rsid w:val="001025CE"/>
    <w:rsid w:val="00102925"/>
    <w:rsid w:val="001052DF"/>
    <w:rsid w:val="00111458"/>
    <w:rsid w:val="001116BB"/>
    <w:rsid w:val="00113186"/>
    <w:rsid w:val="001240C3"/>
    <w:rsid w:val="00126A68"/>
    <w:rsid w:val="00127A0B"/>
    <w:rsid w:val="0013021D"/>
    <w:rsid w:val="0013077E"/>
    <w:rsid w:val="00131F42"/>
    <w:rsid w:val="001357F1"/>
    <w:rsid w:val="00135DBC"/>
    <w:rsid w:val="00136188"/>
    <w:rsid w:val="00136DE3"/>
    <w:rsid w:val="00137D9E"/>
    <w:rsid w:val="00140FA8"/>
    <w:rsid w:val="00140FCF"/>
    <w:rsid w:val="00141B56"/>
    <w:rsid w:val="00142FEB"/>
    <w:rsid w:val="0014316C"/>
    <w:rsid w:val="00143A2D"/>
    <w:rsid w:val="0014531C"/>
    <w:rsid w:val="00145A41"/>
    <w:rsid w:val="00146B74"/>
    <w:rsid w:val="00147848"/>
    <w:rsid w:val="00151675"/>
    <w:rsid w:val="00151E0A"/>
    <w:rsid w:val="0015307D"/>
    <w:rsid w:val="001537CB"/>
    <w:rsid w:val="001551BF"/>
    <w:rsid w:val="00157435"/>
    <w:rsid w:val="00163FBD"/>
    <w:rsid w:val="001671E0"/>
    <w:rsid w:val="001706AD"/>
    <w:rsid w:val="00172228"/>
    <w:rsid w:val="00172A27"/>
    <w:rsid w:val="00172F4F"/>
    <w:rsid w:val="0017382F"/>
    <w:rsid w:val="00173C91"/>
    <w:rsid w:val="00174422"/>
    <w:rsid w:val="001744C6"/>
    <w:rsid w:val="0017504D"/>
    <w:rsid w:val="0017671A"/>
    <w:rsid w:val="00177422"/>
    <w:rsid w:val="00180526"/>
    <w:rsid w:val="001818C5"/>
    <w:rsid w:val="00183B77"/>
    <w:rsid w:val="00184590"/>
    <w:rsid w:val="001870D1"/>
    <w:rsid w:val="0018781E"/>
    <w:rsid w:val="00187FE1"/>
    <w:rsid w:val="001916B0"/>
    <w:rsid w:val="00191A43"/>
    <w:rsid w:val="0019262D"/>
    <w:rsid w:val="00194559"/>
    <w:rsid w:val="00195B71"/>
    <w:rsid w:val="001A1B35"/>
    <w:rsid w:val="001A4819"/>
    <w:rsid w:val="001A48A2"/>
    <w:rsid w:val="001A5071"/>
    <w:rsid w:val="001A5FA6"/>
    <w:rsid w:val="001A6F61"/>
    <w:rsid w:val="001B3AD8"/>
    <w:rsid w:val="001B557B"/>
    <w:rsid w:val="001B6F51"/>
    <w:rsid w:val="001B72B8"/>
    <w:rsid w:val="001B7F2C"/>
    <w:rsid w:val="001C14E6"/>
    <w:rsid w:val="001C215D"/>
    <w:rsid w:val="001C650B"/>
    <w:rsid w:val="001C69B3"/>
    <w:rsid w:val="001C6F81"/>
    <w:rsid w:val="001D02D5"/>
    <w:rsid w:val="001D04CE"/>
    <w:rsid w:val="001D1913"/>
    <w:rsid w:val="001D3601"/>
    <w:rsid w:val="001D5595"/>
    <w:rsid w:val="001D6198"/>
    <w:rsid w:val="001D6359"/>
    <w:rsid w:val="001D6688"/>
    <w:rsid w:val="001D785C"/>
    <w:rsid w:val="001D7874"/>
    <w:rsid w:val="001D7F22"/>
    <w:rsid w:val="001E2703"/>
    <w:rsid w:val="001E5914"/>
    <w:rsid w:val="001F0F17"/>
    <w:rsid w:val="001F1CD0"/>
    <w:rsid w:val="001F3347"/>
    <w:rsid w:val="001F5E4A"/>
    <w:rsid w:val="001F697F"/>
    <w:rsid w:val="001F69E4"/>
    <w:rsid w:val="00206A83"/>
    <w:rsid w:val="00211B4C"/>
    <w:rsid w:val="002125B4"/>
    <w:rsid w:val="00212F70"/>
    <w:rsid w:val="00213307"/>
    <w:rsid w:val="002155B8"/>
    <w:rsid w:val="00215FBE"/>
    <w:rsid w:val="00216453"/>
    <w:rsid w:val="0022098D"/>
    <w:rsid w:val="00221688"/>
    <w:rsid w:val="00221FF1"/>
    <w:rsid w:val="002223D6"/>
    <w:rsid w:val="0022453E"/>
    <w:rsid w:val="00224839"/>
    <w:rsid w:val="002249B2"/>
    <w:rsid w:val="00226574"/>
    <w:rsid w:val="002278EC"/>
    <w:rsid w:val="00230688"/>
    <w:rsid w:val="0023280E"/>
    <w:rsid w:val="0023404A"/>
    <w:rsid w:val="00236C10"/>
    <w:rsid w:val="00236C85"/>
    <w:rsid w:val="0023732E"/>
    <w:rsid w:val="002377D1"/>
    <w:rsid w:val="00237A7E"/>
    <w:rsid w:val="00237FA9"/>
    <w:rsid w:val="00240123"/>
    <w:rsid w:val="00242D05"/>
    <w:rsid w:val="00244097"/>
    <w:rsid w:val="0024674C"/>
    <w:rsid w:val="002506BC"/>
    <w:rsid w:val="0025145C"/>
    <w:rsid w:val="00251BDD"/>
    <w:rsid w:val="0025263D"/>
    <w:rsid w:val="00254345"/>
    <w:rsid w:val="00255BC2"/>
    <w:rsid w:val="00262BB3"/>
    <w:rsid w:val="00264557"/>
    <w:rsid w:val="00270AB6"/>
    <w:rsid w:val="00274C88"/>
    <w:rsid w:val="002771BB"/>
    <w:rsid w:val="002779DF"/>
    <w:rsid w:val="00280456"/>
    <w:rsid w:val="002805AB"/>
    <w:rsid w:val="0028157F"/>
    <w:rsid w:val="002828CB"/>
    <w:rsid w:val="00282B13"/>
    <w:rsid w:val="00283522"/>
    <w:rsid w:val="00284204"/>
    <w:rsid w:val="002843DE"/>
    <w:rsid w:val="00284612"/>
    <w:rsid w:val="0028480B"/>
    <w:rsid w:val="002869C5"/>
    <w:rsid w:val="0028781E"/>
    <w:rsid w:val="0029123A"/>
    <w:rsid w:val="00291773"/>
    <w:rsid w:val="00296148"/>
    <w:rsid w:val="002A168C"/>
    <w:rsid w:val="002A1C12"/>
    <w:rsid w:val="002A1ED7"/>
    <w:rsid w:val="002A3DC7"/>
    <w:rsid w:val="002A471A"/>
    <w:rsid w:val="002A65EA"/>
    <w:rsid w:val="002A6E59"/>
    <w:rsid w:val="002B090F"/>
    <w:rsid w:val="002B20A8"/>
    <w:rsid w:val="002B4003"/>
    <w:rsid w:val="002B49E2"/>
    <w:rsid w:val="002B6A45"/>
    <w:rsid w:val="002B7B00"/>
    <w:rsid w:val="002B7C44"/>
    <w:rsid w:val="002C03CA"/>
    <w:rsid w:val="002C0DDF"/>
    <w:rsid w:val="002C2B17"/>
    <w:rsid w:val="002C392B"/>
    <w:rsid w:val="002C3D19"/>
    <w:rsid w:val="002C63EF"/>
    <w:rsid w:val="002C7A11"/>
    <w:rsid w:val="002D2974"/>
    <w:rsid w:val="002D3DD0"/>
    <w:rsid w:val="002D6239"/>
    <w:rsid w:val="002D75AF"/>
    <w:rsid w:val="002E1F3A"/>
    <w:rsid w:val="002E24E7"/>
    <w:rsid w:val="002E298A"/>
    <w:rsid w:val="002E4F5F"/>
    <w:rsid w:val="002E6149"/>
    <w:rsid w:val="002F0EA2"/>
    <w:rsid w:val="002F246D"/>
    <w:rsid w:val="002F48B6"/>
    <w:rsid w:val="002F73E7"/>
    <w:rsid w:val="002F76C4"/>
    <w:rsid w:val="00300419"/>
    <w:rsid w:val="00301978"/>
    <w:rsid w:val="0030332C"/>
    <w:rsid w:val="00304FE9"/>
    <w:rsid w:val="003051C2"/>
    <w:rsid w:val="003108CF"/>
    <w:rsid w:val="00310C93"/>
    <w:rsid w:val="0031190E"/>
    <w:rsid w:val="00312296"/>
    <w:rsid w:val="00312755"/>
    <w:rsid w:val="003133DD"/>
    <w:rsid w:val="0031433B"/>
    <w:rsid w:val="00314F0E"/>
    <w:rsid w:val="00321D8E"/>
    <w:rsid w:val="00321FAF"/>
    <w:rsid w:val="00322D6A"/>
    <w:rsid w:val="00325928"/>
    <w:rsid w:val="00325C66"/>
    <w:rsid w:val="00326566"/>
    <w:rsid w:val="00330615"/>
    <w:rsid w:val="003308E4"/>
    <w:rsid w:val="00331802"/>
    <w:rsid w:val="00332863"/>
    <w:rsid w:val="00334A37"/>
    <w:rsid w:val="0033684D"/>
    <w:rsid w:val="00337B42"/>
    <w:rsid w:val="00341150"/>
    <w:rsid w:val="00341B42"/>
    <w:rsid w:val="0034348F"/>
    <w:rsid w:val="00346029"/>
    <w:rsid w:val="00350008"/>
    <w:rsid w:val="003530CA"/>
    <w:rsid w:val="00356653"/>
    <w:rsid w:val="0035743F"/>
    <w:rsid w:val="00357AAF"/>
    <w:rsid w:val="00357BE2"/>
    <w:rsid w:val="00360D21"/>
    <w:rsid w:val="0036170C"/>
    <w:rsid w:val="00361993"/>
    <w:rsid w:val="003645E8"/>
    <w:rsid w:val="003654AE"/>
    <w:rsid w:val="00365A0E"/>
    <w:rsid w:val="00366CF2"/>
    <w:rsid w:val="00366E0F"/>
    <w:rsid w:val="00371E27"/>
    <w:rsid w:val="00377E18"/>
    <w:rsid w:val="00380563"/>
    <w:rsid w:val="00381A72"/>
    <w:rsid w:val="00382A68"/>
    <w:rsid w:val="00384676"/>
    <w:rsid w:val="0038470F"/>
    <w:rsid w:val="00385353"/>
    <w:rsid w:val="00385620"/>
    <w:rsid w:val="00385A02"/>
    <w:rsid w:val="00386CA3"/>
    <w:rsid w:val="00387236"/>
    <w:rsid w:val="00390857"/>
    <w:rsid w:val="003914E8"/>
    <w:rsid w:val="003914F0"/>
    <w:rsid w:val="0039556E"/>
    <w:rsid w:val="00397467"/>
    <w:rsid w:val="003A0019"/>
    <w:rsid w:val="003A205D"/>
    <w:rsid w:val="003A27EF"/>
    <w:rsid w:val="003A4BF3"/>
    <w:rsid w:val="003A7E48"/>
    <w:rsid w:val="003B0DF0"/>
    <w:rsid w:val="003B3AF5"/>
    <w:rsid w:val="003B420D"/>
    <w:rsid w:val="003B51C1"/>
    <w:rsid w:val="003B575D"/>
    <w:rsid w:val="003B70D4"/>
    <w:rsid w:val="003B750C"/>
    <w:rsid w:val="003C09DD"/>
    <w:rsid w:val="003C3A40"/>
    <w:rsid w:val="003C410F"/>
    <w:rsid w:val="003C48EA"/>
    <w:rsid w:val="003C4B57"/>
    <w:rsid w:val="003C521D"/>
    <w:rsid w:val="003C5767"/>
    <w:rsid w:val="003C6C16"/>
    <w:rsid w:val="003C7185"/>
    <w:rsid w:val="003C7DD9"/>
    <w:rsid w:val="003D1FF8"/>
    <w:rsid w:val="003D40B8"/>
    <w:rsid w:val="003D47F5"/>
    <w:rsid w:val="003D794D"/>
    <w:rsid w:val="003E0E5D"/>
    <w:rsid w:val="003E3058"/>
    <w:rsid w:val="003E5811"/>
    <w:rsid w:val="003E76A9"/>
    <w:rsid w:val="003F0809"/>
    <w:rsid w:val="003F11E8"/>
    <w:rsid w:val="003F471C"/>
    <w:rsid w:val="003F5FEC"/>
    <w:rsid w:val="003F6A8C"/>
    <w:rsid w:val="003F755C"/>
    <w:rsid w:val="00401A47"/>
    <w:rsid w:val="00403A7F"/>
    <w:rsid w:val="00404364"/>
    <w:rsid w:val="00405DFC"/>
    <w:rsid w:val="00406F01"/>
    <w:rsid w:val="00412B0A"/>
    <w:rsid w:val="00412BDE"/>
    <w:rsid w:val="004165B8"/>
    <w:rsid w:val="00416D50"/>
    <w:rsid w:val="00416FD5"/>
    <w:rsid w:val="00417772"/>
    <w:rsid w:val="00420C3F"/>
    <w:rsid w:val="00420E6A"/>
    <w:rsid w:val="00422FEA"/>
    <w:rsid w:val="00423E56"/>
    <w:rsid w:val="00425A9E"/>
    <w:rsid w:val="00426720"/>
    <w:rsid w:val="00426D6B"/>
    <w:rsid w:val="00430BAE"/>
    <w:rsid w:val="004318A9"/>
    <w:rsid w:val="00431E6C"/>
    <w:rsid w:val="0043246B"/>
    <w:rsid w:val="00433188"/>
    <w:rsid w:val="00433CE7"/>
    <w:rsid w:val="00434AFA"/>
    <w:rsid w:val="00435254"/>
    <w:rsid w:val="004368D6"/>
    <w:rsid w:val="00436923"/>
    <w:rsid w:val="00440135"/>
    <w:rsid w:val="00440CAC"/>
    <w:rsid w:val="00444885"/>
    <w:rsid w:val="00445166"/>
    <w:rsid w:val="00447190"/>
    <w:rsid w:val="0045049F"/>
    <w:rsid w:val="0045109E"/>
    <w:rsid w:val="004523B4"/>
    <w:rsid w:val="00452738"/>
    <w:rsid w:val="0045298E"/>
    <w:rsid w:val="00456091"/>
    <w:rsid w:val="00457747"/>
    <w:rsid w:val="00457C38"/>
    <w:rsid w:val="0046026D"/>
    <w:rsid w:val="00460620"/>
    <w:rsid w:val="00462EDE"/>
    <w:rsid w:val="00465483"/>
    <w:rsid w:val="00466321"/>
    <w:rsid w:val="00467A7C"/>
    <w:rsid w:val="00467C15"/>
    <w:rsid w:val="0047132B"/>
    <w:rsid w:val="004769B7"/>
    <w:rsid w:val="004809BC"/>
    <w:rsid w:val="00482F61"/>
    <w:rsid w:val="00484B46"/>
    <w:rsid w:val="00484B9B"/>
    <w:rsid w:val="00484D6E"/>
    <w:rsid w:val="004855F6"/>
    <w:rsid w:val="0048661E"/>
    <w:rsid w:val="00486A04"/>
    <w:rsid w:val="00490234"/>
    <w:rsid w:val="004908D1"/>
    <w:rsid w:val="00490C92"/>
    <w:rsid w:val="00491146"/>
    <w:rsid w:val="00494670"/>
    <w:rsid w:val="0049563D"/>
    <w:rsid w:val="00497377"/>
    <w:rsid w:val="004A0175"/>
    <w:rsid w:val="004A2843"/>
    <w:rsid w:val="004A3823"/>
    <w:rsid w:val="004A464E"/>
    <w:rsid w:val="004B0A0F"/>
    <w:rsid w:val="004B0D82"/>
    <w:rsid w:val="004B172B"/>
    <w:rsid w:val="004B1985"/>
    <w:rsid w:val="004B2030"/>
    <w:rsid w:val="004B44C2"/>
    <w:rsid w:val="004B7163"/>
    <w:rsid w:val="004C4821"/>
    <w:rsid w:val="004C62AA"/>
    <w:rsid w:val="004C6480"/>
    <w:rsid w:val="004D08C4"/>
    <w:rsid w:val="004D40BC"/>
    <w:rsid w:val="004D6084"/>
    <w:rsid w:val="004D631A"/>
    <w:rsid w:val="004D7BDA"/>
    <w:rsid w:val="004E099D"/>
    <w:rsid w:val="004E13FF"/>
    <w:rsid w:val="004E2747"/>
    <w:rsid w:val="004E2968"/>
    <w:rsid w:val="004E5490"/>
    <w:rsid w:val="004E5748"/>
    <w:rsid w:val="004E6946"/>
    <w:rsid w:val="004E6C40"/>
    <w:rsid w:val="004F1AD8"/>
    <w:rsid w:val="004F1FC3"/>
    <w:rsid w:val="004F3AE8"/>
    <w:rsid w:val="004F5902"/>
    <w:rsid w:val="004F73D5"/>
    <w:rsid w:val="005039CB"/>
    <w:rsid w:val="0050558F"/>
    <w:rsid w:val="00506286"/>
    <w:rsid w:val="005068AC"/>
    <w:rsid w:val="005077FD"/>
    <w:rsid w:val="00507D3B"/>
    <w:rsid w:val="00510813"/>
    <w:rsid w:val="00510B60"/>
    <w:rsid w:val="00511990"/>
    <w:rsid w:val="00511DE0"/>
    <w:rsid w:val="00511F19"/>
    <w:rsid w:val="00513E52"/>
    <w:rsid w:val="00514870"/>
    <w:rsid w:val="00514B9B"/>
    <w:rsid w:val="005150D0"/>
    <w:rsid w:val="00517501"/>
    <w:rsid w:val="00517BA1"/>
    <w:rsid w:val="00517F02"/>
    <w:rsid w:val="00524303"/>
    <w:rsid w:val="005258A2"/>
    <w:rsid w:val="00531253"/>
    <w:rsid w:val="00535812"/>
    <w:rsid w:val="005401AE"/>
    <w:rsid w:val="00540492"/>
    <w:rsid w:val="00542E07"/>
    <w:rsid w:val="00545424"/>
    <w:rsid w:val="00546915"/>
    <w:rsid w:val="0054732A"/>
    <w:rsid w:val="00551727"/>
    <w:rsid w:val="00554A7B"/>
    <w:rsid w:val="00554FD5"/>
    <w:rsid w:val="0055500B"/>
    <w:rsid w:val="0055572C"/>
    <w:rsid w:val="0055653E"/>
    <w:rsid w:val="0055659A"/>
    <w:rsid w:val="00560103"/>
    <w:rsid w:val="00560B71"/>
    <w:rsid w:val="0056106A"/>
    <w:rsid w:val="00563FD3"/>
    <w:rsid w:val="0056501A"/>
    <w:rsid w:val="005650C2"/>
    <w:rsid w:val="005720AE"/>
    <w:rsid w:val="005721A4"/>
    <w:rsid w:val="005726CE"/>
    <w:rsid w:val="00573396"/>
    <w:rsid w:val="00574870"/>
    <w:rsid w:val="005760B0"/>
    <w:rsid w:val="00577CEE"/>
    <w:rsid w:val="00580365"/>
    <w:rsid w:val="0058153E"/>
    <w:rsid w:val="00583C51"/>
    <w:rsid w:val="00584F9B"/>
    <w:rsid w:val="005874AB"/>
    <w:rsid w:val="00587A59"/>
    <w:rsid w:val="00591856"/>
    <w:rsid w:val="00594D77"/>
    <w:rsid w:val="00595D43"/>
    <w:rsid w:val="005969E4"/>
    <w:rsid w:val="005A06B7"/>
    <w:rsid w:val="005A1759"/>
    <w:rsid w:val="005A232C"/>
    <w:rsid w:val="005A5326"/>
    <w:rsid w:val="005A5E23"/>
    <w:rsid w:val="005A68A7"/>
    <w:rsid w:val="005B184E"/>
    <w:rsid w:val="005B1920"/>
    <w:rsid w:val="005B1CD4"/>
    <w:rsid w:val="005B478E"/>
    <w:rsid w:val="005C065B"/>
    <w:rsid w:val="005C0756"/>
    <w:rsid w:val="005C2A5D"/>
    <w:rsid w:val="005C3647"/>
    <w:rsid w:val="005C40C8"/>
    <w:rsid w:val="005C7014"/>
    <w:rsid w:val="005C7470"/>
    <w:rsid w:val="005D25E7"/>
    <w:rsid w:val="005D2742"/>
    <w:rsid w:val="005D36AB"/>
    <w:rsid w:val="005D3850"/>
    <w:rsid w:val="005D5984"/>
    <w:rsid w:val="005D67C0"/>
    <w:rsid w:val="005D6974"/>
    <w:rsid w:val="005D7883"/>
    <w:rsid w:val="005D7C0A"/>
    <w:rsid w:val="005E0476"/>
    <w:rsid w:val="005E126E"/>
    <w:rsid w:val="005E1337"/>
    <w:rsid w:val="005E53A5"/>
    <w:rsid w:val="005E5F07"/>
    <w:rsid w:val="005E6EDA"/>
    <w:rsid w:val="00600530"/>
    <w:rsid w:val="00600CBD"/>
    <w:rsid w:val="00612579"/>
    <w:rsid w:val="006144C1"/>
    <w:rsid w:val="00617CC3"/>
    <w:rsid w:val="00626724"/>
    <w:rsid w:val="00627E08"/>
    <w:rsid w:val="0063085A"/>
    <w:rsid w:val="00630C6D"/>
    <w:rsid w:val="00632F5E"/>
    <w:rsid w:val="00635414"/>
    <w:rsid w:val="006377A6"/>
    <w:rsid w:val="00637A3D"/>
    <w:rsid w:val="006407AA"/>
    <w:rsid w:val="00640D56"/>
    <w:rsid w:val="006411EF"/>
    <w:rsid w:val="00641C91"/>
    <w:rsid w:val="00643891"/>
    <w:rsid w:val="00643DA6"/>
    <w:rsid w:val="00650A00"/>
    <w:rsid w:val="00651A21"/>
    <w:rsid w:val="006564AA"/>
    <w:rsid w:val="00663D10"/>
    <w:rsid w:val="00663E0E"/>
    <w:rsid w:val="00665703"/>
    <w:rsid w:val="00667196"/>
    <w:rsid w:val="00667FEF"/>
    <w:rsid w:val="006722A3"/>
    <w:rsid w:val="00673B5A"/>
    <w:rsid w:val="006748B8"/>
    <w:rsid w:val="006775C3"/>
    <w:rsid w:val="00681841"/>
    <w:rsid w:val="00681A48"/>
    <w:rsid w:val="006831ED"/>
    <w:rsid w:val="006843C6"/>
    <w:rsid w:val="00686B04"/>
    <w:rsid w:val="00690440"/>
    <w:rsid w:val="00691B9C"/>
    <w:rsid w:val="0069290A"/>
    <w:rsid w:val="0069679E"/>
    <w:rsid w:val="0069775A"/>
    <w:rsid w:val="00697813"/>
    <w:rsid w:val="006A00D8"/>
    <w:rsid w:val="006A042D"/>
    <w:rsid w:val="006A1798"/>
    <w:rsid w:val="006A18BD"/>
    <w:rsid w:val="006A3EE8"/>
    <w:rsid w:val="006A44E0"/>
    <w:rsid w:val="006A4562"/>
    <w:rsid w:val="006A667A"/>
    <w:rsid w:val="006A72BF"/>
    <w:rsid w:val="006B03F2"/>
    <w:rsid w:val="006B0D33"/>
    <w:rsid w:val="006B2749"/>
    <w:rsid w:val="006B37DC"/>
    <w:rsid w:val="006B43BF"/>
    <w:rsid w:val="006B4482"/>
    <w:rsid w:val="006B4DC6"/>
    <w:rsid w:val="006B4F68"/>
    <w:rsid w:val="006B58CB"/>
    <w:rsid w:val="006B682C"/>
    <w:rsid w:val="006B68C9"/>
    <w:rsid w:val="006C0592"/>
    <w:rsid w:val="006C1B8F"/>
    <w:rsid w:val="006C272E"/>
    <w:rsid w:val="006C369E"/>
    <w:rsid w:val="006C4131"/>
    <w:rsid w:val="006C5479"/>
    <w:rsid w:val="006C56C6"/>
    <w:rsid w:val="006C63DE"/>
    <w:rsid w:val="006C6E63"/>
    <w:rsid w:val="006D1281"/>
    <w:rsid w:val="006D13B5"/>
    <w:rsid w:val="006D2755"/>
    <w:rsid w:val="006D370E"/>
    <w:rsid w:val="006D3A97"/>
    <w:rsid w:val="006D50DF"/>
    <w:rsid w:val="006D5AD1"/>
    <w:rsid w:val="006D6CFF"/>
    <w:rsid w:val="006E12FF"/>
    <w:rsid w:val="006E165C"/>
    <w:rsid w:val="006E1916"/>
    <w:rsid w:val="006E31C9"/>
    <w:rsid w:val="006E607E"/>
    <w:rsid w:val="006F1E02"/>
    <w:rsid w:val="006F1E38"/>
    <w:rsid w:val="006F272C"/>
    <w:rsid w:val="006F32F1"/>
    <w:rsid w:val="006F3B4E"/>
    <w:rsid w:val="006F4E3E"/>
    <w:rsid w:val="00701782"/>
    <w:rsid w:val="007035AF"/>
    <w:rsid w:val="007062C4"/>
    <w:rsid w:val="007062F9"/>
    <w:rsid w:val="00706C5D"/>
    <w:rsid w:val="007119A0"/>
    <w:rsid w:val="0071680A"/>
    <w:rsid w:val="00720940"/>
    <w:rsid w:val="00721C27"/>
    <w:rsid w:val="007245D0"/>
    <w:rsid w:val="00725C84"/>
    <w:rsid w:val="00726040"/>
    <w:rsid w:val="00726E7B"/>
    <w:rsid w:val="00726FD4"/>
    <w:rsid w:val="00732922"/>
    <w:rsid w:val="00734B85"/>
    <w:rsid w:val="007351B6"/>
    <w:rsid w:val="00735AD8"/>
    <w:rsid w:val="00737FD3"/>
    <w:rsid w:val="007425C8"/>
    <w:rsid w:val="007441A9"/>
    <w:rsid w:val="007444BE"/>
    <w:rsid w:val="00744A1B"/>
    <w:rsid w:val="007453A9"/>
    <w:rsid w:val="00746F07"/>
    <w:rsid w:val="0075162E"/>
    <w:rsid w:val="0075372A"/>
    <w:rsid w:val="00754034"/>
    <w:rsid w:val="00756556"/>
    <w:rsid w:val="00757136"/>
    <w:rsid w:val="007607D6"/>
    <w:rsid w:val="00760F8C"/>
    <w:rsid w:val="00761436"/>
    <w:rsid w:val="00761547"/>
    <w:rsid w:val="007618C4"/>
    <w:rsid w:val="00762525"/>
    <w:rsid w:val="00763635"/>
    <w:rsid w:val="007648FC"/>
    <w:rsid w:val="00765325"/>
    <w:rsid w:val="00765F63"/>
    <w:rsid w:val="00766923"/>
    <w:rsid w:val="00767980"/>
    <w:rsid w:val="00767BC7"/>
    <w:rsid w:val="00770B19"/>
    <w:rsid w:val="00771DE1"/>
    <w:rsid w:val="0077463F"/>
    <w:rsid w:val="00777403"/>
    <w:rsid w:val="00780D5E"/>
    <w:rsid w:val="007836EA"/>
    <w:rsid w:val="00783D62"/>
    <w:rsid w:val="007841DD"/>
    <w:rsid w:val="00784CDA"/>
    <w:rsid w:val="007858DC"/>
    <w:rsid w:val="007859A0"/>
    <w:rsid w:val="00787565"/>
    <w:rsid w:val="007902DB"/>
    <w:rsid w:val="007906C4"/>
    <w:rsid w:val="007908F4"/>
    <w:rsid w:val="00790E22"/>
    <w:rsid w:val="00791526"/>
    <w:rsid w:val="007940EA"/>
    <w:rsid w:val="007944D6"/>
    <w:rsid w:val="007967E8"/>
    <w:rsid w:val="007A0A70"/>
    <w:rsid w:val="007A18BA"/>
    <w:rsid w:val="007A2170"/>
    <w:rsid w:val="007A22BF"/>
    <w:rsid w:val="007A3323"/>
    <w:rsid w:val="007A63AE"/>
    <w:rsid w:val="007A6A04"/>
    <w:rsid w:val="007B0B27"/>
    <w:rsid w:val="007B0D32"/>
    <w:rsid w:val="007B15DD"/>
    <w:rsid w:val="007B3822"/>
    <w:rsid w:val="007B47D4"/>
    <w:rsid w:val="007B72B8"/>
    <w:rsid w:val="007B78BC"/>
    <w:rsid w:val="007B7A58"/>
    <w:rsid w:val="007C1128"/>
    <w:rsid w:val="007C1262"/>
    <w:rsid w:val="007C1789"/>
    <w:rsid w:val="007C21B5"/>
    <w:rsid w:val="007C3416"/>
    <w:rsid w:val="007C3998"/>
    <w:rsid w:val="007C6C91"/>
    <w:rsid w:val="007D0817"/>
    <w:rsid w:val="007D2791"/>
    <w:rsid w:val="007D3593"/>
    <w:rsid w:val="007D634F"/>
    <w:rsid w:val="007D6871"/>
    <w:rsid w:val="007E2FF2"/>
    <w:rsid w:val="007E4BD2"/>
    <w:rsid w:val="007E62E3"/>
    <w:rsid w:val="007F26C5"/>
    <w:rsid w:val="007F46CD"/>
    <w:rsid w:val="007F5871"/>
    <w:rsid w:val="0080088E"/>
    <w:rsid w:val="00801312"/>
    <w:rsid w:val="00801393"/>
    <w:rsid w:val="00802613"/>
    <w:rsid w:val="00802F88"/>
    <w:rsid w:val="00804036"/>
    <w:rsid w:val="00804D59"/>
    <w:rsid w:val="0081293E"/>
    <w:rsid w:val="00815465"/>
    <w:rsid w:val="00817E9A"/>
    <w:rsid w:val="00820989"/>
    <w:rsid w:val="00820C0D"/>
    <w:rsid w:val="00826B92"/>
    <w:rsid w:val="008306BD"/>
    <w:rsid w:val="00830B93"/>
    <w:rsid w:val="00831A80"/>
    <w:rsid w:val="00832A08"/>
    <w:rsid w:val="00833442"/>
    <w:rsid w:val="00833700"/>
    <w:rsid w:val="00833743"/>
    <w:rsid w:val="0083392E"/>
    <w:rsid w:val="008340A4"/>
    <w:rsid w:val="00834739"/>
    <w:rsid w:val="00834A54"/>
    <w:rsid w:val="00835F9B"/>
    <w:rsid w:val="0084270A"/>
    <w:rsid w:val="00843159"/>
    <w:rsid w:val="00844A8D"/>
    <w:rsid w:val="00855533"/>
    <w:rsid w:val="0086103E"/>
    <w:rsid w:val="00862EE5"/>
    <w:rsid w:val="0086701D"/>
    <w:rsid w:val="0087135F"/>
    <w:rsid w:val="00872D94"/>
    <w:rsid w:val="008741B5"/>
    <w:rsid w:val="00875061"/>
    <w:rsid w:val="00876D39"/>
    <w:rsid w:val="00880364"/>
    <w:rsid w:val="00881071"/>
    <w:rsid w:val="00882708"/>
    <w:rsid w:val="0088333F"/>
    <w:rsid w:val="00883767"/>
    <w:rsid w:val="00884D60"/>
    <w:rsid w:val="00890C8B"/>
    <w:rsid w:val="00891592"/>
    <w:rsid w:val="00891E9E"/>
    <w:rsid w:val="00892871"/>
    <w:rsid w:val="00893649"/>
    <w:rsid w:val="0089440A"/>
    <w:rsid w:val="00894516"/>
    <w:rsid w:val="00894D2D"/>
    <w:rsid w:val="0089647A"/>
    <w:rsid w:val="0089744B"/>
    <w:rsid w:val="00897F9E"/>
    <w:rsid w:val="008A07B1"/>
    <w:rsid w:val="008A1138"/>
    <w:rsid w:val="008A2F68"/>
    <w:rsid w:val="008A4141"/>
    <w:rsid w:val="008A48D4"/>
    <w:rsid w:val="008A6278"/>
    <w:rsid w:val="008B45A4"/>
    <w:rsid w:val="008B4FA6"/>
    <w:rsid w:val="008B5282"/>
    <w:rsid w:val="008B59B8"/>
    <w:rsid w:val="008B5D08"/>
    <w:rsid w:val="008B6ADE"/>
    <w:rsid w:val="008B6E79"/>
    <w:rsid w:val="008B7BC6"/>
    <w:rsid w:val="008B7C17"/>
    <w:rsid w:val="008C2D01"/>
    <w:rsid w:val="008C334E"/>
    <w:rsid w:val="008C3836"/>
    <w:rsid w:val="008C3D27"/>
    <w:rsid w:val="008C40E6"/>
    <w:rsid w:val="008C4840"/>
    <w:rsid w:val="008C7D22"/>
    <w:rsid w:val="008D0322"/>
    <w:rsid w:val="008D03D4"/>
    <w:rsid w:val="008D096E"/>
    <w:rsid w:val="008D0F7A"/>
    <w:rsid w:val="008D3826"/>
    <w:rsid w:val="008D51D0"/>
    <w:rsid w:val="008D68E4"/>
    <w:rsid w:val="008D7764"/>
    <w:rsid w:val="008E0506"/>
    <w:rsid w:val="008E0CFF"/>
    <w:rsid w:val="008E5D6B"/>
    <w:rsid w:val="008E76F0"/>
    <w:rsid w:val="008E7BAC"/>
    <w:rsid w:val="008F06C3"/>
    <w:rsid w:val="008F07B5"/>
    <w:rsid w:val="008F15FE"/>
    <w:rsid w:val="008F2D29"/>
    <w:rsid w:val="008F309F"/>
    <w:rsid w:val="008F3960"/>
    <w:rsid w:val="008F5187"/>
    <w:rsid w:val="008F55BC"/>
    <w:rsid w:val="008F5DC8"/>
    <w:rsid w:val="008F60D8"/>
    <w:rsid w:val="008F6BEE"/>
    <w:rsid w:val="008F6F3F"/>
    <w:rsid w:val="008F7C11"/>
    <w:rsid w:val="00900A73"/>
    <w:rsid w:val="009019B2"/>
    <w:rsid w:val="00902727"/>
    <w:rsid w:val="0090291E"/>
    <w:rsid w:val="0090312B"/>
    <w:rsid w:val="00906608"/>
    <w:rsid w:val="0090754B"/>
    <w:rsid w:val="0090779C"/>
    <w:rsid w:val="00907F49"/>
    <w:rsid w:val="00910849"/>
    <w:rsid w:val="009113C2"/>
    <w:rsid w:val="00911841"/>
    <w:rsid w:val="00911FCD"/>
    <w:rsid w:val="00912B6D"/>
    <w:rsid w:val="0091736D"/>
    <w:rsid w:val="0091793B"/>
    <w:rsid w:val="00920823"/>
    <w:rsid w:val="00926FA7"/>
    <w:rsid w:val="0092753A"/>
    <w:rsid w:val="0093037A"/>
    <w:rsid w:val="009310EB"/>
    <w:rsid w:val="00934F4B"/>
    <w:rsid w:val="0094154D"/>
    <w:rsid w:val="00942C40"/>
    <w:rsid w:val="00943D9D"/>
    <w:rsid w:val="009443EC"/>
    <w:rsid w:val="0094569B"/>
    <w:rsid w:val="00946571"/>
    <w:rsid w:val="0095155F"/>
    <w:rsid w:val="00954429"/>
    <w:rsid w:val="009563CE"/>
    <w:rsid w:val="009564B7"/>
    <w:rsid w:val="00960EB6"/>
    <w:rsid w:val="009616F3"/>
    <w:rsid w:val="009631B7"/>
    <w:rsid w:val="00966BA2"/>
    <w:rsid w:val="0096721C"/>
    <w:rsid w:val="0097156B"/>
    <w:rsid w:val="0097166A"/>
    <w:rsid w:val="0097308E"/>
    <w:rsid w:val="00974CD8"/>
    <w:rsid w:val="00976328"/>
    <w:rsid w:val="0097680D"/>
    <w:rsid w:val="00980377"/>
    <w:rsid w:val="009805D8"/>
    <w:rsid w:val="00980B3A"/>
    <w:rsid w:val="009812FA"/>
    <w:rsid w:val="00981653"/>
    <w:rsid w:val="00982438"/>
    <w:rsid w:val="0098404C"/>
    <w:rsid w:val="00985283"/>
    <w:rsid w:val="0098530C"/>
    <w:rsid w:val="009933E6"/>
    <w:rsid w:val="0099368D"/>
    <w:rsid w:val="00995992"/>
    <w:rsid w:val="0099721B"/>
    <w:rsid w:val="009A03E5"/>
    <w:rsid w:val="009A073B"/>
    <w:rsid w:val="009A0869"/>
    <w:rsid w:val="009A0F3B"/>
    <w:rsid w:val="009A1BB4"/>
    <w:rsid w:val="009A2077"/>
    <w:rsid w:val="009A2628"/>
    <w:rsid w:val="009A30E7"/>
    <w:rsid w:val="009A3200"/>
    <w:rsid w:val="009A7413"/>
    <w:rsid w:val="009B0897"/>
    <w:rsid w:val="009B1398"/>
    <w:rsid w:val="009B2A06"/>
    <w:rsid w:val="009B40F4"/>
    <w:rsid w:val="009B4BA3"/>
    <w:rsid w:val="009B7BC1"/>
    <w:rsid w:val="009B7BD9"/>
    <w:rsid w:val="009C0178"/>
    <w:rsid w:val="009C0981"/>
    <w:rsid w:val="009C21EE"/>
    <w:rsid w:val="009C718C"/>
    <w:rsid w:val="009C7622"/>
    <w:rsid w:val="009C7DD5"/>
    <w:rsid w:val="009D0153"/>
    <w:rsid w:val="009D4AD0"/>
    <w:rsid w:val="009D63A9"/>
    <w:rsid w:val="009D649B"/>
    <w:rsid w:val="009D71CA"/>
    <w:rsid w:val="009E227D"/>
    <w:rsid w:val="009E5019"/>
    <w:rsid w:val="009E6CF9"/>
    <w:rsid w:val="009E7408"/>
    <w:rsid w:val="009F1EC2"/>
    <w:rsid w:val="009F2174"/>
    <w:rsid w:val="009F6FB1"/>
    <w:rsid w:val="00A01DEE"/>
    <w:rsid w:val="00A03442"/>
    <w:rsid w:val="00A03778"/>
    <w:rsid w:val="00A04025"/>
    <w:rsid w:val="00A04F1B"/>
    <w:rsid w:val="00A0501B"/>
    <w:rsid w:val="00A07B51"/>
    <w:rsid w:val="00A121BD"/>
    <w:rsid w:val="00A145D7"/>
    <w:rsid w:val="00A14947"/>
    <w:rsid w:val="00A214A7"/>
    <w:rsid w:val="00A2360C"/>
    <w:rsid w:val="00A23929"/>
    <w:rsid w:val="00A243A6"/>
    <w:rsid w:val="00A2782E"/>
    <w:rsid w:val="00A31A59"/>
    <w:rsid w:val="00A32A83"/>
    <w:rsid w:val="00A368DB"/>
    <w:rsid w:val="00A37429"/>
    <w:rsid w:val="00A37DF1"/>
    <w:rsid w:val="00A423AA"/>
    <w:rsid w:val="00A51702"/>
    <w:rsid w:val="00A519C5"/>
    <w:rsid w:val="00A519E2"/>
    <w:rsid w:val="00A5291E"/>
    <w:rsid w:val="00A53EC6"/>
    <w:rsid w:val="00A54BA0"/>
    <w:rsid w:val="00A55C0F"/>
    <w:rsid w:val="00A566D3"/>
    <w:rsid w:val="00A6469B"/>
    <w:rsid w:val="00A64F6D"/>
    <w:rsid w:val="00A6517C"/>
    <w:rsid w:val="00A70830"/>
    <w:rsid w:val="00A738E5"/>
    <w:rsid w:val="00A74540"/>
    <w:rsid w:val="00A74AC3"/>
    <w:rsid w:val="00A76D5A"/>
    <w:rsid w:val="00A776F2"/>
    <w:rsid w:val="00A81075"/>
    <w:rsid w:val="00A81307"/>
    <w:rsid w:val="00A81A5B"/>
    <w:rsid w:val="00A8256A"/>
    <w:rsid w:val="00A827B3"/>
    <w:rsid w:val="00A82D00"/>
    <w:rsid w:val="00A8523F"/>
    <w:rsid w:val="00A85B11"/>
    <w:rsid w:val="00A8713F"/>
    <w:rsid w:val="00A87CD0"/>
    <w:rsid w:val="00A901DA"/>
    <w:rsid w:val="00A90BA1"/>
    <w:rsid w:val="00A916AB"/>
    <w:rsid w:val="00A91956"/>
    <w:rsid w:val="00A92294"/>
    <w:rsid w:val="00A939DC"/>
    <w:rsid w:val="00A93BEE"/>
    <w:rsid w:val="00A93EFD"/>
    <w:rsid w:val="00A94FAE"/>
    <w:rsid w:val="00A97A9A"/>
    <w:rsid w:val="00AA0671"/>
    <w:rsid w:val="00AA1B25"/>
    <w:rsid w:val="00AA2531"/>
    <w:rsid w:val="00AA43C0"/>
    <w:rsid w:val="00AB1E09"/>
    <w:rsid w:val="00AB1ECD"/>
    <w:rsid w:val="00AB248B"/>
    <w:rsid w:val="00AB31FD"/>
    <w:rsid w:val="00AB4BF8"/>
    <w:rsid w:val="00AB5330"/>
    <w:rsid w:val="00AB56FA"/>
    <w:rsid w:val="00AB7747"/>
    <w:rsid w:val="00AB7BEB"/>
    <w:rsid w:val="00AC0D6D"/>
    <w:rsid w:val="00AC14CE"/>
    <w:rsid w:val="00AC2A56"/>
    <w:rsid w:val="00AC41AA"/>
    <w:rsid w:val="00AC6A4E"/>
    <w:rsid w:val="00AC6F9C"/>
    <w:rsid w:val="00AC794F"/>
    <w:rsid w:val="00AD055E"/>
    <w:rsid w:val="00AD08BC"/>
    <w:rsid w:val="00AD47A7"/>
    <w:rsid w:val="00AD76DE"/>
    <w:rsid w:val="00AD7E57"/>
    <w:rsid w:val="00AE1C1B"/>
    <w:rsid w:val="00AE22F4"/>
    <w:rsid w:val="00AE2CA1"/>
    <w:rsid w:val="00AE382D"/>
    <w:rsid w:val="00AE41EE"/>
    <w:rsid w:val="00AE513D"/>
    <w:rsid w:val="00AE700E"/>
    <w:rsid w:val="00AF0CBF"/>
    <w:rsid w:val="00AF257F"/>
    <w:rsid w:val="00AF33CF"/>
    <w:rsid w:val="00AF3E55"/>
    <w:rsid w:val="00AF4D50"/>
    <w:rsid w:val="00AF5BE4"/>
    <w:rsid w:val="00AF6179"/>
    <w:rsid w:val="00B0016C"/>
    <w:rsid w:val="00B005C6"/>
    <w:rsid w:val="00B00E49"/>
    <w:rsid w:val="00B02676"/>
    <w:rsid w:val="00B03779"/>
    <w:rsid w:val="00B04A6F"/>
    <w:rsid w:val="00B11541"/>
    <w:rsid w:val="00B11F0E"/>
    <w:rsid w:val="00B12490"/>
    <w:rsid w:val="00B1295A"/>
    <w:rsid w:val="00B13425"/>
    <w:rsid w:val="00B13BE8"/>
    <w:rsid w:val="00B14A99"/>
    <w:rsid w:val="00B15C4E"/>
    <w:rsid w:val="00B20877"/>
    <w:rsid w:val="00B20A45"/>
    <w:rsid w:val="00B22211"/>
    <w:rsid w:val="00B22C5C"/>
    <w:rsid w:val="00B2465D"/>
    <w:rsid w:val="00B24F30"/>
    <w:rsid w:val="00B25695"/>
    <w:rsid w:val="00B273B1"/>
    <w:rsid w:val="00B275F3"/>
    <w:rsid w:val="00B278E7"/>
    <w:rsid w:val="00B3072F"/>
    <w:rsid w:val="00B31ABF"/>
    <w:rsid w:val="00B33BE3"/>
    <w:rsid w:val="00B47195"/>
    <w:rsid w:val="00B4744C"/>
    <w:rsid w:val="00B47741"/>
    <w:rsid w:val="00B477F4"/>
    <w:rsid w:val="00B5036F"/>
    <w:rsid w:val="00B513BB"/>
    <w:rsid w:val="00B52BBF"/>
    <w:rsid w:val="00B53B5D"/>
    <w:rsid w:val="00B546C1"/>
    <w:rsid w:val="00B6055E"/>
    <w:rsid w:val="00B6317D"/>
    <w:rsid w:val="00B64B46"/>
    <w:rsid w:val="00B64FF9"/>
    <w:rsid w:val="00B667F8"/>
    <w:rsid w:val="00B73BDD"/>
    <w:rsid w:val="00B746AF"/>
    <w:rsid w:val="00B74BEE"/>
    <w:rsid w:val="00B7723F"/>
    <w:rsid w:val="00B80534"/>
    <w:rsid w:val="00B8061E"/>
    <w:rsid w:val="00B8183F"/>
    <w:rsid w:val="00B83B6A"/>
    <w:rsid w:val="00B8433C"/>
    <w:rsid w:val="00B84B39"/>
    <w:rsid w:val="00B851CA"/>
    <w:rsid w:val="00B85BC0"/>
    <w:rsid w:val="00B87491"/>
    <w:rsid w:val="00B906D4"/>
    <w:rsid w:val="00B95E0F"/>
    <w:rsid w:val="00B96636"/>
    <w:rsid w:val="00BA0CBB"/>
    <w:rsid w:val="00BA232B"/>
    <w:rsid w:val="00BA29E9"/>
    <w:rsid w:val="00BA3FB7"/>
    <w:rsid w:val="00BA40BD"/>
    <w:rsid w:val="00BA47FF"/>
    <w:rsid w:val="00BA6957"/>
    <w:rsid w:val="00BA7142"/>
    <w:rsid w:val="00BB01D4"/>
    <w:rsid w:val="00BB17A3"/>
    <w:rsid w:val="00BB1E03"/>
    <w:rsid w:val="00BB237C"/>
    <w:rsid w:val="00BB26AB"/>
    <w:rsid w:val="00BB41A3"/>
    <w:rsid w:val="00BB54A2"/>
    <w:rsid w:val="00BC32DC"/>
    <w:rsid w:val="00BC35B6"/>
    <w:rsid w:val="00BC4137"/>
    <w:rsid w:val="00BC47F0"/>
    <w:rsid w:val="00BC5212"/>
    <w:rsid w:val="00BC5C6E"/>
    <w:rsid w:val="00BC78F6"/>
    <w:rsid w:val="00BC7D79"/>
    <w:rsid w:val="00BD1B51"/>
    <w:rsid w:val="00BD2171"/>
    <w:rsid w:val="00BD3B34"/>
    <w:rsid w:val="00BD4596"/>
    <w:rsid w:val="00BD67BC"/>
    <w:rsid w:val="00BE027B"/>
    <w:rsid w:val="00BE0467"/>
    <w:rsid w:val="00BE09F8"/>
    <w:rsid w:val="00BE1405"/>
    <w:rsid w:val="00BE1E88"/>
    <w:rsid w:val="00BE215B"/>
    <w:rsid w:val="00BE312D"/>
    <w:rsid w:val="00BE4567"/>
    <w:rsid w:val="00BE4ACF"/>
    <w:rsid w:val="00BE5D58"/>
    <w:rsid w:val="00BE6A15"/>
    <w:rsid w:val="00BF1B75"/>
    <w:rsid w:val="00BF1C20"/>
    <w:rsid w:val="00BF217B"/>
    <w:rsid w:val="00BF3050"/>
    <w:rsid w:val="00BF4723"/>
    <w:rsid w:val="00C00F2D"/>
    <w:rsid w:val="00C01DE5"/>
    <w:rsid w:val="00C02905"/>
    <w:rsid w:val="00C0589B"/>
    <w:rsid w:val="00C07B42"/>
    <w:rsid w:val="00C10578"/>
    <w:rsid w:val="00C10627"/>
    <w:rsid w:val="00C116C8"/>
    <w:rsid w:val="00C127E1"/>
    <w:rsid w:val="00C135BC"/>
    <w:rsid w:val="00C135D6"/>
    <w:rsid w:val="00C15C95"/>
    <w:rsid w:val="00C16477"/>
    <w:rsid w:val="00C16743"/>
    <w:rsid w:val="00C171B0"/>
    <w:rsid w:val="00C175B1"/>
    <w:rsid w:val="00C177DE"/>
    <w:rsid w:val="00C17A6F"/>
    <w:rsid w:val="00C22BE2"/>
    <w:rsid w:val="00C237DB"/>
    <w:rsid w:val="00C23B88"/>
    <w:rsid w:val="00C2596A"/>
    <w:rsid w:val="00C2662B"/>
    <w:rsid w:val="00C26E02"/>
    <w:rsid w:val="00C27537"/>
    <w:rsid w:val="00C30894"/>
    <w:rsid w:val="00C328FE"/>
    <w:rsid w:val="00C333CE"/>
    <w:rsid w:val="00C33507"/>
    <w:rsid w:val="00C33897"/>
    <w:rsid w:val="00C3476B"/>
    <w:rsid w:val="00C34CF0"/>
    <w:rsid w:val="00C42B1B"/>
    <w:rsid w:val="00C4409D"/>
    <w:rsid w:val="00C44E72"/>
    <w:rsid w:val="00C45A06"/>
    <w:rsid w:val="00C4717D"/>
    <w:rsid w:val="00C47E5B"/>
    <w:rsid w:val="00C51DFD"/>
    <w:rsid w:val="00C5667C"/>
    <w:rsid w:val="00C61E4B"/>
    <w:rsid w:val="00C61F57"/>
    <w:rsid w:val="00C640E9"/>
    <w:rsid w:val="00C64BFF"/>
    <w:rsid w:val="00C67741"/>
    <w:rsid w:val="00C704E9"/>
    <w:rsid w:val="00C713E3"/>
    <w:rsid w:val="00C7298E"/>
    <w:rsid w:val="00C72E17"/>
    <w:rsid w:val="00C73067"/>
    <w:rsid w:val="00C735F5"/>
    <w:rsid w:val="00C746DF"/>
    <w:rsid w:val="00C763C9"/>
    <w:rsid w:val="00C80057"/>
    <w:rsid w:val="00C82232"/>
    <w:rsid w:val="00C82913"/>
    <w:rsid w:val="00C8355B"/>
    <w:rsid w:val="00C83D63"/>
    <w:rsid w:val="00C868C8"/>
    <w:rsid w:val="00C872AC"/>
    <w:rsid w:val="00C87415"/>
    <w:rsid w:val="00C877E7"/>
    <w:rsid w:val="00C91F2D"/>
    <w:rsid w:val="00C949FB"/>
    <w:rsid w:val="00C972B1"/>
    <w:rsid w:val="00C972EF"/>
    <w:rsid w:val="00C97D8F"/>
    <w:rsid w:val="00CA2CCE"/>
    <w:rsid w:val="00CA43FD"/>
    <w:rsid w:val="00CA4A08"/>
    <w:rsid w:val="00CA68B2"/>
    <w:rsid w:val="00CA698F"/>
    <w:rsid w:val="00CA6B96"/>
    <w:rsid w:val="00CA72FF"/>
    <w:rsid w:val="00CA74C9"/>
    <w:rsid w:val="00CA7EF8"/>
    <w:rsid w:val="00CB0778"/>
    <w:rsid w:val="00CB328E"/>
    <w:rsid w:val="00CB38C4"/>
    <w:rsid w:val="00CC093F"/>
    <w:rsid w:val="00CC130D"/>
    <w:rsid w:val="00CC18BD"/>
    <w:rsid w:val="00CC1B2D"/>
    <w:rsid w:val="00CC1FDB"/>
    <w:rsid w:val="00CC489B"/>
    <w:rsid w:val="00CC4B3E"/>
    <w:rsid w:val="00CC61F9"/>
    <w:rsid w:val="00CC6AE3"/>
    <w:rsid w:val="00CC6F17"/>
    <w:rsid w:val="00CD070C"/>
    <w:rsid w:val="00CD2BCD"/>
    <w:rsid w:val="00CD3A4C"/>
    <w:rsid w:val="00CD4008"/>
    <w:rsid w:val="00CD57DF"/>
    <w:rsid w:val="00CD79DA"/>
    <w:rsid w:val="00CE10E9"/>
    <w:rsid w:val="00CE2910"/>
    <w:rsid w:val="00CE2F17"/>
    <w:rsid w:val="00CE349D"/>
    <w:rsid w:val="00CE5393"/>
    <w:rsid w:val="00CF36BE"/>
    <w:rsid w:val="00CF44E8"/>
    <w:rsid w:val="00CF465F"/>
    <w:rsid w:val="00CF6000"/>
    <w:rsid w:val="00CF65B7"/>
    <w:rsid w:val="00D003F3"/>
    <w:rsid w:val="00D0364F"/>
    <w:rsid w:val="00D03F31"/>
    <w:rsid w:val="00D04C0B"/>
    <w:rsid w:val="00D059B3"/>
    <w:rsid w:val="00D06834"/>
    <w:rsid w:val="00D117C7"/>
    <w:rsid w:val="00D119E5"/>
    <w:rsid w:val="00D14040"/>
    <w:rsid w:val="00D14340"/>
    <w:rsid w:val="00D151F0"/>
    <w:rsid w:val="00D15950"/>
    <w:rsid w:val="00D20C3D"/>
    <w:rsid w:val="00D2141B"/>
    <w:rsid w:val="00D23F6C"/>
    <w:rsid w:val="00D247D4"/>
    <w:rsid w:val="00D26EFA"/>
    <w:rsid w:val="00D2752B"/>
    <w:rsid w:val="00D308ED"/>
    <w:rsid w:val="00D34224"/>
    <w:rsid w:val="00D36D86"/>
    <w:rsid w:val="00D4032B"/>
    <w:rsid w:val="00D428AA"/>
    <w:rsid w:val="00D50A34"/>
    <w:rsid w:val="00D50F59"/>
    <w:rsid w:val="00D53EFA"/>
    <w:rsid w:val="00D61971"/>
    <w:rsid w:val="00D619B2"/>
    <w:rsid w:val="00D6245D"/>
    <w:rsid w:val="00D64DA3"/>
    <w:rsid w:val="00D66461"/>
    <w:rsid w:val="00D70E36"/>
    <w:rsid w:val="00D71F55"/>
    <w:rsid w:val="00D74348"/>
    <w:rsid w:val="00D748D3"/>
    <w:rsid w:val="00D764F2"/>
    <w:rsid w:val="00D77401"/>
    <w:rsid w:val="00D8183E"/>
    <w:rsid w:val="00D82E53"/>
    <w:rsid w:val="00D860B5"/>
    <w:rsid w:val="00D86EC7"/>
    <w:rsid w:val="00D901DB"/>
    <w:rsid w:val="00D92801"/>
    <w:rsid w:val="00D935EE"/>
    <w:rsid w:val="00D93D61"/>
    <w:rsid w:val="00D93E7A"/>
    <w:rsid w:val="00D93FB1"/>
    <w:rsid w:val="00D94A7C"/>
    <w:rsid w:val="00D95896"/>
    <w:rsid w:val="00D96712"/>
    <w:rsid w:val="00DA1EA6"/>
    <w:rsid w:val="00DA5803"/>
    <w:rsid w:val="00DB181A"/>
    <w:rsid w:val="00DB2983"/>
    <w:rsid w:val="00DB462B"/>
    <w:rsid w:val="00DB4D25"/>
    <w:rsid w:val="00DC03F9"/>
    <w:rsid w:val="00DC1257"/>
    <w:rsid w:val="00DC3DC0"/>
    <w:rsid w:val="00DC5383"/>
    <w:rsid w:val="00DC5B2B"/>
    <w:rsid w:val="00DC70B9"/>
    <w:rsid w:val="00DC7FE7"/>
    <w:rsid w:val="00DD0D02"/>
    <w:rsid w:val="00DD0F07"/>
    <w:rsid w:val="00DD2318"/>
    <w:rsid w:val="00DD318D"/>
    <w:rsid w:val="00DD32A7"/>
    <w:rsid w:val="00DD4DE0"/>
    <w:rsid w:val="00DD54BE"/>
    <w:rsid w:val="00DD5994"/>
    <w:rsid w:val="00DE0A4A"/>
    <w:rsid w:val="00DE4987"/>
    <w:rsid w:val="00DE4A69"/>
    <w:rsid w:val="00DE5568"/>
    <w:rsid w:val="00DE5FE7"/>
    <w:rsid w:val="00DF2E12"/>
    <w:rsid w:val="00DF2E6E"/>
    <w:rsid w:val="00DF464B"/>
    <w:rsid w:val="00DF514A"/>
    <w:rsid w:val="00DF55E0"/>
    <w:rsid w:val="00DF6690"/>
    <w:rsid w:val="00DF6804"/>
    <w:rsid w:val="00DF6BBB"/>
    <w:rsid w:val="00E024B8"/>
    <w:rsid w:val="00E0358D"/>
    <w:rsid w:val="00E04323"/>
    <w:rsid w:val="00E04522"/>
    <w:rsid w:val="00E04BB6"/>
    <w:rsid w:val="00E065A4"/>
    <w:rsid w:val="00E070A2"/>
    <w:rsid w:val="00E1684E"/>
    <w:rsid w:val="00E16B31"/>
    <w:rsid w:val="00E17477"/>
    <w:rsid w:val="00E20C91"/>
    <w:rsid w:val="00E22DA8"/>
    <w:rsid w:val="00E2656A"/>
    <w:rsid w:val="00E318DF"/>
    <w:rsid w:val="00E32B23"/>
    <w:rsid w:val="00E32E10"/>
    <w:rsid w:val="00E35C6F"/>
    <w:rsid w:val="00E406AE"/>
    <w:rsid w:val="00E407A7"/>
    <w:rsid w:val="00E412D0"/>
    <w:rsid w:val="00E44897"/>
    <w:rsid w:val="00E44C0C"/>
    <w:rsid w:val="00E47059"/>
    <w:rsid w:val="00E5028F"/>
    <w:rsid w:val="00E5137A"/>
    <w:rsid w:val="00E53A0D"/>
    <w:rsid w:val="00E56322"/>
    <w:rsid w:val="00E56F99"/>
    <w:rsid w:val="00E572F4"/>
    <w:rsid w:val="00E57B80"/>
    <w:rsid w:val="00E60982"/>
    <w:rsid w:val="00E62019"/>
    <w:rsid w:val="00E62C62"/>
    <w:rsid w:val="00E6512F"/>
    <w:rsid w:val="00E654C1"/>
    <w:rsid w:val="00E65722"/>
    <w:rsid w:val="00E65D97"/>
    <w:rsid w:val="00E6772F"/>
    <w:rsid w:val="00E71D14"/>
    <w:rsid w:val="00E721B5"/>
    <w:rsid w:val="00E72A5A"/>
    <w:rsid w:val="00E73354"/>
    <w:rsid w:val="00E759C2"/>
    <w:rsid w:val="00E81552"/>
    <w:rsid w:val="00E82E4C"/>
    <w:rsid w:val="00E85B1D"/>
    <w:rsid w:val="00E86D67"/>
    <w:rsid w:val="00E8729E"/>
    <w:rsid w:val="00E9242D"/>
    <w:rsid w:val="00E953AC"/>
    <w:rsid w:val="00E97C11"/>
    <w:rsid w:val="00EA62BA"/>
    <w:rsid w:val="00EA660F"/>
    <w:rsid w:val="00EA70D3"/>
    <w:rsid w:val="00EB0CD4"/>
    <w:rsid w:val="00EB18C7"/>
    <w:rsid w:val="00EB247E"/>
    <w:rsid w:val="00EB4036"/>
    <w:rsid w:val="00EB5255"/>
    <w:rsid w:val="00EB5C47"/>
    <w:rsid w:val="00EB7D13"/>
    <w:rsid w:val="00EC0961"/>
    <w:rsid w:val="00EC3FFD"/>
    <w:rsid w:val="00EC6112"/>
    <w:rsid w:val="00EC691F"/>
    <w:rsid w:val="00EC78F8"/>
    <w:rsid w:val="00ED0639"/>
    <w:rsid w:val="00ED0BAD"/>
    <w:rsid w:val="00ED1896"/>
    <w:rsid w:val="00ED5B0B"/>
    <w:rsid w:val="00ED5E7C"/>
    <w:rsid w:val="00EE11EC"/>
    <w:rsid w:val="00EE1477"/>
    <w:rsid w:val="00EE16E3"/>
    <w:rsid w:val="00EE3C83"/>
    <w:rsid w:val="00EE6B6E"/>
    <w:rsid w:val="00EE7F4C"/>
    <w:rsid w:val="00EF14DF"/>
    <w:rsid w:val="00EF18B4"/>
    <w:rsid w:val="00EF2752"/>
    <w:rsid w:val="00EF4755"/>
    <w:rsid w:val="00EF4DEB"/>
    <w:rsid w:val="00EF7135"/>
    <w:rsid w:val="00EF7F18"/>
    <w:rsid w:val="00F00AF3"/>
    <w:rsid w:val="00F027DB"/>
    <w:rsid w:val="00F12A77"/>
    <w:rsid w:val="00F1470A"/>
    <w:rsid w:val="00F14A7A"/>
    <w:rsid w:val="00F15593"/>
    <w:rsid w:val="00F1702C"/>
    <w:rsid w:val="00F21B21"/>
    <w:rsid w:val="00F22985"/>
    <w:rsid w:val="00F251A4"/>
    <w:rsid w:val="00F26ECF"/>
    <w:rsid w:val="00F27485"/>
    <w:rsid w:val="00F278B1"/>
    <w:rsid w:val="00F279BA"/>
    <w:rsid w:val="00F27A33"/>
    <w:rsid w:val="00F32358"/>
    <w:rsid w:val="00F3383E"/>
    <w:rsid w:val="00F35693"/>
    <w:rsid w:val="00F3750F"/>
    <w:rsid w:val="00F416E2"/>
    <w:rsid w:val="00F447CF"/>
    <w:rsid w:val="00F46475"/>
    <w:rsid w:val="00F465A7"/>
    <w:rsid w:val="00F50B7C"/>
    <w:rsid w:val="00F516E3"/>
    <w:rsid w:val="00F54622"/>
    <w:rsid w:val="00F54B22"/>
    <w:rsid w:val="00F550E6"/>
    <w:rsid w:val="00F55989"/>
    <w:rsid w:val="00F56E6A"/>
    <w:rsid w:val="00F57C42"/>
    <w:rsid w:val="00F628FF"/>
    <w:rsid w:val="00F64EEE"/>
    <w:rsid w:val="00F66F93"/>
    <w:rsid w:val="00F67EE0"/>
    <w:rsid w:val="00F715F1"/>
    <w:rsid w:val="00F74345"/>
    <w:rsid w:val="00F774E0"/>
    <w:rsid w:val="00F8049D"/>
    <w:rsid w:val="00F80A0A"/>
    <w:rsid w:val="00F8171A"/>
    <w:rsid w:val="00F81F4F"/>
    <w:rsid w:val="00F82B19"/>
    <w:rsid w:val="00F8692F"/>
    <w:rsid w:val="00F872A4"/>
    <w:rsid w:val="00F90453"/>
    <w:rsid w:val="00F913CF"/>
    <w:rsid w:val="00F9212D"/>
    <w:rsid w:val="00F94040"/>
    <w:rsid w:val="00F9430A"/>
    <w:rsid w:val="00F965DA"/>
    <w:rsid w:val="00F9727A"/>
    <w:rsid w:val="00FA181B"/>
    <w:rsid w:val="00FA209E"/>
    <w:rsid w:val="00FA290B"/>
    <w:rsid w:val="00FA406A"/>
    <w:rsid w:val="00FA4D38"/>
    <w:rsid w:val="00FB0DE7"/>
    <w:rsid w:val="00FB16E0"/>
    <w:rsid w:val="00FB213E"/>
    <w:rsid w:val="00FB4547"/>
    <w:rsid w:val="00FB4A89"/>
    <w:rsid w:val="00FB4D72"/>
    <w:rsid w:val="00FB503A"/>
    <w:rsid w:val="00FB516C"/>
    <w:rsid w:val="00FB5A9D"/>
    <w:rsid w:val="00FB7058"/>
    <w:rsid w:val="00FC1DEA"/>
    <w:rsid w:val="00FC5868"/>
    <w:rsid w:val="00FC7071"/>
    <w:rsid w:val="00FC7BEF"/>
    <w:rsid w:val="00FD0236"/>
    <w:rsid w:val="00FD18F4"/>
    <w:rsid w:val="00FD3E3C"/>
    <w:rsid w:val="00FD54DB"/>
    <w:rsid w:val="00FD619F"/>
    <w:rsid w:val="00FD68B3"/>
    <w:rsid w:val="00FD6F02"/>
    <w:rsid w:val="00FD7C48"/>
    <w:rsid w:val="00FE09F0"/>
    <w:rsid w:val="00FE263E"/>
    <w:rsid w:val="00FE3C6C"/>
    <w:rsid w:val="00FE451F"/>
    <w:rsid w:val="00FE4B2D"/>
    <w:rsid w:val="00FE5FD9"/>
    <w:rsid w:val="00FE62C1"/>
    <w:rsid w:val="00FE6F26"/>
    <w:rsid w:val="00FE72EB"/>
    <w:rsid w:val="00FF1A5F"/>
    <w:rsid w:val="00FF579F"/>
    <w:rsid w:val="00FF618E"/>
    <w:rsid w:val="0112363F"/>
    <w:rsid w:val="011B277A"/>
    <w:rsid w:val="01200ACA"/>
    <w:rsid w:val="012375FA"/>
    <w:rsid w:val="01290F7E"/>
    <w:rsid w:val="012D1688"/>
    <w:rsid w:val="01461CAA"/>
    <w:rsid w:val="014706D9"/>
    <w:rsid w:val="015422C1"/>
    <w:rsid w:val="015D1E09"/>
    <w:rsid w:val="015D3F64"/>
    <w:rsid w:val="017617EC"/>
    <w:rsid w:val="0194631B"/>
    <w:rsid w:val="01A61BE6"/>
    <w:rsid w:val="01B92525"/>
    <w:rsid w:val="01C4410E"/>
    <w:rsid w:val="01CA1CDE"/>
    <w:rsid w:val="01D6466C"/>
    <w:rsid w:val="01EA5390"/>
    <w:rsid w:val="021249DF"/>
    <w:rsid w:val="022842F2"/>
    <w:rsid w:val="02346E2A"/>
    <w:rsid w:val="02613039"/>
    <w:rsid w:val="02680A93"/>
    <w:rsid w:val="02681256"/>
    <w:rsid w:val="02697903"/>
    <w:rsid w:val="029660FC"/>
    <w:rsid w:val="02B75E8A"/>
    <w:rsid w:val="02B77950"/>
    <w:rsid w:val="02BF1E30"/>
    <w:rsid w:val="02C848FD"/>
    <w:rsid w:val="02CA1054"/>
    <w:rsid w:val="02CA5C73"/>
    <w:rsid w:val="02CF525E"/>
    <w:rsid w:val="02DF3456"/>
    <w:rsid w:val="02E31735"/>
    <w:rsid w:val="02F96569"/>
    <w:rsid w:val="032167B8"/>
    <w:rsid w:val="032E3E76"/>
    <w:rsid w:val="0338792E"/>
    <w:rsid w:val="03437920"/>
    <w:rsid w:val="03485512"/>
    <w:rsid w:val="035463F1"/>
    <w:rsid w:val="03787A27"/>
    <w:rsid w:val="038D16A3"/>
    <w:rsid w:val="03993BA4"/>
    <w:rsid w:val="03B92498"/>
    <w:rsid w:val="03C6212D"/>
    <w:rsid w:val="03D165EE"/>
    <w:rsid w:val="03D64FD6"/>
    <w:rsid w:val="03D70B20"/>
    <w:rsid w:val="03D9346D"/>
    <w:rsid w:val="03DC2BB4"/>
    <w:rsid w:val="03EA7B21"/>
    <w:rsid w:val="04283069"/>
    <w:rsid w:val="04382436"/>
    <w:rsid w:val="044043DC"/>
    <w:rsid w:val="046441B2"/>
    <w:rsid w:val="048E7480"/>
    <w:rsid w:val="049A573D"/>
    <w:rsid w:val="049E59B4"/>
    <w:rsid w:val="04A4283F"/>
    <w:rsid w:val="04A64380"/>
    <w:rsid w:val="04AE3730"/>
    <w:rsid w:val="04C017BC"/>
    <w:rsid w:val="04C60867"/>
    <w:rsid w:val="04D72A71"/>
    <w:rsid w:val="04FA5829"/>
    <w:rsid w:val="052A2678"/>
    <w:rsid w:val="0536529F"/>
    <w:rsid w:val="053A1034"/>
    <w:rsid w:val="055236F8"/>
    <w:rsid w:val="056014EC"/>
    <w:rsid w:val="057E36AB"/>
    <w:rsid w:val="05802928"/>
    <w:rsid w:val="05813BED"/>
    <w:rsid w:val="05902DDA"/>
    <w:rsid w:val="05A16D0A"/>
    <w:rsid w:val="05A31DC8"/>
    <w:rsid w:val="05A75BC0"/>
    <w:rsid w:val="05BA211D"/>
    <w:rsid w:val="05CF5F5F"/>
    <w:rsid w:val="05D77483"/>
    <w:rsid w:val="05E11832"/>
    <w:rsid w:val="05F83EAE"/>
    <w:rsid w:val="0634010B"/>
    <w:rsid w:val="063D5962"/>
    <w:rsid w:val="063E7D85"/>
    <w:rsid w:val="064172B1"/>
    <w:rsid w:val="0667119C"/>
    <w:rsid w:val="067A0E62"/>
    <w:rsid w:val="0682582D"/>
    <w:rsid w:val="068A316B"/>
    <w:rsid w:val="069420F9"/>
    <w:rsid w:val="06A222AE"/>
    <w:rsid w:val="06A52F07"/>
    <w:rsid w:val="06AF244F"/>
    <w:rsid w:val="06B034D9"/>
    <w:rsid w:val="06B76BA9"/>
    <w:rsid w:val="06BE014E"/>
    <w:rsid w:val="06BF357E"/>
    <w:rsid w:val="06ED7E79"/>
    <w:rsid w:val="06F01E74"/>
    <w:rsid w:val="06FC5985"/>
    <w:rsid w:val="07293586"/>
    <w:rsid w:val="07295285"/>
    <w:rsid w:val="074C2F22"/>
    <w:rsid w:val="07586659"/>
    <w:rsid w:val="07636392"/>
    <w:rsid w:val="07770C56"/>
    <w:rsid w:val="078E24B3"/>
    <w:rsid w:val="0792732F"/>
    <w:rsid w:val="07994B96"/>
    <w:rsid w:val="07AA7A3C"/>
    <w:rsid w:val="07AD118D"/>
    <w:rsid w:val="07DB2CEC"/>
    <w:rsid w:val="07E414E0"/>
    <w:rsid w:val="07E6215E"/>
    <w:rsid w:val="07ED23E6"/>
    <w:rsid w:val="0825771E"/>
    <w:rsid w:val="08355757"/>
    <w:rsid w:val="083640B7"/>
    <w:rsid w:val="0853247B"/>
    <w:rsid w:val="085E017F"/>
    <w:rsid w:val="088968DD"/>
    <w:rsid w:val="089C1F6B"/>
    <w:rsid w:val="08A02E88"/>
    <w:rsid w:val="08AA3DDD"/>
    <w:rsid w:val="08E02D4E"/>
    <w:rsid w:val="08E11D0F"/>
    <w:rsid w:val="08E20D7C"/>
    <w:rsid w:val="08EE17E9"/>
    <w:rsid w:val="08FE085E"/>
    <w:rsid w:val="090B5070"/>
    <w:rsid w:val="091156EA"/>
    <w:rsid w:val="09136153"/>
    <w:rsid w:val="092217DD"/>
    <w:rsid w:val="092D66A3"/>
    <w:rsid w:val="09334E76"/>
    <w:rsid w:val="09394B7A"/>
    <w:rsid w:val="093A7294"/>
    <w:rsid w:val="093B71F2"/>
    <w:rsid w:val="094A004E"/>
    <w:rsid w:val="094D2D64"/>
    <w:rsid w:val="096E2CB6"/>
    <w:rsid w:val="096F0BD8"/>
    <w:rsid w:val="09812927"/>
    <w:rsid w:val="09A92667"/>
    <w:rsid w:val="09AF3799"/>
    <w:rsid w:val="09B47970"/>
    <w:rsid w:val="09C32A68"/>
    <w:rsid w:val="09C6113A"/>
    <w:rsid w:val="0A14667A"/>
    <w:rsid w:val="0A15791E"/>
    <w:rsid w:val="0A263993"/>
    <w:rsid w:val="0A2D3AC2"/>
    <w:rsid w:val="0A6D04FE"/>
    <w:rsid w:val="0A753466"/>
    <w:rsid w:val="0A8F1D90"/>
    <w:rsid w:val="0A910EBB"/>
    <w:rsid w:val="0A972BF7"/>
    <w:rsid w:val="0A9F0911"/>
    <w:rsid w:val="0AA755DF"/>
    <w:rsid w:val="0AC21C32"/>
    <w:rsid w:val="0ACC0627"/>
    <w:rsid w:val="0B087E7F"/>
    <w:rsid w:val="0B120D44"/>
    <w:rsid w:val="0B291CB1"/>
    <w:rsid w:val="0B424B21"/>
    <w:rsid w:val="0B8C4E21"/>
    <w:rsid w:val="0B910E05"/>
    <w:rsid w:val="0BA2542A"/>
    <w:rsid w:val="0BBE1ABE"/>
    <w:rsid w:val="0BC018A7"/>
    <w:rsid w:val="0BD27BF6"/>
    <w:rsid w:val="0BD757B7"/>
    <w:rsid w:val="0BE53BA9"/>
    <w:rsid w:val="0BF5082C"/>
    <w:rsid w:val="0BF82869"/>
    <w:rsid w:val="0C177398"/>
    <w:rsid w:val="0C3B3C7D"/>
    <w:rsid w:val="0C56469E"/>
    <w:rsid w:val="0C6110AF"/>
    <w:rsid w:val="0C6778AC"/>
    <w:rsid w:val="0C712995"/>
    <w:rsid w:val="0C713F66"/>
    <w:rsid w:val="0CAA41DC"/>
    <w:rsid w:val="0CAB2EAE"/>
    <w:rsid w:val="0CBC184E"/>
    <w:rsid w:val="0CBD3855"/>
    <w:rsid w:val="0CD45171"/>
    <w:rsid w:val="0CE938C4"/>
    <w:rsid w:val="0CF02344"/>
    <w:rsid w:val="0D1447BF"/>
    <w:rsid w:val="0D184B59"/>
    <w:rsid w:val="0D237764"/>
    <w:rsid w:val="0D2D682D"/>
    <w:rsid w:val="0D621C7D"/>
    <w:rsid w:val="0D6F24D2"/>
    <w:rsid w:val="0D8D30EE"/>
    <w:rsid w:val="0D930278"/>
    <w:rsid w:val="0DB20C17"/>
    <w:rsid w:val="0E1C22C9"/>
    <w:rsid w:val="0E4D4868"/>
    <w:rsid w:val="0E607940"/>
    <w:rsid w:val="0E707C78"/>
    <w:rsid w:val="0E73034D"/>
    <w:rsid w:val="0E7D2A40"/>
    <w:rsid w:val="0EA01A80"/>
    <w:rsid w:val="0EA413DD"/>
    <w:rsid w:val="0ECB3F41"/>
    <w:rsid w:val="0ECF3F4E"/>
    <w:rsid w:val="0F097E58"/>
    <w:rsid w:val="0F0C791F"/>
    <w:rsid w:val="0F13775A"/>
    <w:rsid w:val="0F1E5984"/>
    <w:rsid w:val="0F272863"/>
    <w:rsid w:val="0F3634EF"/>
    <w:rsid w:val="0F3F1AA3"/>
    <w:rsid w:val="0F5F45FE"/>
    <w:rsid w:val="0F62030C"/>
    <w:rsid w:val="0F902F82"/>
    <w:rsid w:val="0F9A112B"/>
    <w:rsid w:val="0FC05E94"/>
    <w:rsid w:val="0FC244D8"/>
    <w:rsid w:val="0FCD16E5"/>
    <w:rsid w:val="0FDA7D83"/>
    <w:rsid w:val="0FE215CC"/>
    <w:rsid w:val="10007BDE"/>
    <w:rsid w:val="1010343F"/>
    <w:rsid w:val="10122D30"/>
    <w:rsid w:val="1026446E"/>
    <w:rsid w:val="102750EC"/>
    <w:rsid w:val="103435D2"/>
    <w:rsid w:val="10387DA1"/>
    <w:rsid w:val="103E56C3"/>
    <w:rsid w:val="105B2393"/>
    <w:rsid w:val="106D2F64"/>
    <w:rsid w:val="107734BE"/>
    <w:rsid w:val="1084447C"/>
    <w:rsid w:val="109202F8"/>
    <w:rsid w:val="10A26FAA"/>
    <w:rsid w:val="10AD0C8E"/>
    <w:rsid w:val="10B63710"/>
    <w:rsid w:val="10BA150E"/>
    <w:rsid w:val="10BB29C4"/>
    <w:rsid w:val="10C8473D"/>
    <w:rsid w:val="10D02F2A"/>
    <w:rsid w:val="10E0218F"/>
    <w:rsid w:val="10E71EB0"/>
    <w:rsid w:val="10EA1A0B"/>
    <w:rsid w:val="10F10820"/>
    <w:rsid w:val="10F91F06"/>
    <w:rsid w:val="11165294"/>
    <w:rsid w:val="111C2F7A"/>
    <w:rsid w:val="111D7547"/>
    <w:rsid w:val="11350622"/>
    <w:rsid w:val="1135092D"/>
    <w:rsid w:val="11514A9C"/>
    <w:rsid w:val="11665CA1"/>
    <w:rsid w:val="116A6B7F"/>
    <w:rsid w:val="11971849"/>
    <w:rsid w:val="11C9452E"/>
    <w:rsid w:val="11DF4762"/>
    <w:rsid w:val="11E077D0"/>
    <w:rsid w:val="121308DB"/>
    <w:rsid w:val="1223418E"/>
    <w:rsid w:val="12267AD6"/>
    <w:rsid w:val="122D02D9"/>
    <w:rsid w:val="122F6E5E"/>
    <w:rsid w:val="123C2DB5"/>
    <w:rsid w:val="126B2BAF"/>
    <w:rsid w:val="12727E14"/>
    <w:rsid w:val="12791770"/>
    <w:rsid w:val="1284579A"/>
    <w:rsid w:val="12897D99"/>
    <w:rsid w:val="12A52867"/>
    <w:rsid w:val="12BF5678"/>
    <w:rsid w:val="12E3729E"/>
    <w:rsid w:val="12E43BA2"/>
    <w:rsid w:val="12F4700B"/>
    <w:rsid w:val="12F824AD"/>
    <w:rsid w:val="13011978"/>
    <w:rsid w:val="13082A7C"/>
    <w:rsid w:val="130C25E4"/>
    <w:rsid w:val="130E124C"/>
    <w:rsid w:val="131077B2"/>
    <w:rsid w:val="13291F68"/>
    <w:rsid w:val="13295A6B"/>
    <w:rsid w:val="133E6D11"/>
    <w:rsid w:val="136658E6"/>
    <w:rsid w:val="136974FA"/>
    <w:rsid w:val="136F285F"/>
    <w:rsid w:val="1378772D"/>
    <w:rsid w:val="137A18D7"/>
    <w:rsid w:val="13951726"/>
    <w:rsid w:val="1397242F"/>
    <w:rsid w:val="139F34CD"/>
    <w:rsid w:val="13AE5449"/>
    <w:rsid w:val="13AF16AB"/>
    <w:rsid w:val="13DD7540"/>
    <w:rsid w:val="13EE7D66"/>
    <w:rsid w:val="13F217DA"/>
    <w:rsid w:val="13FE58B1"/>
    <w:rsid w:val="14043CCF"/>
    <w:rsid w:val="1417538B"/>
    <w:rsid w:val="14190158"/>
    <w:rsid w:val="14396509"/>
    <w:rsid w:val="14447A8A"/>
    <w:rsid w:val="144E0A71"/>
    <w:rsid w:val="1450037D"/>
    <w:rsid w:val="14602098"/>
    <w:rsid w:val="146D286C"/>
    <w:rsid w:val="146F2E2A"/>
    <w:rsid w:val="148425DE"/>
    <w:rsid w:val="14871B07"/>
    <w:rsid w:val="1494521F"/>
    <w:rsid w:val="14A5283C"/>
    <w:rsid w:val="14A82850"/>
    <w:rsid w:val="14AC175F"/>
    <w:rsid w:val="14C46695"/>
    <w:rsid w:val="14DD2C3C"/>
    <w:rsid w:val="14ED2227"/>
    <w:rsid w:val="15062C64"/>
    <w:rsid w:val="150C68CB"/>
    <w:rsid w:val="15101422"/>
    <w:rsid w:val="15521EFD"/>
    <w:rsid w:val="155C6F40"/>
    <w:rsid w:val="156D4E90"/>
    <w:rsid w:val="15877C46"/>
    <w:rsid w:val="158C5033"/>
    <w:rsid w:val="15B00B29"/>
    <w:rsid w:val="15CC1968"/>
    <w:rsid w:val="15CE68E7"/>
    <w:rsid w:val="15D72CAD"/>
    <w:rsid w:val="15D815ED"/>
    <w:rsid w:val="15E429F7"/>
    <w:rsid w:val="16035375"/>
    <w:rsid w:val="16087E1D"/>
    <w:rsid w:val="160F135E"/>
    <w:rsid w:val="162C08FC"/>
    <w:rsid w:val="162C6AF9"/>
    <w:rsid w:val="16404052"/>
    <w:rsid w:val="164879A0"/>
    <w:rsid w:val="165A15B9"/>
    <w:rsid w:val="16772C39"/>
    <w:rsid w:val="167F3C36"/>
    <w:rsid w:val="16800E8A"/>
    <w:rsid w:val="1684040D"/>
    <w:rsid w:val="16842F23"/>
    <w:rsid w:val="168F5B01"/>
    <w:rsid w:val="16AB1D95"/>
    <w:rsid w:val="16C057AB"/>
    <w:rsid w:val="16C519FA"/>
    <w:rsid w:val="16E3540A"/>
    <w:rsid w:val="1712246D"/>
    <w:rsid w:val="172B407F"/>
    <w:rsid w:val="172D0183"/>
    <w:rsid w:val="17333FFF"/>
    <w:rsid w:val="173601DE"/>
    <w:rsid w:val="174D31CB"/>
    <w:rsid w:val="17530504"/>
    <w:rsid w:val="176C6877"/>
    <w:rsid w:val="17701D14"/>
    <w:rsid w:val="17735226"/>
    <w:rsid w:val="17A35487"/>
    <w:rsid w:val="17A4103D"/>
    <w:rsid w:val="17B1305C"/>
    <w:rsid w:val="17CD6C41"/>
    <w:rsid w:val="17D56466"/>
    <w:rsid w:val="17EF52D0"/>
    <w:rsid w:val="18001FEB"/>
    <w:rsid w:val="180052A4"/>
    <w:rsid w:val="1804300D"/>
    <w:rsid w:val="180438B0"/>
    <w:rsid w:val="18124B3A"/>
    <w:rsid w:val="181D30C3"/>
    <w:rsid w:val="182D7E85"/>
    <w:rsid w:val="18354CE3"/>
    <w:rsid w:val="183B4B6A"/>
    <w:rsid w:val="184400AB"/>
    <w:rsid w:val="18572DE6"/>
    <w:rsid w:val="187C3D68"/>
    <w:rsid w:val="18842C1C"/>
    <w:rsid w:val="189B534A"/>
    <w:rsid w:val="189F624C"/>
    <w:rsid w:val="18A82141"/>
    <w:rsid w:val="18BC031C"/>
    <w:rsid w:val="18BC287C"/>
    <w:rsid w:val="18D61DDC"/>
    <w:rsid w:val="18E11CC6"/>
    <w:rsid w:val="19067AD5"/>
    <w:rsid w:val="192E4C07"/>
    <w:rsid w:val="1930762E"/>
    <w:rsid w:val="195046BD"/>
    <w:rsid w:val="19910B9E"/>
    <w:rsid w:val="19A54BF8"/>
    <w:rsid w:val="19A83C76"/>
    <w:rsid w:val="19AC6B64"/>
    <w:rsid w:val="19AE0E9C"/>
    <w:rsid w:val="19B30C70"/>
    <w:rsid w:val="19C028F1"/>
    <w:rsid w:val="19C842F1"/>
    <w:rsid w:val="19DB12DE"/>
    <w:rsid w:val="19DE125E"/>
    <w:rsid w:val="19FC5C2D"/>
    <w:rsid w:val="1A163D48"/>
    <w:rsid w:val="1A1C66C0"/>
    <w:rsid w:val="1A282310"/>
    <w:rsid w:val="1A313962"/>
    <w:rsid w:val="1A3457A7"/>
    <w:rsid w:val="1A3A4511"/>
    <w:rsid w:val="1A42393B"/>
    <w:rsid w:val="1A4B568D"/>
    <w:rsid w:val="1A547289"/>
    <w:rsid w:val="1A6D627C"/>
    <w:rsid w:val="1A75737D"/>
    <w:rsid w:val="1AAC2AA4"/>
    <w:rsid w:val="1AAC61C9"/>
    <w:rsid w:val="1AAD45DE"/>
    <w:rsid w:val="1AD45597"/>
    <w:rsid w:val="1AD92B22"/>
    <w:rsid w:val="1AF66DD7"/>
    <w:rsid w:val="1B000330"/>
    <w:rsid w:val="1B046F80"/>
    <w:rsid w:val="1B256122"/>
    <w:rsid w:val="1B277C32"/>
    <w:rsid w:val="1B2A1051"/>
    <w:rsid w:val="1B2E1135"/>
    <w:rsid w:val="1B3267B5"/>
    <w:rsid w:val="1B40161D"/>
    <w:rsid w:val="1B441859"/>
    <w:rsid w:val="1B514FCD"/>
    <w:rsid w:val="1B524121"/>
    <w:rsid w:val="1B547A2B"/>
    <w:rsid w:val="1B633DA2"/>
    <w:rsid w:val="1B6606B1"/>
    <w:rsid w:val="1B7A3E63"/>
    <w:rsid w:val="1B8D1DA7"/>
    <w:rsid w:val="1BAB019B"/>
    <w:rsid w:val="1BAC7975"/>
    <w:rsid w:val="1BB248D2"/>
    <w:rsid w:val="1BC76F62"/>
    <w:rsid w:val="1BD40EFC"/>
    <w:rsid w:val="1BE31CC9"/>
    <w:rsid w:val="1BE47AD4"/>
    <w:rsid w:val="1BEF4C1F"/>
    <w:rsid w:val="1C073402"/>
    <w:rsid w:val="1C0F7920"/>
    <w:rsid w:val="1C11441E"/>
    <w:rsid w:val="1C1B0F6D"/>
    <w:rsid w:val="1C4126E9"/>
    <w:rsid w:val="1C462183"/>
    <w:rsid w:val="1C4F709D"/>
    <w:rsid w:val="1C5E7925"/>
    <w:rsid w:val="1C693CE4"/>
    <w:rsid w:val="1C7963E3"/>
    <w:rsid w:val="1C8036FB"/>
    <w:rsid w:val="1CA26FDB"/>
    <w:rsid w:val="1CB33AD0"/>
    <w:rsid w:val="1CBF05F1"/>
    <w:rsid w:val="1CDC1565"/>
    <w:rsid w:val="1CDD504A"/>
    <w:rsid w:val="1CFD070F"/>
    <w:rsid w:val="1D2E6911"/>
    <w:rsid w:val="1D457D4C"/>
    <w:rsid w:val="1D5F6196"/>
    <w:rsid w:val="1D6132A5"/>
    <w:rsid w:val="1D631052"/>
    <w:rsid w:val="1D8E4129"/>
    <w:rsid w:val="1D8E56D5"/>
    <w:rsid w:val="1D9122AD"/>
    <w:rsid w:val="1DA66FC9"/>
    <w:rsid w:val="1DB45DBF"/>
    <w:rsid w:val="1DBC78EF"/>
    <w:rsid w:val="1DD159E2"/>
    <w:rsid w:val="1DF718BD"/>
    <w:rsid w:val="1DFB28D0"/>
    <w:rsid w:val="1E0A26AE"/>
    <w:rsid w:val="1E18726B"/>
    <w:rsid w:val="1E3767C3"/>
    <w:rsid w:val="1E3D7672"/>
    <w:rsid w:val="1E437E86"/>
    <w:rsid w:val="1E6105BE"/>
    <w:rsid w:val="1E695419"/>
    <w:rsid w:val="1E7A43DA"/>
    <w:rsid w:val="1E8E0351"/>
    <w:rsid w:val="1EA16702"/>
    <w:rsid w:val="1EB1403F"/>
    <w:rsid w:val="1EBE7AE5"/>
    <w:rsid w:val="1EDB6AFD"/>
    <w:rsid w:val="1EDD158D"/>
    <w:rsid w:val="1EFC5836"/>
    <w:rsid w:val="1F070C5D"/>
    <w:rsid w:val="1F07748A"/>
    <w:rsid w:val="1F185E6D"/>
    <w:rsid w:val="1F394C55"/>
    <w:rsid w:val="1F4D3A9D"/>
    <w:rsid w:val="1F7008CC"/>
    <w:rsid w:val="1F7F7C1B"/>
    <w:rsid w:val="1F896D6A"/>
    <w:rsid w:val="1F8D2B3E"/>
    <w:rsid w:val="1FA5430F"/>
    <w:rsid w:val="1FAC1C02"/>
    <w:rsid w:val="1FB72858"/>
    <w:rsid w:val="1FBA17BE"/>
    <w:rsid w:val="1FC3227C"/>
    <w:rsid w:val="1FD27C73"/>
    <w:rsid w:val="1FD955FC"/>
    <w:rsid w:val="1FDF2642"/>
    <w:rsid w:val="1FE7539E"/>
    <w:rsid w:val="1FFC12EA"/>
    <w:rsid w:val="201971AD"/>
    <w:rsid w:val="203C0B25"/>
    <w:rsid w:val="20487A38"/>
    <w:rsid w:val="204B41C7"/>
    <w:rsid w:val="205D1159"/>
    <w:rsid w:val="20671BE0"/>
    <w:rsid w:val="206B7395"/>
    <w:rsid w:val="20880DD0"/>
    <w:rsid w:val="208B2CFC"/>
    <w:rsid w:val="20947775"/>
    <w:rsid w:val="20963CB8"/>
    <w:rsid w:val="20A81A1B"/>
    <w:rsid w:val="20AD41C3"/>
    <w:rsid w:val="20B07FB6"/>
    <w:rsid w:val="20B646FB"/>
    <w:rsid w:val="20D07379"/>
    <w:rsid w:val="20DD7274"/>
    <w:rsid w:val="20EC5803"/>
    <w:rsid w:val="20F9566C"/>
    <w:rsid w:val="20F96926"/>
    <w:rsid w:val="210B07A3"/>
    <w:rsid w:val="211A2E9E"/>
    <w:rsid w:val="21271617"/>
    <w:rsid w:val="212B0D6C"/>
    <w:rsid w:val="213B74B1"/>
    <w:rsid w:val="21404423"/>
    <w:rsid w:val="21425C57"/>
    <w:rsid w:val="215A2310"/>
    <w:rsid w:val="215C2FAE"/>
    <w:rsid w:val="219E1EEC"/>
    <w:rsid w:val="21A3776C"/>
    <w:rsid w:val="21C46D49"/>
    <w:rsid w:val="21C76B8A"/>
    <w:rsid w:val="21CB5C86"/>
    <w:rsid w:val="21DE318A"/>
    <w:rsid w:val="21E024F4"/>
    <w:rsid w:val="21E06D3E"/>
    <w:rsid w:val="21EF5B80"/>
    <w:rsid w:val="21FC3E40"/>
    <w:rsid w:val="220E594E"/>
    <w:rsid w:val="2211336B"/>
    <w:rsid w:val="22192627"/>
    <w:rsid w:val="2224432D"/>
    <w:rsid w:val="22290A6E"/>
    <w:rsid w:val="22326065"/>
    <w:rsid w:val="2241059C"/>
    <w:rsid w:val="22431452"/>
    <w:rsid w:val="22434CED"/>
    <w:rsid w:val="22576990"/>
    <w:rsid w:val="22AF4D3A"/>
    <w:rsid w:val="22BB3EB7"/>
    <w:rsid w:val="22DF35BD"/>
    <w:rsid w:val="22EE5769"/>
    <w:rsid w:val="22EF1C2D"/>
    <w:rsid w:val="22F47480"/>
    <w:rsid w:val="22F563F5"/>
    <w:rsid w:val="2309350F"/>
    <w:rsid w:val="23185372"/>
    <w:rsid w:val="231C5064"/>
    <w:rsid w:val="231E495D"/>
    <w:rsid w:val="232C638A"/>
    <w:rsid w:val="23425E7A"/>
    <w:rsid w:val="235508D6"/>
    <w:rsid w:val="239F090A"/>
    <w:rsid w:val="23AA3369"/>
    <w:rsid w:val="23AA6B74"/>
    <w:rsid w:val="23B564F8"/>
    <w:rsid w:val="23B7280F"/>
    <w:rsid w:val="23D01EF0"/>
    <w:rsid w:val="23DE1C48"/>
    <w:rsid w:val="23EB1DF0"/>
    <w:rsid w:val="23F07822"/>
    <w:rsid w:val="240210CD"/>
    <w:rsid w:val="2405104B"/>
    <w:rsid w:val="245D2750"/>
    <w:rsid w:val="246A29E4"/>
    <w:rsid w:val="246D33A3"/>
    <w:rsid w:val="248D05EE"/>
    <w:rsid w:val="24A24B56"/>
    <w:rsid w:val="24A64293"/>
    <w:rsid w:val="24BB682F"/>
    <w:rsid w:val="24BF09F7"/>
    <w:rsid w:val="24CB5B71"/>
    <w:rsid w:val="24CF13EB"/>
    <w:rsid w:val="24D070C4"/>
    <w:rsid w:val="24D60827"/>
    <w:rsid w:val="24DA6891"/>
    <w:rsid w:val="24E974BA"/>
    <w:rsid w:val="24EC52B4"/>
    <w:rsid w:val="24FA7982"/>
    <w:rsid w:val="250261CB"/>
    <w:rsid w:val="25071E01"/>
    <w:rsid w:val="251161D5"/>
    <w:rsid w:val="2512514D"/>
    <w:rsid w:val="252B156E"/>
    <w:rsid w:val="252D53FE"/>
    <w:rsid w:val="253F6DAA"/>
    <w:rsid w:val="25511985"/>
    <w:rsid w:val="25740658"/>
    <w:rsid w:val="2575365A"/>
    <w:rsid w:val="257B0F03"/>
    <w:rsid w:val="259E4A89"/>
    <w:rsid w:val="25CA2F29"/>
    <w:rsid w:val="25CA4F55"/>
    <w:rsid w:val="25CD79B1"/>
    <w:rsid w:val="25DB4B18"/>
    <w:rsid w:val="25EC2D81"/>
    <w:rsid w:val="26086100"/>
    <w:rsid w:val="26087C65"/>
    <w:rsid w:val="261F3972"/>
    <w:rsid w:val="262079F4"/>
    <w:rsid w:val="262519CF"/>
    <w:rsid w:val="263961BB"/>
    <w:rsid w:val="264F34EB"/>
    <w:rsid w:val="26753EE4"/>
    <w:rsid w:val="267E0CAB"/>
    <w:rsid w:val="269C50D3"/>
    <w:rsid w:val="26A34BB6"/>
    <w:rsid w:val="26B93DA9"/>
    <w:rsid w:val="26E81CEF"/>
    <w:rsid w:val="26F539CC"/>
    <w:rsid w:val="271122B0"/>
    <w:rsid w:val="2711757F"/>
    <w:rsid w:val="271C503E"/>
    <w:rsid w:val="27340456"/>
    <w:rsid w:val="275928EF"/>
    <w:rsid w:val="275D65A5"/>
    <w:rsid w:val="277057A2"/>
    <w:rsid w:val="27735821"/>
    <w:rsid w:val="277420AE"/>
    <w:rsid w:val="277F07BF"/>
    <w:rsid w:val="27851F88"/>
    <w:rsid w:val="27A856B0"/>
    <w:rsid w:val="27AB3D22"/>
    <w:rsid w:val="27B454A0"/>
    <w:rsid w:val="27CB2EAB"/>
    <w:rsid w:val="27DA3688"/>
    <w:rsid w:val="27FE0215"/>
    <w:rsid w:val="281C0F13"/>
    <w:rsid w:val="28277009"/>
    <w:rsid w:val="283F7031"/>
    <w:rsid w:val="28530EB1"/>
    <w:rsid w:val="28553C8E"/>
    <w:rsid w:val="285553C0"/>
    <w:rsid w:val="288A0F5F"/>
    <w:rsid w:val="28985A0C"/>
    <w:rsid w:val="28A80F57"/>
    <w:rsid w:val="28B516B5"/>
    <w:rsid w:val="28CC03F4"/>
    <w:rsid w:val="28D12A3F"/>
    <w:rsid w:val="28D91C14"/>
    <w:rsid w:val="28E538A1"/>
    <w:rsid w:val="29206EB8"/>
    <w:rsid w:val="29290F88"/>
    <w:rsid w:val="294E705B"/>
    <w:rsid w:val="29595666"/>
    <w:rsid w:val="296056EA"/>
    <w:rsid w:val="297C4AEF"/>
    <w:rsid w:val="29851821"/>
    <w:rsid w:val="29874881"/>
    <w:rsid w:val="298903D6"/>
    <w:rsid w:val="2990733E"/>
    <w:rsid w:val="29AB6F7A"/>
    <w:rsid w:val="29BB34E6"/>
    <w:rsid w:val="29C33DBE"/>
    <w:rsid w:val="29D74E20"/>
    <w:rsid w:val="29E325E0"/>
    <w:rsid w:val="2A0249AB"/>
    <w:rsid w:val="2A0251D7"/>
    <w:rsid w:val="2A1C65C3"/>
    <w:rsid w:val="2A240CA2"/>
    <w:rsid w:val="2A245105"/>
    <w:rsid w:val="2A291622"/>
    <w:rsid w:val="2A2D5960"/>
    <w:rsid w:val="2A452503"/>
    <w:rsid w:val="2A5F2B4C"/>
    <w:rsid w:val="2A7A6D8F"/>
    <w:rsid w:val="2A7D127A"/>
    <w:rsid w:val="2A894D36"/>
    <w:rsid w:val="2A9A1E2C"/>
    <w:rsid w:val="2AB7478C"/>
    <w:rsid w:val="2ABE3473"/>
    <w:rsid w:val="2AC43A89"/>
    <w:rsid w:val="2ADE7A5F"/>
    <w:rsid w:val="2AE412F9"/>
    <w:rsid w:val="2AEC1E40"/>
    <w:rsid w:val="2B0133A6"/>
    <w:rsid w:val="2B0A0D5F"/>
    <w:rsid w:val="2B0B4C25"/>
    <w:rsid w:val="2B1D195C"/>
    <w:rsid w:val="2B1F11CE"/>
    <w:rsid w:val="2B3446C6"/>
    <w:rsid w:val="2B5D3E56"/>
    <w:rsid w:val="2B6014C9"/>
    <w:rsid w:val="2B616AC5"/>
    <w:rsid w:val="2B74267D"/>
    <w:rsid w:val="2B866E8E"/>
    <w:rsid w:val="2B8E113F"/>
    <w:rsid w:val="2BA174C8"/>
    <w:rsid w:val="2BA936A8"/>
    <w:rsid w:val="2BB314EE"/>
    <w:rsid w:val="2BB31CB7"/>
    <w:rsid w:val="2BDE7848"/>
    <w:rsid w:val="2BE11CDE"/>
    <w:rsid w:val="2BFA49CF"/>
    <w:rsid w:val="2C1B06B1"/>
    <w:rsid w:val="2C315A5A"/>
    <w:rsid w:val="2C355C33"/>
    <w:rsid w:val="2C4368D7"/>
    <w:rsid w:val="2C497C25"/>
    <w:rsid w:val="2C4B1C25"/>
    <w:rsid w:val="2C55010D"/>
    <w:rsid w:val="2C652589"/>
    <w:rsid w:val="2C662116"/>
    <w:rsid w:val="2C7B1AEF"/>
    <w:rsid w:val="2C8A6422"/>
    <w:rsid w:val="2C92793F"/>
    <w:rsid w:val="2C9F0D7E"/>
    <w:rsid w:val="2CA40EE5"/>
    <w:rsid w:val="2CC156B5"/>
    <w:rsid w:val="2CC8221C"/>
    <w:rsid w:val="2D067C4C"/>
    <w:rsid w:val="2D07221A"/>
    <w:rsid w:val="2D08355B"/>
    <w:rsid w:val="2D350C91"/>
    <w:rsid w:val="2D4135F1"/>
    <w:rsid w:val="2D5029C5"/>
    <w:rsid w:val="2D572085"/>
    <w:rsid w:val="2D9E56F5"/>
    <w:rsid w:val="2DA743CC"/>
    <w:rsid w:val="2DA776DC"/>
    <w:rsid w:val="2DA90D03"/>
    <w:rsid w:val="2DB9081B"/>
    <w:rsid w:val="2DBB63BF"/>
    <w:rsid w:val="2DDD6BFF"/>
    <w:rsid w:val="2DDF78BC"/>
    <w:rsid w:val="2DE0049D"/>
    <w:rsid w:val="2DEC11A7"/>
    <w:rsid w:val="2DEC6E42"/>
    <w:rsid w:val="2DF2421D"/>
    <w:rsid w:val="2E0C01D1"/>
    <w:rsid w:val="2E1F154B"/>
    <w:rsid w:val="2E201960"/>
    <w:rsid w:val="2E342923"/>
    <w:rsid w:val="2E4A28D6"/>
    <w:rsid w:val="2E4E4BFE"/>
    <w:rsid w:val="2E667F96"/>
    <w:rsid w:val="2E804F16"/>
    <w:rsid w:val="2E8226AB"/>
    <w:rsid w:val="2E967E42"/>
    <w:rsid w:val="2EC67A1B"/>
    <w:rsid w:val="2EDA21A9"/>
    <w:rsid w:val="2F16253C"/>
    <w:rsid w:val="2F175EEA"/>
    <w:rsid w:val="2F2047B7"/>
    <w:rsid w:val="2F250638"/>
    <w:rsid w:val="2F2A082E"/>
    <w:rsid w:val="2F5C786B"/>
    <w:rsid w:val="2F6E7DDF"/>
    <w:rsid w:val="2F994708"/>
    <w:rsid w:val="2F9E6293"/>
    <w:rsid w:val="2FBA4F68"/>
    <w:rsid w:val="2FCA1612"/>
    <w:rsid w:val="2FD065E6"/>
    <w:rsid w:val="2FD96870"/>
    <w:rsid w:val="2FF00E50"/>
    <w:rsid w:val="2FF266E5"/>
    <w:rsid w:val="2FF30C5B"/>
    <w:rsid w:val="2FFF3A59"/>
    <w:rsid w:val="30044626"/>
    <w:rsid w:val="300D74DD"/>
    <w:rsid w:val="30204730"/>
    <w:rsid w:val="302A4E2F"/>
    <w:rsid w:val="303A214D"/>
    <w:rsid w:val="304C0225"/>
    <w:rsid w:val="30580BC9"/>
    <w:rsid w:val="30700B11"/>
    <w:rsid w:val="3081342E"/>
    <w:rsid w:val="309702F4"/>
    <w:rsid w:val="309B4B1C"/>
    <w:rsid w:val="30A90A41"/>
    <w:rsid w:val="30DC7749"/>
    <w:rsid w:val="30EF6F47"/>
    <w:rsid w:val="30F0202F"/>
    <w:rsid w:val="30F2476F"/>
    <w:rsid w:val="30FD168D"/>
    <w:rsid w:val="311E2ED7"/>
    <w:rsid w:val="312A6D95"/>
    <w:rsid w:val="313A08C2"/>
    <w:rsid w:val="315619EE"/>
    <w:rsid w:val="315C449C"/>
    <w:rsid w:val="31852005"/>
    <w:rsid w:val="31886C6C"/>
    <w:rsid w:val="319E148A"/>
    <w:rsid w:val="31A92FFC"/>
    <w:rsid w:val="31B82709"/>
    <w:rsid w:val="31C854D0"/>
    <w:rsid w:val="31D05482"/>
    <w:rsid w:val="31D24707"/>
    <w:rsid w:val="31DE1711"/>
    <w:rsid w:val="31F14A27"/>
    <w:rsid w:val="31F938DC"/>
    <w:rsid w:val="32005E73"/>
    <w:rsid w:val="321E7364"/>
    <w:rsid w:val="322466AC"/>
    <w:rsid w:val="323C7F83"/>
    <w:rsid w:val="32400B34"/>
    <w:rsid w:val="32540C9A"/>
    <w:rsid w:val="32734433"/>
    <w:rsid w:val="328C3A47"/>
    <w:rsid w:val="328C6723"/>
    <w:rsid w:val="329E6876"/>
    <w:rsid w:val="32A060AD"/>
    <w:rsid w:val="32A95784"/>
    <w:rsid w:val="32C35874"/>
    <w:rsid w:val="32CD6D20"/>
    <w:rsid w:val="32D96431"/>
    <w:rsid w:val="32DF0D23"/>
    <w:rsid w:val="32FE2484"/>
    <w:rsid w:val="33103D3A"/>
    <w:rsid w:val="3319275D"/>
    <w:rsid w:val="331E68F0"/>
    <w:rsid w:val="332474D1"/>
    <w:rsid w:val="333015F2"/>
    <w:rsid w:val="33380434"/>
    <w:rsid w:val="334B6320"/>
    <w:rsid w:val="33806E96"/>
    <w:rsid w:val="33812B59"/>
    <w:rsid w:val="33882415"/>
    <w:rsid w:val="338E62A6"/>
    <w:rsid w:val="33BC2F6E"/>
    <w:rsid w:val="33D83F8D"/>
    <w:rsid w:val="33D934D4"/>
    <w:rsid w:val="33F54E18"/>
    <w:rsid w:val="33FE2F6A"/>
    <w:rsid w:val="33FF6B03"/>
    <w:rsid w:val="340E07E5"/>
    <w:rsid w:val="34235BF7"/>
    <w:rsid w:val="342E7B02"/>
    <w:rsid w:val="342F3579"/>
    <w:rsid w:val="344A041F"/>
    <w:rsid w:val="34510E4C"/>
    <w:rsid w:val="345733B3"/>
    <w:rsid w:val="346040E6"/>
    <w:rsid w:val="34623B74"/>
    <w:rsid w:val="347A2111"/>
    <w:rsid w:val="348E321C"/>
    <w:rsid w:val="34993E2F"/>
    <w:rsid w:val="349D0E96"/>
    <w:rsid w:val="34AE6BFF"/>
    <w:rsid w:val="34B07374"/>
    <w:rsid w:val="34BC60F0"/>
    <w:rsid w:val="34CB54BF"/>
    <w:rsid w:val="34CB78A0"/>
    <w:rsid w:val="34DB5BD3"/>
    <w:rsid w:val="34E651F8"/>
    <w:rsid w:val="34F47AD9"/>
    <w:rsid w:val="350A11BB"/>
    <w:rsid w:val="350B6670"/>
    <w:rsid w:val="353E6772"/>
    <w:rsid w:val="35453E03"/>
    <w:rsid w:val="354574D8"/>
    <w:rsid w:val="3552554F"/>
    <w:rsid w:val="355F2D79"/>
    <w:rsid w:val="356C6EDE"/>
    <w:rsid w:val="35781AC2"/>
    <w:rsid w:val="358C5FA8"/>
    <w:rsid w:val="359A59C3"/>
    <w:rsid w:val="35A30C19"/>
    <w:rsid w:val="35A3490F"/>
    <w:rsid w:val="35A525D9"/>
    <w:rsid w:val="35A63A3C"/>
    <w:rsid w:val="35AE62B5"/>
    <w:rsid w:val="35C15DF1"/>
    <w:rsid w:val="35C754D3"/>
    <w:rsid w:val="35DA600B"/>
    <w:rsid w:val="35DE52C2"/>
    <w:rsid w:val="35E211CE"/>
    <w:rsid w:val="35EA25D4"/>
    <w:rsid w:val="35EB3E83"/>
    <w:rsid w:val="35ED16EB"/>
    <w:rsid w:val="35F34D58"/>
    <w:rsid w:val="35F83609"/>
    <w:rsid w:val="36074A7F"/>
    <w:rsid w:val="360B5E87"/>
    <w:rsid w:val="360F369C"/>
    <w:rsid w:val="36116458"/>
    <w:rsid w:val="361E1B63"/>
    <w:rsid w:val="36277AC3"/>
    <w:rsid w:val="36392B39"/>
    <w:rsid w:val="363C7BB1"/>
    <w:rsid w:val="364A7726"/>
    <w:rsid w:val="36523FA8"/>
    <w:rsid w:val="36563B79"/>
    <w:rsid w:val="367E12E6"/>
    <w:rsid w:val="36890CB7"/>
    <w:rsid w:val="36923549"/>
    <w:rsid w:val="369722A4"/>
    <w:rsid w:val="36A51B6A"/>
    <w:rsid w:val="36A55AEE"/>
    <w:rsid w:val="36A55DE0"/>
    <w:rsid w:val="36B2744A"/>
    <w:rsid w:val="36B36661"/>
    <w:rsid w:val="36B75FBF"/>
    <w:rsid w:val="36BB5604"/>
    <w:rsid w:val="36BD0C45"/>
    <w:rsid w:val="36E13C5D"/>
    <w:rsid w:val="37157582"/>
    <w:rsid w:val="372A369B"/>
    <w:rsid w:val="37363B63"/>
    <w:rsid w:val="373643C9"/>
    <w:rsid w:val="375657DC"/>
    <w:rsid w:val="375810A4"/>
    <w:rsid w:val="376C68FE"/>
    <w:rsid w:val="377A48C2"/>
    <w:rsid w:val="37993AD8"/>
    <w:rsid w:val="3799660A"/>
    <w:rsid w:val="37AE6E32"/>
    <w:rsid w:val="37D22CE2"/>
    <w:rsid w:val="37E00298"/>
    <w:rsid w:val="37E312B6"/>
    <w:rsid w:val="37E9160B"/>
    <w:rsid w:val="37F57497"/>
    <w:rsid w:val="37FD592D"/>
    <w:rsid w:val="382676CE"/>
    <w:rsid w:val="38312359"/>
    <w:rsid w:val="384D3002"/>
    <w:rsid w:val="385C5BD0"/>
    <w:rsid w:val="387D1AA8"/>
    <w:rsid w:val="387E5030"/>
    <w:rsid w:val="38832151"/>
    <w:rsid w:val="388D565C"/>
    <w:rsid w:val="38AB2CA1"/>
    <w:rsid w:val="38B302F9"/>
    <w:rsid w:val="38D04086"/>
    <w:rsid w:val="38DE675E"/>
    <w:rsid w:val="38E7387E"/>
    <w:rsid w:val="38F12CD3"/>
    <w:rsid w:val="38F94775"/>
    <w:rsid w:val="391A124C"/>
    <w:rsid w:val="39241B86"/>
    <w:rsid w:val="3929156E"/>
    <w:rsid w:val="392971ED"/>
    <w:rsid w:val="392A081F"/>
    <w:rsid w:val="39325651"/>
    <w:rsid w:val="39331403"/>
    <w:rsid w:val="393F49A3"/>
    <w:rsid w:val="3942200C"/>
    <w:rsid w:val="396F531B"/>
    <w:rsid w:val="39882115"/>
    <w:rsid w:val="39A567E1"/>
    <w:rsid w:val="39A91DF3"/>
    <w:rsid w:val="39BF470A"/>
    <w:rsid w:val="39FF7A3B"/>
    <w:rsid w:val="3A287454"/>
    <w:rsid w:val="3A3C4DF1"/>
    <w:rsid w:val="3A661559"/>
    <w:rsid w:val="3A6855F4"/>
    <w:rsid w:val="3A850071"/>
    <w:rsid w:val="3A872856"/>
    <w:rsid w:val="3AA86AE2"/>
    <w:rsid w:val="3AAA34FC"/>
    <w:rsid w:val="3ACA6342"/>
    <w:rsid w:val="3ACC319B"/>
    <w:rsid w:val="3ADC721B"/>
    <w:rsid w:val="3ADF5F31"/>
    <w:rsid w:val="3AFC2F5D"/>
    <w:rsid w:val="3B0A6386"/>
    <w:rsid w:val="3B152347"/>
    <w:rsid w:val="3B3763D1"/>
    <w:rsid w:val="3B3904A9"/>
    <w:rsid w:val="3B561ECE"/>
    <w:rsid w:val="3B5F2B36"/>
    <w:rsid w:val="3B716C00"/>
    <w:rsid w:val="3B8C6C0B"/>
    <w:rsid w:val="3BAF6B93"/>
    <w:rsid w:val="3BB6480A"/>
    <w:rsid w:val="3BBA3EBD"/>
    <w:rsid w:val="3BC72E96"/>
    <w:rsid w:val="3BC9096F"/>
    <w:rsid w:val="3BCE4F4F"/>
    <w:rsid w:val="3BEA1007"/>
    <w:rsid w:val="3BF75330"/>
    <w:rsid w:val="3BF84C04"/>
    <w:rsid w:val="3BFF2985"/>
    <w:rsid w:val="3C027831"/>
    <w:rsid w:val="3C060031"/>
    <w:rsid w:val="3C232307"/>
    <w:rsid w:val="3C2F6E1E"/>
    <w:rsid w:val="3C300459"/>
    <w:rsid w:val="3C31550F"/>
    <w:rsid w:val="3C3F59BB"/>
    <w:rsid w:val="3C3F7F9B"/>
    <w:rsid w:val="3C4A3EEA"/>
    <w:rsid w:val="3C4F64BA"/>
    <w:rsid w:val="3C5877A6"/>
    <w:rsid w:val="3C667602"/>
    <w:rsid w:val="3C6B6C4F"/>
    <w:rsid w:val="3C8126B5"/>
    <w:rsid w:val="3C9E129F"/>
    <w:rsid w:val="3CA02F73"/>
    <w:rsid w:val="3CAD4859"/>
    <w:rsid w:val="3CB52242"/>
    <w:rsid w:val="3CCE15C7"/>
    <w:rsid w:val="3CDA245A"/>
    <w:rsid w:val="3CE413CA"/>
    <w:rsid w:val="3CF72E60"/>
    <w:rsid w:val="3CFD4328"/>
    <w:rsid w:val="3D026C12"/>
    <w:rsid w:val="3D1E06B7"/>
    <w:rsid w:val="3D1E410E"/>
    <w:rsid w:val="3D430B38"/>
    <w:rsid w:val="3D4F3E78"/>
    <w:rsid w:val="3D5712B1"/>
    <w:rsid w:val="3D665E3D"/>
    <w:rsid w:val="3D7129EF"/>
    <w:rsid w:val="3DA45043"/>
    <w:rsid w:val="3DD87C62"/>
    <w:rsid w:val="3DE12BE7"/>
    <w:rsid w:val="3DF00453"/>
    <w:rsid w:val="3E023640"/>
    <w:rsid w:val="3E0F737B"/>
    <w:rsid w:val="3E1366DC"/>
    <w:rsid w:val="3E1F7F27"/>
    <w:rsid w:val="3E2712AB"/>
    <w:rsid w:val="3E351006"/>
    <w:rsid w:val="3E7D762B"/>
    <w:rsid w:val="3E7E5435"/>
    <w:rsid w:val="3E8B33C1"/>
    <w:rsid w:val="3E8D5AD7"/>
    <w:rsid w:val="3EA47D60"/>
    <w:rsid w:val="3EB923E1"/>
    <w:rsid w:val="3EC11DEC"/>
    <w:rsid w:val="3EDA0523"/>
    <w:rsid w:val="3EE13594"/>
    <w:rsid w:val="3EE84AD5"/>
    <w:rsid w:val="3EE85942"/>
    <w:rsid w:val="3EF248A6"/>
    <w:rsid w:val="3F067DCC"/>
    <w:rsid w:val="3F335E82"/>
    <w:rsid w:val="3F435507"/>
    <w:rsid w:val="3F441A7D"/>
    <w:rsid w:val="3F463268"/>
    <w:rsid w:val="3F48496D"/>
    <w:rsid w:val="3F5174B6"/>
    <w:rsid w:val="3F534A4D"/>
    <w:rsid w:val="3F5F61C7"/>
    <w:rsid w:val="3F664F5A"/>
    <w:rsid w:val="3F697A3E"/>
    <w:rsid w:val="3F6D1C21"/>
    <w:rsid w:val="3F813644"/>
    <w:rsid w:val="3F8B3517"/>
    <w:rsid w:val="3FBF5DD0"/>
    <w:rsid w:val="3FCE45FA"/>
    <w:rsid w:val="3FD8621B"/>
    <w:rsid w:val="3FDC4CAC"/>
    <w:rsid w:val="3FE43E1D"/>
    <w:rsid w:val="3FF37E0C"/>
    <w:rsid w:val="3FF83425"/>
    <w:rsid w:val="401D2E8B"/>
    <w:rsid w:val="4022565A"/>
    <w:rsid w:val="40241831"/>
    <w:rsid w:val="402B0959"/>
    <w:rsid w:val="4031451E"/>
    <w:rsid w:val="40490456"/>
    <w:rsid w:val="4053653B"/>
    <w:rsid w:val="40611AD1"/>
    <w:rsid w:val="406642E3"/>
    <w:rsid w:val="407A6407"/>
    <w:rsid w:val="40874E95"/>
    <w:rsid w:val="40994F3A"/>
    <w:rsid w:val="409D7F9B"/>
    <w:rsid w:val="40AC4BEA"/>
    <w:rsid w:val="40B82BB4"/>
    <w:rsid w:val="40BC6C4D"/>
    <w:rsid w:val="40BD3180"/>
    <w:rsid w:val="40F055A1"/>
    <w:rsid w:val="410257C3"/>
    <w:rsid w:val="410744AB"/>
    <w:rsid w:val="41104F89"/>
    <w:rsid w:val="411946C9"/>
    <w:rsid w:val="411A3E54"/>
    <w:rsid w:val="4126586E"/>
    <w:rsid w:val="41684A21"/>
    <w:rsid w:val="417443E2"/>
    <w:rsid w:val="41924CE0"/>
    <w:rsid w:val="419F6759"/>
    <w:rsid w:val="41A51AFA"/>
    <w:rsid w:val="41BB4F9E"/>
    <w:rsid w:val="41D932F0"/>
    <w:rsid w:val="41E179CD"/>
    <w:rsid w:val="41E974C9"/>
    <w:rsid w:val="41EF77EF"/>
    <w:rsid w:val="41F06E27"/>
    <w:rsid w:val="4200449D"/>
    <w:rsid w:val="421F6FBB"/>
    <w:rsid w:val="422815E4"/>
    <w:rsid w:val="423A3BCC"/>
    <w:rsid w:val="424172C1"/>
    <w:rsid w:val="42470693"/>
    <w:rsid w:val="424E57D2"/>
    <w:rsid w:val="425D4D4F"/>
    <w:rsid w:val="429332B5"/>
    <w:rsid w:val="429F44C8"/>
    <w:rsid w:val="42AD0B36"/>
    <w:rsid w:val="42B26C49"/>
    <w:rsid w:val="42C76898"/>
    <w:rsid w:val="42CD2946"/>
    <w:rsid w:val="42D969D7"/>
    <w:rsid w:val="42E8378D"/>
    <w:rsid w:val="42E8393A"/>
    <w:rsid w:val="42F508F3"/>
    <w:rsid w:val="43110EB7"/>
    <w:rsid w:val="431549F4"/>
    <w:rsid w:val="4318152E"/>
    <w:rsid w:val="43291AF6"/>
    <w:rsid w:val="43326C4D"/>
    <w:rsid w:val="433A6FE6"/>
    <w:rsid w:val="433B2D6F"/>
    <w:rsid w:val="433C6067"/>
    <w:rsid w:val="43480868"/>
    <w:rsid w:val="4350713C"/>
    <w:rsid w:val="43586A8F"/>
    <w:rsid w:val="43612F03"/>
    <w:rsid w:val="436653E0"/>
    <w:rsid w:val="436B5777"/>
    <w:rsid w:val="436B7559"/>
    <w:rsid w:val="439732EB"/>
    <w:rsid w:val="43A46C72"/>
    <w:rsid w:val="43A9146B"/>
    <w:rsid w:val="43BA332C"/>
    <w:rsid w:val="43C4431A"/>
    <w:rsid w:val="43E13F58"/>
    <w:rsid w:val="43E31D6D"/>
    <w:rsid w:val="43F349C9"/>
    <w:rsid w:val="43F83687"/>
    <w:rsid w:val="43FD36FF"/>
    <w:rsid w:val="43FD3825"/>
    <w:rsid w:val="440C749E"/>
    <w:rsid w:val="441C7509"/>
    <w:rsid w:val="44336BFB"/>
    <w:rsid w:val="4435440B"/>
    <w:rsid w:val="444454E4"/>
    <w:rsid w:val="4444657D"/>
    <w:rsid w:val="444A6E62"/>
    <w:rsid w:val="44510ED9"/>
    <w:rsid w:val="44580D74"/>
    <w:rsid w:val="448751CB"/>
    <w:rsid w:val="448B5126"/>
    <w:rsid w:val="44AB1977"/>
    <w:rsid w:val="44B951CC"/>
    <w:rsid w:val="44C2744E"/>
    <w:rsid w:val="44CD14E0"/>
    <w:rsid w:val="44CE1343"/>
    <w:rsid w:val="44DC663D"/>
    <w:rsid w:val="44E03889"/>
    <w:rsid w:val="44E80CBF"/>
    <w:rsid w:val="44E93D00"/>
    <w:rsid w:val="44EF3B5A"/>
    <w:rsid w:val="44F20B0B"/>
    <w:rsid w:val="451A4870"/>
    <w:rsid w:val="452E5F4C"/>
    <w:rsid w:val="453F0F59"/>
    <w:rsid w:val="4542075B"/>
    <w:rsid w:val="45496E87"/>
    <w:rsid w:val="45592BB7"/>
    <w:rsid w:val="45612018"/>
    <w:rsid w:val="456A589F"/>
    <w:rsid w:val="45837F57"/>
    <w:rsid w:val="458946E9"/>
    <w:rsid w:val="45914AD1"/>
    <w:rsid w:val="45A47C0E"/>
    <w:rsid w:val="45D108FB"/>
    <w:rsid w:val="45D537D2"/>
    <w:rsid w:val="45E1148D"/>
    <w:rsid w:val="45E944F0"/>
    <w:rsid w:val="45FB0738"/>
    <w:rsid w:val="460511BA"/>
    <w:rsid w:val="463F5A9C"/>
    <w:rsid w:val="4641045E"/>
    <w:rsid w:val="464D7AD2"/>
    <w:rsid w:val="465313B5"/>
    <w:rsid w:val="46577FD6"/>
    <w:rsid w:val="467F04C8"/>
    <w:rsid w:val="469F284C"/>
    <w:rsid w:val="46AD75F6"/>
    <w:rsid w:val="46CA196C"/>
    <w:rsid w:val="46D955A7"/>
    <w:rsid w:val="46E00FD3"/>
    <w:rsid w:val="46FD0DE1"/>
    <w:rsid w:val="47133957"/>
    <w:rsid w:val="473C7944"/>
    <w:rsid w:val="474E31FD"/>
    <w:rsid w:val="4757775B"/>
    <w:rsid w:val="47775A74"/>
    <w:rsid w:val="47891225"/>
    <w:rsid w:val="478B2001"/>
    <w:rsid w:val="47A07E0C"/>
    <w:rsid w:val="47A910C7"/>
    <w:rsid w:val="47CB16F1"/>
    <w:rsid w:val="47E439F9"/>
    <w:rsid w:val="47FB5EEE"/>
    <w:rsid w:val="47FC0820"/>
    <w:rsid w:val="480C2900"/>
    <w:rsid w:val="480D7024"/>
    <w:rsid w:val="4818364C"/>
    <w:rsid w:val="482C16B8"/>
    <w:rsid w:val="4830426A"/>
    <w:rsid w:val="48515DC8"/>
    <w:rsid w:val="4870272E"/>
    <w:rsid w:val="489615F0"/>
    <w:rsid w:val="48A00AFD"/>
    <w:rsid w:val="48B37ADC"/>
    <w:rsid w:val="48B42397"/>
    <w:rsid w:val="48B50F97"/>
    <w:rsid w:val="48B5598F"/>
    <w:rsid w:val="48C02B11"/>
    <w:rsid w:val="48C61F79"/>
    <w:rsid w:val="48CF1D57"/>
    <w:rsid w:val="48DF5182"/>
    <w:rsid w:val="48F564A7"/>
    <w:rsid w:val="48F652D4"/>
    <w:rsid w:val="490C6374"/>
    <w:rsid w:val="493B365D"/>
    <w:rsid w:val="49487857"/>
    <w:rsid w:val="49511A3A"/>
    <w:rsid w:val="49660706"/>
    <w:rsid w:val="49672E96"/>
    <w:rsid w:val="496854E9"/>
    <w:rsid w:val="49694109"/>
    <w:rsid w:val="496E10BA"/>
    <w:rsid w:val="49747A71"/>
    <w:rsid w:val="498B543D"/>
    <w:rsid w:val="4996378E"/>
    <w:rsid w:val="49A76C47"/>
    <w:rsid w:val="49BD1603"/>
    <w:rsid w:val="49BF310B"/>
    <w:rsid w:val="49C0270A"/>
    <w:rsid w:val="49D60DF1"/>
    <w:rsid w:val="49DC7715"/>
    <w:rsid w:val="49DE0CD3"/>
    <w:rsid w:val="49F40CE0"/>
    <w:rsid w:val="4A023139"/>
    <w:rsid w:val="4A0C4C3E"/>
    <w:rsid w:val="4A263586"/>
    <w:rsid w:val="4A2C50E1"/>
    <w:rsid w:val="4A3E412A"/>
    <w:rsid w:val="4A4134C4"/>
    <w:rsid w:val="4A4E55A4"/>
    <w:rsid w:val="4A544985"/>
    <w:rsid w:val="4A6948AC"/>
    <w:rsid w:val="4A7B576F"/>
    <w:rsid w:val="4A851BAB"/>
    <w:rsid w:val="4A873338"/>
    <w:rsid w:val="4A9249EF"/>
    <w:rsid w:val="4AAF210A"/>
    <w:rsid w:val="4ADC21B7"/>
    <w:rsid w:val="4AF561A9"/>
    <w:rsid w:val="4B0772D7"/>
    <w:rsid w:val="4B14769A"/>
    <w:rsid w:val="4B176121"/>
    <w:rsid w:val="4B2B0B52"/>
    <w:rsid w:val="4B3F3247"/>
    <w:rsid w:val="4B471359"/>
    <w:rsid w:val="4B4A4494"/>
    <w:rsid w:val="4B4F64CB"/>
    <w:rsid w:val="4B53052D"/>
    <w:rsid w:val="4B580ECF"/>
    <w:rsid w:val="4B722731"/>
    <w:rsid w:val="4B732F2E"/>
    <w:rsid w:val="4B985684"/>
    <w:rsid w:val="4B996F3D"/>
    <w:rsid w:val="4BAF7FC1"/>
    <w:rsid w:val="4BBB2BA4"/>
    <w:rsid w:val="4BEA3186"/>
    <w:rsid w:val="4BFF40AA"/>
    <w:rsid w:val="4C072155"/>
    <w:rsid w:val="4C0A2348"/>
    <w:rsid w:val="4C4A0649"/>
    <w:rsid w:val="4C5E4F57"/>
    <w:rsid w:val="4C785F21"/>
    <w:rsid w:val="4C7E5ECA"/>
    <w:rsid w:val="4C876AA5"/>
    <w:rsid w:val="4C9722A4"/>
    <w:rsid w:val="4CAA019C"/>
    <w:rsid w:val="4CB1256E"/>
    <w:rsid w:val="4CEC4E25"/>
    <w:rsid w:val="4CF23240"/>
    <w:rsid w:val="4CF26446"/>
    <w:rsid w:val="4CFA4A2F"/>
    <w:rsid w:val="4D010BB1"/>
    <w:rsid w:val="4D0E00FB"/>
    <w:rsid w:val="4D176606"/>
    <w:rsid w:val="4D477799"/>
    <w:rsid w:val="4D4E4225"/>
    <w:rsid w:val="4D5748E3"/>
    <w:rsid w:val="4D6F39E6"/>
    <w:rsid w:val="4D743F0E"/>
    <w:rsid w:val="4D9C1453"/>
    <w:rsid w:val="4DA65774"/>
    <w:rsid w:val="4DBC6AF1"/>
    <w:rsid w:val="4DCB44AF"/>
    <w:rsid w:val="4DCE1C69"/>
    <w:rsid w:val="4DD27253"/>
    <w:rsid w:val="4DDD70B3"/>
    <w:rsid w:val="4DEC4FB0"/>
    <w:rsid w:val="4DF10BDE"/>
    <w:rsid w:val="4E075D8A"/>
    <w:rsid w:val="4E0A1F7E"/>
    <w:rsid w:val="4E0F1C7F"/>
    <w:rsid w:val="4E124779"/>
    <w:rsid w:val="4E516B22"/>
    <w:rsid w:val="4E726A98"/>
    <w:rsid w:val="4E747AA8"/>
    <w:rsid w:val="4E813805"/>
    <w:rsid w:val="4E8F4436"/>
    <w:rsid w:val="4E9702AC"/>
    <w:rsid w:val="4E981972"/>
    <w:rsid w:val="4EC00FAD"/>
    <w:rsid w:val="4EC63D8E"/>
    <w:rsid w:val="4EEB1AFF"/>
    <w:rsid w:val="4EF01184"/>
    <w:rsid w:val="4EFE2CBB"/>
    <w:rsid w:val="4F095116"/>
    <w:rsid w:val="4F367AC5"/>
    <w:rsid w:val="4F4C1394"/>
    <w:rsid w:val="4F4F2C3C"/>
    <w:rsid w:val="4F71212E"/>
    <w:rsid w:val="4F777E10"/>
    <w:rsid w:val="4F79327A"/>
    <w:rsid w:val="4F925656"/>
    <w:rsid w:val="4F9843DC"/>
    <w:rsid w:val="4F986201"/>
    <w:rsid w:val="4FBA411C"/>
    <w:rsid w:val="4FC62A8C"/>
    <w:rsid w:val="4FD524A0"/>
    <w:rsid w:val="4FDD5087"/>
    <w:rsid w:val="4FE20F0D"/>
    <w:rsid w:val="4FE51552"/>
    <w:rsid w:val="4FF87BA2"/>
    <w:rsid w:val="4FFA5294"/>
    <w:rsid w:val="4FFB1B3E"/>
    <w:rsid w:val="500C759A"/>
    <w:rsid w:val="500E5916"/>
    <w:rsid w:val="503404A9"/>
    <w:rsid w:val="5045626C"/>
    <w:rsid w:val="50504C4B"/>
    <w:rsid w:val="505F0588"/>
    <w:rsid w:val="507C59AC"/>
    <w:rsid w:val="50805964"/>
    <w:rsid w:val="50983310"/>
    <w:rsid w:val="509A7751"/>
    <w:rsid w:val="509C6E7C"/>
    <w:rsid w:val="50A123A2"/>
    <w:rsid w:val="50AB15F2"/>
    <w:rsid w:val="50C0349B"/>
    <w:rsid w:val="50C966C3"/>
    <w:rsid w:val="50CE1B34"/>
    <w:rsid w:val="50D15CF8"/>
    <w:rsid w:val="50FD27AE"/>
    <w:rsid w:val="510548EF"/>
    <w:rsid w:val="510F6820"/>
    <w:rsid w:val="51102D13"/>
    <w:rsid w:val="51134F78"/>
    <w:rsid w:val="51167B81"/>
    <w:rsid w:val="5123084B"/>
    <w:rsid w:val="51233E47"/>
    <w:rsid w:val="51394026"/>
    <w:rsid w:val="51590C41"/>
    <w:rsid w:val="515C4FC4"/>
    <w:rsid w:val="51610889"/>
    <w:rsid w:val="5162104E"/>
    <w:rsid w:val="51666A97"/>
    <w:rsid w:val="517A37C5"/>
    <w:rsid w:val="518D5599"/>
    <w:rsid w:val="519877BB"/>
    <w:rsid w:val="51AA3367"/>
    <w:rsid w:val="51B8492B"/>
    <w:rsid w:val="51C770FB"/>
    <w:rsid w:val="51E54DC6"/>
    <w:rsid w:val="51F3293E"/>
    <w:rsid w:val="51FA2F72"/>
    <w:rsid w:val="52057D65"/>
    <w:rsid w:val="520C6973"/>
    <w:rsid w:val="5217531C"/>
    <w:rsid w:val="52182B09"/>
    <w:rsid w:val="521A36CE"/>
    <w:rsid w:val="5234712B"/>
    <w:rsid w:val="523A4625"/>
    <w:rsid w:val="525D235B"/>
    <w:rsid w:val="525F1C70"/>
    <w:rsid w:val="525F631B"/>
    <w:rsid w:val="52741030"/>
    <w:rsid w:val="52754DA9"/>
    <w:rsid w:val="527B1AD2"/>
    <w:rsid w:val="52EC1F74"/>
    <w:rsid w:val="52F91575"/>
    <w:rsid w:val="531C6FD2"/>
    <w:rsid w:val="53211EB9"/>
    <w:rsid w:val="53213410"/>
    <w:rsid w:val="53394028"/>
    <w:rsid w:val="534501EE"/>
    <w:rsid w:val="534E27B1"/>
    <w:rsid w:val="534E5803"/>
    <w:rsid w:val="535929E5"/>
    <w:rsid w:val="535A6478"/>
    <w:rsid w:val="535B6D97"/>
    <w:rsid w:val="536F4228"/>
    <w:rsid w:val="537B5D87"/>
    <w:rsid w:val="53937294"/>
    <w:rsid w:val="53963FE6"/>
    <w:rsid w:val="539A6875"/>
    <w:rsid w:val="53A039CC"/>
    <w:rsid w:val="53A1505A"/>
    <w:rsid w:val="53AF597A"/>
    <w:rsid w:val="53CF606B"/>
    <w:rsid w:val="53D64F65"/>
    <w:rsid w:val="53E04E54"/>
    <w:rsid w:val="53F1045F"/>
    <w:rsid w:val="53FB7482"/>
    <w:rsid w:val="54063E08"/>
    <w:rsid w:val="54066AC0"/>
    <w:rsid w:val="54195201"/>
    <w:rsid w:val="541A7502"/>
    <w:rsid w:val="542645AC"/>
    <w:rsid w:val="542B57BD"/>
    <w:rsid w:val="542E45C7"/>
    <w:rsid w:val="543437E8"/>
    <w:rsid w:val="54484BF0"/>
    <w:rsid w:val="544F7ABB"/>
    <w:rsid w:val="54566FE8"/>
    <w:rsid w:val="545A1CB4"/>
    <w:rsid w:val="547E3E59"/>
    <w:rsid w:val="54977258"/>
    <w:rsid w:val="54980C95"/>
    <w:rsid w:val="54AA2CDB"/>
    <w:rsid w:val="54B470DE"/>
    <w:rsid w:val="54C43717"/>
    <w:rsid w:val="54CD4A28"/>
    <w:rsid w:val="54DA7145"/>
    <w:rsid w:val="54DC10C5"/>
    <w:rsid w:val="54E30F12"/>
    <w:rsid w:val="54F73313"/>
    <w:rsid w:val="54F7402E"/>
    <w:rsid w:val="54F80955"/>
    <w:rsid w:val="54FB3921"/>
    <w:rsid w:val="55022812"/>
    <w:rsid w:val="55025823"/>
    <w:rsid w:val="55262E97"/>
    <w:rsid w:val="552A7421"/>
    <w:rsid w:val="554C5C73"/>
    <w:rsid w:val="555170A7"/>
    <w:rsid w:val="555D4090"/>
    <w:rsid w:val="556F0636"/>
    <w:rsid w:val="55726D96"/>
    <w:rsid w:val="5587536D"/>
    <w:rsid w:val="559B174B"/>
    <w:rsid w:val="55A51501"/>
    <w:rsid w:val="55AE3E0A"/>
    <w:rsid w:val="55AE559C"/>
    <w:rsid w:val="55B7767B"/>
    <w:rsid w:val="55B81234"/>
    <w:rsid w:val="55C85872"/>
    <w:rsid w:val="55CE0CF4"/>
    <w:rsid w:val="55EF57E2"/>
    <w:rsid w:val="561F25E1"/>
    <w:rsid w:val="563805C7"/>
    <w:rsid w:val="5652713D"/>
    <w:rsid w:val="566B599E"/>
    <w:rsid w:val="566F2CD2"/>
    <w:rsid w:val="56A54C43"/>
    <w:rsid w:val="56AA1B26"/>
    <w:rsid w:val="56B22A9C"/>
    <w:rsid w:val="56CA0C52"/>
    <w:rsid w:val="56CE1B3B"/>
    <w:rsid w:val="56E021B3"/>
    <w:rsid w:val="57193F55"/>
    <w:rsid w:val="57224F0D"/>
    <w:rsid w:val="57236B81"/>
    <w:rsid w:val="572C6429"/>
    <w:rsid w:val="573A794D"/>
    <w:rsid w:val="576948B0"/>
    <w:rsid w:val="57792F37"/>
    <w:rsid w:val="5787620A"/>
    <w:rsid w:val="578C4726"/>
    <w:rsid w:val="57B72A76"/>
    <w:rsid w:val="57C3426C"/>
    <w:rsid w:val="57CE1F93"/>
    <w:rsid w:val="57FF13C3"/>
    <w:rsid w:val="5801241D"/>
    <w:rsid w:val="580B20D7"/>
    <w:rsid w:val="581B281F"/>
    <w:rsid w:val="58242BB1"/>
    <w:rsid w:val="58535244"/>
    <w:rsid w:val="588743D1"/>
    <w:rsid w:val="5887701A"/>
    <w:rsid w:val="5896670C"/>
    <w:rsid w:val="58974460"/>
    <w:rsid w:val="58AD457A"/>
    <w:rsid w:val="58BB00A5"/>
    <w:rsid w:val="58E72928"/>
    <w:rsid w:val="58EC1BA5"/>
    <w:rsid w:val="58EF14C3"/>
    <w:rsid w:val="59431A98"/>
    <w:rsid w:val="594C0774"/>
    <w:rsid w:val="595446F3"/>
    <w:rsid w:val="59640F51"/>
    <w:rsid w:val="59657925"/>
    <w:rsid w:val="596827D0"/>
    <w:rsid w:val="59684D1F"/>
    <w:rsid w:val="596A60F9"/>
    <w:rsid w:val="59806C4E"/>
    <w:rsid w:val="5984268E"/>
    <w:rsid w:val="59934A3A"/>
    <w:rsid w:val="59984347"/>
    <w:rsid w:val="59A355C5"/>
    <w:rsid w:val="59B5268C"/>
    <w:rsid w:val="59C0439F"/>
    <w:rsid w:val="59C6656A"/>
    <w:rsid w:val="59CB7209"/>
    <w:rsid w:val="59E06FAB"/>
    <w:rsid w:val="59EC40DF"/>
    <w:rsid w:val="59F11CAF"/>
    <w:rsid w:val="5A0E5D14"/>
    <w:rsid w:val="5A107CBE"/>
    <w:rsid w:val="5A1629CD"/>
    <w:rsid w:val="5A2668AD"/>
    <w:rsid w:val="5A471C08"/>
    <w:rsid w:val="5A596CDA"/>
    <w:rsid w:val="5A6E2809"/>
    <w:rsid w:val="5A74657A"/>
    <w:rsid w:val="5A8B6F17"/>
    <w:rsid w:val="5AA35817"/>
    <w:rsid w:val="5AA6345B"/>
    <w:rsid w:val="5ABE2233"/>
    <w:rsid w:val="5AC60BB6"/>
    <w:rsid w:val="5ACA75CA"/>
    <w:rsid w:val="5ACE5056"/>
    <w:rsid w:val="5AE2261F"/>
    <w:rsid w:val="5AF42EB8"/>
    <w:rsid w:val="5B0A3EFC"/>
    <w:rsid w:val="5B1433B1"/>
    <w:rsid w:val="5B17546C"/>
    <w:rsid w:val="5B2540C1"/>
    <w:rsid w:val="5B277E36"/>
    <w:rsid w:val="5B391AA7"/>
    <w:rsid w:val="5B3E042E"/>
    <w:rsid w:val="5B503CA4"/>
    <w:rsid w:val="5B5640D3"/>
    <w:rsid w:val="5B6D7007"/>
    <w:rsid w:val="5B766D04"/>
    <w:rsid w:val="5B7E082A"/>
    <w:rsid w:val="5B8843F7"/>
    <w:rsid w:val="5B9479C3"/>
    <w:rsid w:val="5BAC546F"/>
    <w:rsid w:val="5BDF5D95"/>
    <w:rsid w:val="5BEA374B"/>
    <w:rsid w:val="5BF86DBA"/>
    <w:rsid w:val="5BFE7528"/>
    <w:rsid w:val="5C003935"/>
    <w:rsid w:val="5C0C257E"/>
    <w:rsid w:val="5C0E718C"/>
    <w:rsid w:val="5C1A46B7"/>
    <w:rsid w:val="5C1A6DD6"/>
    <w:rsid w:val="5C2138C7"/>
    <w:rsid w:val="5C4035E0"/>
    <w:rsid w:val="5C456B88"/>
    <w:rsid w:val="5C46575E"/>
    <w:rsid w:val="5C5E2044"/>
    <w:rsid w:val="5C6000DC"/>
    <w:rsid w:val="5C6914DA"/>
    <w:rsid w:val="5CAD1D45"/>
    <w:rsid w:val="5CB94DD6"/>
    <w:rsid w:val="5CBA1D36"/>
    <w:rsid w:val="5CC12488"/>
    <w:rsid w:val="5CC82D6C"/>
    <w:rsid w:val="5CCB3E7D"/>
    <w:rsid w:val="5D0268CF"/>
    <w:rsid w:val="5D030703"/>
    <w:rsid w:val="5D0E2D34"/>
    <w:rsid w:val="5D3D64C3"/>
    <w:rsid w:val="5D591E4C"/>
    <w:rsid w:val="5D68056A"/>
    <w:rsid w:val="5D746389"/>
    <w:rsid w:val="5D747BFB"/>
    <w:rsid w:val="5D783617"/>
    <w:rsid w:val="5D8F4F70"/>
    <w:rsid w:val="5DBF3174"/>
    <w:rsid w:val="5DCA244C"/>
    <w:rsid w:val="5DD7273A"/>
    <w:rsid w:val="5DE50903"/>
    <w:rsid w:val="5DF115E0"/>
    <w:rsid w:val="5E0B3AC1"/>
    <w:rsid w:val="5E0C27AA"/>
    <w:rsid w:val="5E101BDD"/>
    <w:rsid w:val="5E2467F1"/>
    <w:rsid w:val="5E345B6A"/>
    <w:rsid w:val="5E5701C7"/>
    <w:rsid w:val="5E5F56F4"/>
    <w:rsid w:val="5E5F664B"/>
    <w:rsid w:val="5E6A7A90"/>
    <w:rsid w:val="5E833DD4"/>
    <w:rsid w:val="5E8B4CDA"/>
    <w:rsid w:val="5E8B55BF"/>
    <w:rsid w:val="5E9725FA"/>
    <w:rsid w:val="5EAE1B77"/>
    <w:rsid w:val="5EB558FD"/>
    <w:rsid w:val="5EDB481E"/>
    <w:rsid w:val="5EFF7020"/>
    <w:rsid w:val="5F1A2B43"/>
    <w:rsid w:val="5F3523CE"/>
    <w:rsid w:val="5FA27196"/>
    <w:rsid w:val="5FA840C8"/>
    <w:rsid w:val="5FAD406B"/>
    <w:rsid w:val="5FAE3015"/>
    <w:rsid w:val="5FB837BB"/>
    <w:rsid w:val="5FC6558C"/>
    <w:rsid w:val="5FF10709"/>
    <w:rsid w:val="5FFA497D"/>
    <w:rsid w:val="600314A1"/>
    <w:rsid w:val="60150B9A"/>
    <w:rsid w:val="601C5F42"/>
    <w:rsid w:val="6032311E"/>
    <w:rsid w:val="6052193C"/>
    <w:rsid w:val="6052760D"/>
    <w:rsid w:val="60561F07"/>
    <w:rsid w:val="605B3B6D"/>
    <w:rsid w:val="606F7A39"/>
    <w:rsid w:val="608C4DAC"/>
    <w:rsid w:val="609676D1"/>
    <w:rsid w:val="60A717B0"/>
    <w:rsid w:val="60B0460D"/>
    <w:rsid w:val="60C54708"/>
    <w:rsid w:val="60CC405A"/>
    <w:rsid w:val="60CE4002"/>
    <w:rsid w:val="60E2520F"/>
    <w:rsid w:val="6102039D"/>
    <w:rsid w:val="61132A66"/>
    <w:rsid w:val="611A0FF5"/>
    <w:rsid w:val="611F2AAF"/>
    <w:rsid w:val="614150CD"/>
    <w:rsid w:val="614330C1"/>
    <w:rsid w:val="61624EAD"/>
    <w:rsid w:val="61804E70"/>
    <w:rsid w:val="61815E79"/>
    <w:rsid w:val="61945001"/>
    <w:rsid w:val="619A0388"/>
    <w:rsid w:val="61A763C8"/>
    <w:rsid w:val="61BA1607"/>
    <w:rsid w:val="61CD42B9"/>
    <w:rsid w:val="61E215D8"/>
    <w:rsid w:val="61F00A74"/>
    <w:rsid w:val="62037B7F"/>
    <w:rsid w:val="620E6240"/>
    <w:rsid w:val="62154056"/>
    <w:rsid w:val="621B3775"/>
    <w:rsid w:val="6225685F"/>
    <w:rsid w:val="62364782"/>
    <w:rsid w:val="624502F4"/>
    <w:rsid w:val="624B1D15"/>
    <w:rsid w:val="624E0F87"/>
    <w:rsid w:val="627F76A3"/>
    <w:rsid w:val="628047F7"/>
    <w:rsid w:val="628A21AA"/>
    <w:rsid w:val="629372B1"/>
    <w:rsid w:val="62A3109C"/>
    <w:rsid w:val="62A96C11"/>
    <w:rsid w:val="62AE1CFD"/>
    <w:rsid w:val="62B1604D"/>
    <w:rsid w:val="62BE30A2"/>
    <w:rsid w:val="62D95CBB"/>
    <w:rsid w:val="62F6339C"/>
    <w:rsid w:val="630F5986"/>
    <w:rsid w:val="631D152C"/>
    <w:rsid w:val="633402E0"/>
    <w:rsid w:val="634560D1"/>
    <w:rsid w:val="635B760E"/>
    <w:rsid w:val="636B7B0E"/>
    <w:rsid w:val="63754B40"/>
    <w:rsid w:val="637B1AF3"/>
    <w:rsid w:val="637C7D45"/>
    <w:rsid w:val="637E7079"/>
    <w:rsid w:val="638D53AC"/>
    <w:rsid w:val="6394356A"/>
    <w:rsid w:val="639C5DE9"/>
    <w:rsid w:val="63A23524"/>
    <w:rsid w:val="63A8399A"/>
    <w:rsid w:val="63AF77EE"/>
    <w:rsid w:val="63B23B01"/>
    <w:rsid w:val="63B47A5B"/>
    <w:rsid w:val="63B813BC"/>
    <w:rsid w:val="63B94D45"/>
    <w:rsid w:val="63BB7DF8"/>
    <w:rsid w:val="63C61B2C"/>
    <w:rsid w:val="63D032F7"/>
    <w:rsid w:val="63D14AB0"/>
    <w:rsid w:val="63D40BE9"/>
    <w:rsid w:val="63EA52B0"/>
    <w:rsid w:val="63EB1615"/>
    <w:rsid w:val="63F02D22"/>
    <w:rsid w:val="63F820F5"/>
    <w:rsid w:val="63F97104"/>
    <w:rsid w:val="63F97D8C"/>
    <w:rsid w:val="6408210D"/>
    <w:rsid w:val="64102431"/>
    <w:rsid w:val="64234664"/>
    <w:rsid w:val="643A631C"/>
    <w:rsid w:val="643E1650"/>
    <w:rsid w:val="64435DA9"/>
    <w:rsid w:val="645B4232"/>
    <w:rsid w:val="64926A60"/>
    <w:rsid w:val="64A5243A"/>
    <w:rsid w:val="64A66CA1"/>
    <w:rsid w:val="64D03A24"/>
    <w:rsid w:val="64F531DE"/>
    <w:rsid w:val="6517012E"/>
    <w:rsid w:val="65373578"/>
    <w:rsid w:val="653A3177"/>
    <w:rsid w:val="653E34F1"/>
    <w:rsid w:val="65473CFD"/>
    <w:rsid w:val="655742AA"/>
    <w:rsid w:val="65583B0D"/>
    <w:rsid w:val="65A90B99"/>
    <w:rsid w:val="65AB02BB"/>
    <w:rsid w:val="65BF0A9A"/>
    <w:rsid w:val="65D42EF3"/>
    <w:rsid w:val="65FB24BF"/>
    <w:rsid w:val="65FE507B"/>
    <w:rsid w:val="66252916"/>
    <w:rsid w:val="663D04FB"/>
    <w:rsid w:val="66426F7F"/>
    <w:rsid w:val="664D6AA2"/>
    <w:rsid w:val="665965C5"/>
    <w:rsid w:val="669771BE"/>
    <w:rsid w:val="66B84C3B"/>
    <w:rsid w:val="66C60727"/>
    <w:rsid w:val="66CA19C2"/>
    <w:rsid w:val="66E33E0D"/>
    <w:rsid w:val="66EB4EAA"/>
    <w:rsid w:val="66F61BBC"/>
    <w:rsid w:val="66F679F3"/>
    <w:rsid w:val="66F733F3"/>
    <w:rsid w:val="671F124A"/>
    <w:rsid w:val="67257FA5"/>
    <w:rsid w:val="672A7AB8"/>
    <w:rsid w:val="67427E11"/>
    <w:rsid w:val="67474C6D"/>
    <w:rsid w:val="674D3D6A"/>
    <w:rsid w:val="675E59B4"/>
    <w:rsid w:val="677A33C6"/>
    <w:rsid w:val="67993512"/>
    <w:rsid w:val="67BA5CB3"/>
    <w:rsid w:val="67BD2FCE"/>
    <w:rsid w:val="67C22B84"/>
    <w:rsid w:val="67C868FC"/>
    <w:rsid w:val="67C94E79"/>
    <w:rsid w:val="67EA5181"/>
    <w:rsid w:val="67EC5AA4"/>
    <w:rsid w:val="67F70CAD"/>
    <w:rsid w:val="680E0785"/>
    <w:rsid w:val="68154C77"/>
    <w:rsid w:val="681F6961"/>
    <w:rsid w:val="684D090E"/>
    <w:rsid w:val="68610A2F"/>
    <w:rsid w:val="68653735"/>
    <w:rsid w:val="686E573A"/>
    <w:rsid w:val="687B539D"/>
    <w:rsid w:val="68805514"/>
    <w:rsid w:val="68A62C6B"/>
    <w:rsid w:val="68A6612F"/>
    <w:rsid w:val="68B247C9"/>
    <w:rsid w:val="68BB31CB"/>
    <w:rsid w:val="68CE5508"/>
    <w:rsid w:val="68D94CBD"/>
    <w:rsid w:val="68F744D5"/>
    <w:rsid w:val="68F91E38"/>
    <w:rsid w:val="6910093A"/>
    <w:rsid w:val="69194288"/>
    <w:rsid w:val="691E30C9"/>
    <w:rsid w:val="692D07C0"/>
    <w:rsid w:val="69316E2F"/>
    <w:rsid w:val="69381A6B"/>
    <w:rsid w:val="693A44B1"/>
    <w:rsid w:val="694E2071"/>
    <w:rsid w:val="696F3429"/>
    <w:rsid w:val="69766163"/>
    <w:rsid w:val="697A3B33"/>
    <w:rsid w:val="697E7653"/>
    <w:rsid w:val="6980418F"/>
    <w:rsid w:val="698A0CE2"/>
    <w:rsid w:val="698B323F"/>
    <w:rsid w:val="69950046"/>
    <w:rsid w:val="69977471"/>
    <w:rsid w:val="699C4779"/>
    <w:rsid w:val="69A025C4"/>
    <w:rsid w:val="69A44A90"/>
    <w:rsid w:val="69AC6EAA"/>
    <w:rsid w:val="69BC0511"/>
    <w:rsid w:val="69BD1AD4"/>
    <w:rsid w:val="69C07C4F"/>
    <w:rsid w:val="69CB37D4"/>
    <w:rsid w:val="69D44760"/>
    <w:rsid w:val="69E703F8"/>
    <w:rsid w:val="69F81E9A"/>
    <w:rsid w:val="69FB4757"/>
    <w:rsid w:val="6A0B6864"/>
    <w:rsid w:val="6A1313D2"/>
    <w:rsid w:val="6A163ACB"/>
    <w:rsid w:val="6A1A02B8"/>
    <w:rsid w:val="6A1B7F2E"/>
    <w:rsid w:val="6A330F73"/>
    <w:rsid w:val="6A520EC7"/>
    <w:rsid w:val="6A577E85"/>
    <w:rsid w:val="6A585A81"/>
    <w:rsid w:val="6A6B6E0C"/>
    <w:rsid w:val="6A7120AE"/>
    <w:rsid w:val="6A724D40"/>
    <w:rsid w:val="6A792B40"/>
    <w:rsid w:val="6A87045C"/>
    <w:rsid w:val="6AAA163C"/>
    <w:rsid w:val="6ACB14FA"/>
    <w:rsid w:val="6AD70C93"/>
    <w:rsid w:val="6AED1B45"/>
    <w:rsid w:val="6AF75C96"/>
    <w:rsid w:val="6AF87E20"/>
    <w:rsid w:val="6B036F9E"/>
    <w:rsid w:val="6B070A2D"/>
    <w:rsid w:val="6B0923F3"/>
    <w:rsid w:val="6B2E6B8B"/>
    <w:rsid w:val="6B322639"/>
    <w:rsid w:val="6B6656FA"/>
    <w:rsid w:val="6B7C3FBC"/>
    <w:rsid w:val="6B981E66"/>
    <w:rsid w:val="6B9E26DF"/>
    <w:rsid w:val="6BAE0739"/>
    <w:rsid w:val="6BBB5DAF"/>
    <w:rsid w:val="6BE566A3"/>
    <w:rsid w:val="6C0E2B2E"/>
    <w:rsid w:val="6C181BE1"/>
    <w:rsid w:val="6C332E72"/>
    <w:rsid w:val="6C337BCC"/>
    <w:rsid w:val="6C4471D8"/>
    <w:rsid w:val="6C636C38"/>
    <w:rsid w:val="6C67078F"/>
    <w:rsid w:val="6C715FA2"/>
    <w:rsid w:val="6C891725"/>
    <w:rsid w:val="6C8A3472"/>
    <w:rsid w:val="6CAB3815"/>
    <w:rsid w:val="6CB97B51"/>
    <w:rsid w:val="6CBA59CB"/>
    <w:rsid w:val="6CCB287F"/>
    <w:rsid w:val="6CCF7983"/>
    <w:rsid w:val="6CE90717"/>
    <w:rsid w:val="6CF0518A"/>
    <w:rsid w:val="6CF32486"/>
    <w:rsid w:val="6CF7043C"/>
    <w:rsid w:val="6D1B7D70"/>
    <w:rsid w:val="6D1E68A9"/>
    <w:rsid w:val="6D2C27DC"/>
    <w:rsid w:val="6D34444E"/>
    <w:rsid w:val="6D57537F"/>
    <w:rsid w:val="6D5B09CB"/>
    <w:rsid w:val="6D91792C"/>
    <w:rsid w:val="6D9E77C3"/>
    <w:rsid w:val="6DB34098"/>
    <w:rsid w:val="6DB545B6"/>
    <w:rsid w:val="6DCB7BD2"/>
    <w:rsid w:val="6DD00DC1"/>
    <w:rsid w:val="6DD85B26"/>
    <w:rsid w:val="6DDA2238"/>
    <w:rsid w:val="6DDC63F3"/>
    <w:rsid w:val="6DE02FB4"/>
    <w:rsid w:val="6DFD2F3B"/>
    <w:rsid w:val="6E260EBA"/>
    <w:rsid w:val="6E386BB7"/>
    <w:rsid w:val="6E514CED"/>
    <w:rsid w:val="6E5F00A3"/>
    <w:rsid w:val="6E601042"/>
    <w:rsid w:val="6E7B33CA"/>
    <w:rsid w:val="6E8E5568"/>
    <w:rsid w:val="6E943872"/>
    <w:rsid w:val="6EA939B8"/>
    <w:rsid w:val="6EAB5982"/>
    <w:rsid w:val="6EB563D5"/>
    <w:rsid w:val="6ED81B58"/>
    <w:rsid w:val="6ED92677"/>
    <w:rsid w:val="6EDE4F6C"/>
    <w:rsid w:val="6EE50E53"/>
    <w:rsid w:val="6F052909"/>
    <w:rsid w:val="6F225983"/>
    <w:rsid w:val="6F283514"/>
    <w:rsid w:val="6F315BAC"/>
    <w:rsid w:val="6F557E46"/>
    <w:rsid w:val="6F6C53B2"/>
    <w:rsid w:val="6F88033D"/>
    <w:rsid w:val="6F985D36"/>
    <w:rsid w:val="6F9B3A6C"/>
    <w:rsid w:val="6FAF2132"/>
    <w:rsid w:val="6FB75FF1"/>
    <w:rsid w:val="6FB90D04"/>
    <w:rsid w:val="6FD63548"/>
    <w:rsid w:val="6FDC5069"/>
    <w:rsid w:val="6FEF5D43"/>
    <w:rsid w:val="6FFC5590"/>
    <w:rsid w:val="70076F26"/>
    <w:rsid w:val="701B36CC"/>
    <w:rsid w:val="701D4466"/>
    <w:rsid w:val="70283568"/>
    <w:rsid w:val="704A2307"/>
    <w:rsid w:val="705C1149"/>
    <w:rsid w:val="706D1DD0"/>
    <w:rsid w:val="707500ED"/>
    <w:rsid w:val="7079658F"/>
    <w:rsid w:val="7085282D"/>
    <w:rsid w:val="70856B87"/>
    <w:rsid w:val="708C49F2"/>
    <w:rsid w:val="709010D6"/>
    <w:rsid w:val="70A42689"/>
    <w:rsid w:val="70A620EE"/>
    <w:rsid w:val="70A70F1E"/>
    <w:rsid w:val="70CB230C"/>
    <w:rsid w:val="70CB2889"/>
    <w:rsid w:val="70CF652C"/>
    <w:rsid w:val="70D527EE"/>
    <w:rsid w:val="70DA42FD"/>
    <w:rsid w:val="70DF09F6"/>
    <w:rsid w:val="711279E6"/>
    <w:rsid w:val="71184E25"/>
    <w:rsid w:val="712431FA"/>
    <w:rsid w:val="712437CA"/>
    <w:rsid w:val="712C5ABF"/>
    <w:rsid w:val="713E7F7D"/>
    <w:rsid w:val="714A7FB3"/>
    <w:rsid w:val="715B5300"/>
    <w:rsid w:val="716A44DC"/>
    <w:rsid w:val="717D7A04"/>
    <w:rsid w:val="719046CF"/>
    <w:rsid w:val="71AD78E3"/>
    <w:rsid w:val="71B00C8F"/>
    <w:rsid w:val="71BC66B1"/>
    <w:rsid w:val="71D27F8A"/>
    <w:rsid w:val="71E1307B"/>
    <w:rsid w:val="71E40182"/>
    <w:rsid w:val="71E73175"/>
    <w:rsid w:val="72124643"/>
    <w:rsid w:val="72187959"/>
    <w:rsid w:val="72553024"/>
    <w:rsid w:val="725E0CC4"/>
    <w:rsid w:val="72726E0C"/>
    <w:rsid w:val="72827352"/>
    <w:rsid w:val="72867EC4"/>
    <w:rsid w:val="72A56A42"/>
    <w:rsid w:val="72C15CD3"/>
    <w:rsid w:val="72CB0267"/>
    <w:rsid w:val="72E35F03"/>
    <w:rsid w:val="72E53207"/>
    <w:rsid w:val="72F010D2"/>
    <w:rsid w:val="73027474"/>
    <w:rsid w:val="730A1D09"/>
    <w:rsid w:val="73122968"/>
    <w:rsid w:val="731D4E50"/>
    <w:rsid w:val="731F5D5E"/>
    <w:rsid w:val="73375A36"/>
    <w:rsid w:val="7355410F"/>
    <w:rsid w:val="73572BFD"/>
    <w:rsid w:val="735A4DF1"/>
    <w:rsid w:val="736F6F5C"/>
    <w:rsid w:val="73722F12"/>
    <w:rsid w:val="73895FD2"/>
    <w:rsid w:val="73911760"/>
    <w:rsid w:val="739120DF"/>
    <w:rsid w:val="739452C2"/>
    <w:rsid w:val="73A870A4"/>
    <w:rsid w:val="73AC0778"/>
    <w:rsid w:val="73B317D5"/>
    <w:rsid w:val="73B9724A"/>
    <w:rsid w:val="73BB6668"/>
    <w:rsid w:val="73C51AD5"/>
    <w:rsid w:val="73D16C5C"/>
    <w:rsid w:val="73F1197F"/>
    <w:rsid w:val="740B15E7"/>
    <w:rsid w:val="740C736A"/>
    <w:rsid w:val="74175970"/>
    <w:rsid w:val="741E793C"/>
    <w:rsid w:val="74314522"/>
    <w:rsid w:val="74363F40"/>
    <w:rsid w:val="743722C7"/>
    <w:rsid w:val="74373814"/>
    <w:rsid w:val="74375CCD"/>
    <w:rsid w:val="743F442B"/>
    <w:rsid w:val="7444118B"/>
    <w:rsid w:val="745E3944"/>
    <w:rsid w:val="746777B5"/>
    <w:rsid w:val="74827185"/>
    <w:rsid w:val="74855DD6"/>
    <w:rsid w:val="74917649"/>
    <w:rsid w:val="74923DA0"/>
    <w:rsid w:val="74AD7F8A"/>
    <w:rsid w:val="74BC2C75"/>
    <w:rsid w:val="74CD6472"/>
    <w:rsid w:val="74D26A6C"/>
    <w:rsid w:val="74F07405"/>
    <w:rsid w:val="750F5996"/>
    <w:rsid w:val="75100625"/>
    <w:rsid w:val="75135818"/>
    <w:rsid w:val="75377F70"/>
    <w:rsid w:val="75412AC2"/>
    <w:rsid w:val="754206C3"/>
    <w:rsid w:val="755D265B"/>
    <w:rsid w:val="75630FC9"/>
    <w:rsid w:val="756E5FD2"/>
    <w:rsid w:val="758F05DE"/>
    <w:rsid w:val="75901566"/>
    <w:rsid w:val="75936615"/>
    <w:rsid w:val="7596618A"/>
    <w:rsid w:val="75A740EB"/>
    <w:rsid w:val="75BF037E"/>
    <w:rsid w:val="75CC3749"/>
    <w:rsid w:val="75CF1CBB"/>
    <w:rsid w:val="75CF65E9"/>
    <w:rsid w:val="75D31551"/>
    <w:rsid w:val="75D82220"/>
    <w:rsid w:val="760F1807"/>
    <w:rsid w:val="7635099D"/>
    <w:rsid w:val="76493ABD"/>
    <w:rsid w:val="76683243"/>
    <w:rsid w:val="76782E3C"/>
    <w:rsid w:val="769B3C71"/>
    <w:rsid w:val="76B33E72"/>
    <w:rsid w:val="76BC4D7C"/>
    <w:rsid w:val="76D435FA"/>
    <w:rsid w:val="76D90BB3"/>
    <w:rsid w:val="775841CD"/>
    <w:rsid w:val="775E4DD3"/>
    <w:rsid w:val="77672F95"/>
    <w:rsid w:val="77762421"/>
    <w:rsid w:val="77841D2D"/>
    <w:rsid w:val="779F5EF3"/>
    <w:rsid w:val="77A411B2"/>
    <w:rsid w:val="77B56B1F"/>
    <w:rsid w:val="77CD0408"/>
    <w:rsid w:val="77F749FC"/>
    <w:rsid w:val="77F93E24"/>
    <w:rsid w:val="780F09F4"/>
    <w:rsid w:val="780F13EF"/>
    <w:rsid w:val="78156E92"/>
    <w:rsid w:val="7821362E"/>
    <w:rsid w:val="785A34F0"/>
    <w:rsid w:val="788531F2"/>
    <w:rsid w:val="788A6C2B"/>
    <w:rsid w:val="78905B6E"/>
    <w:rsid w:val="78A250D0"/>
    <w:rsid w:val="78A90480"/>
    <w:rsid w:val="78B44E54"/>
    <w:rsid w:val="78BC55DC"/>
    <w:rsid w:val="78C75F90"/>
    <w:rsid w:val="78D67D8F"/>
    <w:rsid w:val="78E13314"/>
    <w:rsid w:val="78E35D19"/>
    <w:rsid w:val="791F4954"/>
    <w:rsid w:val="79206F6D"/>
    <w:rsid w:val="7922079C"/>
    <w:rsid w:val="795A46BC"/>
    <w:rsid w:val="795D1317"/>
    <w:rsid w:val="79694493"/>
    <w:rsid w:val="79791349"/>
    <w:rsid w:val="79937EA5"/>
    <w:rsid w:val="79955687"/>
    <w:rsid w:val="79955887"/>
    <w:rsid w:val="79AE0B42"/>
    <w:rsid w:val="79C70310"/>
    <w:rsid w:val="79E81839"/>
    <w:rsid w:val="79E9519F"/>
    <w:rsid w:val="7A060811"/>
    <w:rsid w:val="7A0F0D7D"/>
    <w:rsid w:val="7A122135"/>
    <w:rsid w:val="7A364017"/>
    <w:rsid w:val="7A3E2C3E"/>
    <w:rsid w:val="7A3E4403"/>
    <w:rsid w:val="7A540F4A"/>
    <w:rsid w:val="7A6D4434"/>
    <w:rsid w:val="7A791410"/>
    <w:rsid w:val="7A8265E1"/>
    <w:rsid w:val="7AA5597C"/>
    <w:rsid w:val="7AAB0D1D"/>
    <w:rsid w:val="7AAC6D0A"/>
    <w:rsid w:val="7AB67B89"/>
    <w:rsid w:val="7AC91DC8"/>
    <w:rsid w:val="7ACA59BE"/>
    <w:rsid w:val="7AD06B08"/>
    <w:rsid w:val="7AD4369E"/>
    <w:rsid w:val="7AFA5271"/>
    <w:rsid w:val="7AFE7A15"/>
    <w:rsid w:val="7B2043F1"/>
    <w:rsid w:val="7B2666F2"/>
    <w:rsid w:val="7B561A60"/>
    <w:rsid w:val="7B686D42"/>
    <w:rsid w:val="7B736506"/>
    <w:rsid w:val="7B7C3402"/>
    <w:rsid w:val="7B841746"/>
    <w:rsid w:val="7B8B5415"/>
    <w:rsid w:val="7B8C70FC"/>
    <w:rsid w:val="7B9220A2"/>
    <w:rsid w:val="7BA31B44"/>
    <w:rsid w:val="7BC82DEA"/>
    <w:rsid w:val="7BCE1C46"/>
    <w:rsid w:val="7BD82798"/>
    <w:rsid w:val="7BDA14A1"/>
    <w:rsid w:val="7BDD1C3D"/>
    <w:rsid w:val="7C0D4297"/>
    <w:rsid w:val="7C17245F"/>
    <w:rsid w:val="7C180B58"/>
    <w:rsid w:val="7C191192"/>
    <w:rsid w:val="7C333786"/>
    <w:rsid w:val="7C3F09A2"/>
    <w:rsid w:val="7C464F3C"/>
    <w:rsid w:val="7C4C14B2"/>
    <w:rsid w:val="7C6C5AC7"/>
    <w:rsid w:val="7C741B15"/>
    <w:rsid w:val="7C75312C"/>
    <w:rsid w:val="7C7A4BE6"/>
    <w:rsid w:val="7C832515"/>
    <w:rsid w:val="7C855A65"/>
    <w:rsid w:val="7C866551"/>
    <w:rsid w:val="7C885555"/>
    <w:rsid w:val="7C9422F8"/>
    <w:rsid w:val="7C96350B"/>
    <w:rsid w:val="7CA0464C"/>
    <w:rsid w:val="7CC6544B"/>
    <w:rsid w:val="7CE6437A"/>
    <w:rsid w:val="7CF3307C"/>
    <w:rsid w:val="7CF93525"/>
    <w:rsid w:val="7CFE6EA6"/>
    <w:rsid w:val="7CFF1156"/>
    <w:rsid w:val="7D01301F"/>
    <w:rsid w:val="7D0239FF"/>
    <w:rsid w:val="7D0C4A8B"/>
    <w:rsid w:val="7D0D1638"/>
    <w:rsid w:val="7D156EDD"/>
    <w:rsid w:val="7D212736"/>
    <w:rsid w:val="7D3015F4"/>
    <w:rsid w:val="7D3E3E65"/>
    <w:rsid w:val="7D5E40CD"/>
    <w:rsid w:val="7D6B2EAC"/>
    <w:rsid w:val="7D734B88"/>
    <w:rsid w:val="7D906276"/>
    <w:rsid w:val="7D9B2BE6"/>
    <w:rsid w:val="7DCD56F2"/>
    <w:rsid w:val="7DEB48BB"/>
    <w:rsid w:val="7E0A75A1"/>
    <w:rsid w:val="7E1220B3"/>
    <w:rsid w:val="7E17157E"/>
    <w:rsid w:val="7E1E051B"/>
    <w:rsid w:val="7E5A6A7D"/>
    <w:rsid w:val="7E7553C7"/>
    <w:rsid w:val="7E7B7369"/>
    <w:rsid w:val="7E8844FA"/>
    <w:rsid w:val="7E950A95"/>
    <w:rsid w:val="7E9D0D87"/>
    <w:rsid w:val="7EA2588B"/>
    <w:rsid w:val="7EBC3294"/>
    <w:rsid w:val="7ECF2094"/>
    <w:rsid w:val="7EE8052D"/>
    <w:rsid w:val="7EEA552D"/>
    <w:rsid w:val="7F001CE7"/>
    <w:rsid w:val="7F017F0F"/>
    <w:rsid w:val="7F0937C9"/>
    <w:rsid w:val="7F161D33"/>
    <w:rsid w:val="7F1745B4"/>
    <w:rsid w:val="7F30382B"/>
    <w:rsid w:val="7F3C4096"/>
    <w:rsid w:val="7F412432"/>
    <w:rsid w:val="7F4C0ABC"/>
    <w:rsid w:val="7F6429EA"/>
    <w:rsid w:val="7F822CDF"/>
    <w:rsid w:val="7F9A0919"/>
    <w:rsid w:val="7FB22C02"/>
    <w:rsid w:val="7FBF66E4"/>
    <w:rsid w:val="7FC90C4F"/>
    <w:rsid w:val="7FCD7330"/>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9" w:semiHidden="0" w:name="heading 5" w:locked="1"/>
    <w:lsdException w:qFormat="1" w:unhideWhenUsed="0" w:uiPriority="9" w:semiHidden="0" w:name="heading 6" w:locked="1"/>
    <w:lsdException w:qFormat="1" w:unhideWhenUsed="0" w:uiPriority="9" w:semiHidden="0" w:name="heading 7" w:locked="1"/>
    <w:lsdException w:qFormat="1" w:unhideWhenUsed="0" w:uiPriority="0" w:semiHidden="0" w:name="heading 8" w:locked="1"/>
    <w:lsdException w:qFormat="1" w:unhideWhenUsed="0" w:uiPriority="9" w:semiHidden="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39" w:semiHidden="0" w:name="toc 4" w:locked="1"/>
    <w:lsdException w:qFormat="1" w:unhideWhenUsed="0" w:uiPriority="39" w:semiHidden="0" w:name="toc 5" w:locked="1"/>
    <w:lsdException w:qFormat="1" w:unhideWhenUsed="0" w:uiPriority="39" w:semiHidden="0" w:name="toc 6" w:locked="1"/>
    <w:lsdException w:qFormat="1" w:unhideWhenUsed="0" w:uiPriority="39" w:semiHidden="0" w:name="toc 7" w:locked="1"/>
    <w:lsdException w:qFormat="1" w:unhideWhenUsed="0" w:uiPriority="39" w:semiHidden="0" w:name="toc 8" w:locked="1"/>
    <w:lsdException w:qFormat="1" w:unhideWhenUsed="0" w:uiPriority="39" w:semiHidden="0" w:name="toc 9" w:locked="1"/>
    <w:lsdException w:qFormat="1"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0" w:semiHidden="0" w:name="header"/>
    <w:lsdException w:qFormat="1" w:unhideWhenUsed="0" w:uiPriority="0" w:semiHidden="0" w:name="footer"/>
    <w:lsdException w:qFormat="1"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semiHidden="0" w:name="table of authorities" w:locked="1"/>
    <w:lsdException w:unhideWhenUsed="0" w:uiPriority="0" w:semiHidden="0" w:name="macro" w:locked="1"/>
    <w:lsdException w:qFormat="1" w:unhideWhenUsed="0" w:uiPriority="0" w:semiHidden="0" w:name="toa heading" w:locked="1"/>
    <w:lsdException w:qFormat="1" w:unhideWhenUsed="0" w:uiPriority="0" w:semiHidden="0" w:name="List" w:locked="1"/>
    <w:lsdException w:qFormat="1" w:unhideWhenUsed="0" w:uiPriority="0" w:semiHidden="0" w:name="List Bullet" w:locked="1"/>
    <w:lsdException w:qFormat="1" w:unhideWhenUsed="0" w:uiPriority="0" w:semiHidden="0" w:name="List Number" w:locked="1"/>
    <w:lsdException w:qFormat="1"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qFormat="1"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99" w:semiHidden="0" w:name="List Continue" w:locked="1"/>
    <w:lsdException w:qFormat="1"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qFormat="1" w:unhideWhenUsed="0" w:uiPriority="0" w:semiHidden="0" w:name="Message Header" w:locked="1"/>
    <w:lsdException w:qFormat="1" w:unhideWhenUsed="0" w:uiPriority="11"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qFormat="1" w:unhideWhenUsed="0" w:uiPriority="0" w:semiHidden="0" w:name="FollowedHyperlink" w:locked="1"/>
    <w:lsdException w:qFormat="1" w:unhideWhenUsed="0" w:uiPriority="22" w:semiHidden="0" w:name="Strong" w:locked="1"/>
    <w:lsdException w:qFormat="1" w:unhideWhenUsed="0" w:uiPriority="2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qFormat="1"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99"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qFormat="1" w:unhideWhenUsed="0" w:uiPriority="0" w:semiHidden="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qFormat="1" w:unhideWhenUsed="0" w:uiPriority="0" w:semiHidden="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39" w:semiHidden="0" w:name="Table Grid"/>
    <w:lsdException w:qFormat="1"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snapToGrid w:val="0"/>
      <w:kern w:val="2"/>
      <w:sz w:val="21"/>
      <w:szCs w:val="21"/>
      <w:lang w:val="en-US" w:eastAsia="zh-CN" w:bidi="ar-SA"/>
    </w:rPr>
  </w:style>
  <w:style w:type="paragraph" w:styleId="3">
    <w:name w:val="heading 1"/>
    <w:basedOn w:val="1"/>
    <w:next w:val="1"/>
    <w:link w:val="74"/>
    <w:autoRedefine/>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5"/>
    <w:link w:val="75"/>
    <w:autoRedefine/>
    <w:qFormat/>
    <w:locked/>
    <w:uiPriority w:val="0"/>
    <w:pPr>
      <w:keepNext/>
      <w:jc w:val="center"/>
      <w:outlineLvl w:val="1"/>
    </w:pPr>
    <w:rPr>
      <w:sz w:val="24"/>
      <w:szCs w:val="20"/>
    </w:rPr>
  </w:style>
  <w:style w:type="paragraph" w:styleId="2">
    <w:name w:val="heading 3"/>
    <w:basedOn w:val="1"/>
    <w:next w:val="1"/>
    <w:link w:val="77"/>
    <w:autoRedefine/>
    <w:qFormat/>
    <w:locked/>
    <w:uiPriority w:val="0"/>
    <w:pPr>
      <w:keepNext/>
      <w:keepLines/>
      <w:spacing w:before="260" w:after="260" w:line="416" w:lineRule="auto"/>
      <w:outlineLvl w:val="2"/>
    </w:pPr>
    <w:rPr>
      <w:b/>
      <w:bCs/>
      <w:sz w:val="32"/>
      <w:szCs w:val="32"/>
    </w:rPr>
  </w:style>
  <w:style w:type="paragraph" w:styleId="6">
    <w:name w:val="heading 4"/>
    <w:basedOn w:val="1"/>
    <w:next w:val="1"/>
    <w:link w:val="78"/>
    <w:autoRedefine/>
    <w:qFormat/>
    <w:locked/>
    <w:uiPriority w:val="0"/>
    <w:pPr>
      <w:keepNext/>
      <w:keepLines/>
      <w:adjustRightInd w:val="0"/>
      <w:spacing w:before="120" w:after="120"/>
      <w:jc w:val="left"/>
      <w:textAlignment w:val="baseline"/>
      <w:outlineLvl w:val="3"/>
    </w:pPr>
    <w:rPr>
      <w:rFonts w:ascii="Arial" w:hAnsi="Arial"/>
      <w:sz w:val="24"/>
      <w:szCs w:val="20"/>
    </w:rPr>
  </w:style>
  <w:style w:type="paragraph" w:styleId="7">
    <w:name w:val="heading 5"/>
    <w:basedOn w:val="1"/>
    <w:next w:val="1"/>
    <w:link w:val="79"/>
    <w:autoRedefine/>
    <w:qFormat/>
    <w:locked/>
    <w:uiPriority w:val="9"/>
    <w:pPr>
      <w:keepNext/>
      <w:outlineLvl w:val="4"/>
    </w:pPr>
    <w:rPr>
      <w:b/>
      <w:bCs/>
      <w:sz w:val="24"/>
      <w:szCs w:val="20"/>
    </w:rPr>
  </w:style>
  <w:style w:type="paragraph" w:styleId="8">
    <w:name w:val="heading 6"/>
    <w:basedOn w:val="1"/>
    <w:next w:val="1"/>
    <w:link w:val="80"/>
    <w:autoRedefine/>
    <w:qFormat/>
    <w:locked/>
    <w:uiPriority w:val="9"/>
    <w:pPr>
      <w:keepNext/>
      <w:keepLines/>
      <w:spacing w:before="240" w:after="64" w:line="320" w:lineRule="auto"/>
      <w:outlineLvl w:val="5"/>
    </w:pPr>
    <w:rPr>
      <w:rFonts w:ascii="Arial" w:hAnsi="Arial" w:eastAsia="黑体"/>
      <w:b/>
      <w:bCs/>
      <w:sz w:val="24"/>
    </w:rPr>
  </w:style>
  <w:style w:type="paragraph" w:styleId="9">
    <w:name w:val="heading 7"/>
    <w:basedOn w:val="1"/>
    <w:next w:val="1"/>
    <w:link w:val="81"/>
    <w:autoRedefine/>
    <w:qFormat/>
    <w:locked/>
    <w:uiPriority w:val="9"/>
    <w:pPr>
      <w:keepNext/>
      <w:keepLines/>
      <w:spacing w:before="240" w:after="64" w:line="320" w:lineRule="auto"/>
      <w:outlineLvl w:val="6"/>
    </w:pPr>
    <w:rPr>
      <w:rFonts w:eastAsia="仿宋_GB2312"/>
      <w:b/>
      <w:bCs/>
      <w:sz w:val="24"/>
    </w:rPr>
  </w:style>
  <w:style w:type="paragraph" w:styleId="10">
    <w:name w:val="heading 8"/>
    <w:basedOn w:val="1"/>
    <w:next w:val="1"/>
    <w:link w:val="82"/>
    <w:autoRedefine/>
    <w:qFormat/>
    <w:locked/>
    <w:uiPriority w:val="0"/>
    <w:pPr>
      <w:keepNext/>
      <w:widowControl/>
      <w:numPr>
        <w:ilvl w:val="0"/>
        <w:numId w:val="1"/>
      </w:numPr>
      <w:spacing w:line="360" w:lineRule="atLeast"/>
      <w:outlineLvl w:val="7"/>
    </w:pPr>
    <w:rPr>
      <w:b/>
      <w:bCs/>
      <w:kern w:val="0"/>
      <w:sz w:val="32"/>
      <w:lang w:val="en-GB" w:eastAsia="es-ES"/>
    </w:rPr>
  </w:style>
  <w:style w:type="paragraph" w:styleId="11">
    <w:name w:val="heading 9"/>
    <w:basedOn w:val="1"/>
    <w:next w:val="1"/>
    <w:link w:val="83"/>
    <w:autoRedefine/>
    <w:qFormat/>
    <w:locked/>
    <w:uiPriority w:val="9"/>
    <w:pPr>
      <w:keepNext/>
      <w:keepLines/>
      <w:spacing w:before="240" w:after="64" w:line="320" w:lineRule="auto"/>
      <w:outlineLvl w:val="8"/>
    </w:pPr>
    <w:rPr>
      <w:rFonts w:ascii="Arial" w:hAnsi="Arial" w:eastAsia="黑体"/>
    </w:rPr>
  </w:style>
  <w:style w:type="character" w:default="1" w:styleId="64">
    <w:name w:val="Default Paragraph Font"/>
    <w:semiHidden/>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76"/>
    <w:autoRedefine/>
    <w:qFormat/>
    <w:locked/>
    <w:uiPriority w:val="0"/>
    <w:pPr>
      <w:ind w:firstLine="420"/>
    </w:pPr>
    <w:rPr>
      <w:szCs w:val="20"/>
    </w:rPr>
  </w:style>
  <w:style w:type="paragraph" w:styleId="12">
    <w:name w:val="List 3"/>
    <w:basedOn w:val="1"/>
    <w:autoRedefine/>
    <w:qFormat/>
    <w:locked/>
    <w:uiPriority w:val="0"/>
    <w:pPr>
      <w:ind w:left="1260" w:hanging="420"/>
    </w:pPr>
    <w:rPr>
      <w:szCs w:val="20"/>
    </w:rPr>
  </w:style>
  <w:style w:type="paragraph" w:styleId="13">
    <w:name w:val="toc 7"/>
    <w:basedOn w:val="1"/>
    <w:next w:val="1"/>
    <w:autoRedefine/>
    <w:qFormat/>
    <w:locked/>
    <w:uiPriority w:val="39"/>
    <w:pPr>
      <w:ind w:left="1260"/>
      <w:jc w:val="left"/>
    </w:pPr>
    <w:rPr>
      <w:sz w:val="18"/>
      <w:szCs w:val="18"/>
    </w:rPr>
  </w:style>
  <w:style w:type="paragraph" w:styleId="14">
    <w:name w:val="table of authorities"/>
    <w:basedOn w:val="1"/>
    <w:next w:val="1"/>
    <w:autoRedefine/>
    <w:qFormat/>
    <w:locked/>
    <w:uiPriority w:val="0"/>
    <w:pPr>
      <w:ind w:left="420" w:leftChars="200"/>
    </w:pPr>
    <w:rPr>
      <w:rFonts w:eastAsia="仿宋_GB2312"/>
      <w:sz w:val="28"/>
      <w:szCs w:val="20"/>
    </w:rPr>
  </w:style>
  <w:style w:type="paragraph" w:styleId="15">
    <w:name w:val="List Number"/>
    <w:basedOn w:val="1"/>
    <w:autoRedefine/>
    <w:qFormat/>
    <w:locked/>
    <w:uiPriority w:val="0"/>
    <w:pPr>
      <w:numPr>
        <w:ilvl w:val="0"/>
        <w:numId w:val="2"/>
      </w:numPr>
    </w:pPr>
  </w:style>
  <w:style w:type="paragraph" w:styleId="16">
    <w:name w:val="caption"/>
    <w:basedOn w:val="1"/>
    <w:next w:val="1"/>
    <w:link w:val="84"/>
    <w:autoRedefine/>
    <w:qFormat/>
    <w:locked/>
    <w:uiPriority w:val="0"/>
    <w:rPr>
      <w:rFonts w:ascii="等线 Light" w:hAnsi="等线 Light" w:eastAsia="黑体"/>
      <w:sz w:val="20"/>
      <w:szCs w:val="20"/>
    </w:rPr>
  </w:style>
  <w:style w:type="paragraph" w:styleId="17">
    <w:name w:val="List Bullet"/>
    <w:basedOn w:val="1"/>
    <w:autoRedefine/>
    <w:qFormat/>
    <w:locked/>
    <w:uiPriority w:val="0"/>
    <w:pPr>
      <w:tabs>
        <w:tab w:val="left" w:pos="360"/>
      </w:tabs>
      <w:contextualSpacing/>
    </w:pPr>
  </w:style>
  <w:style w:type="paragraph" w:styleId="18">
    <w:name w:val="Document Map"/>
    <w:basedOn w:val="1"/>
    <w:link w:val="85"/>
    <w:autoRedefine/>
    <w:qFormat/>
    <w:locked/>
    <w:uiPriority w:val="0"/>
    <w:pPr>
      <w:shd w:val="clear" w:color="auto" w:fill="000080"/>
    </w:pPr>
  </w:style>
  <w:style w:type="paragraph" w:styleId="19">
    <w:name w:val="toa heading"/>
    <w:basedOn w:val="1"/>
    <w:next w:val="1"/>
    <w:autoRedefine/>
    <w:qFormat/>
    <w:locked/>
    <w:uiPriority w:val="0"/>
    <w:pPr>
      <w:spacing w:before="120"/>
    </w:pPr>
    <w:rPr>
      <w:rFonts w:ascii="Arial" w:hAnsi="Arial" w:eastAsia="仿宋_GB2312"/>
      <w:b/>
      <w:bCs/>
      <w:sz w:val="28"/>
    </w:rPr>
  </w:style>
  <w:style w:type="paragraph" w:styleId="20">
    <w:name w:val="annotation text"/>
    <w:basedOn w:val="1"/>
    <w:link w:val="86"/>
    <w:autoRedefine/>
    <w:qFormat/>
    <w:uiPriority w:val="99"/>
    <w:pPr>
      <w:jc w:val="left"/>
    </w:pPr>
    <w:rPr>
      <w:kern w:val="0"/>
      <w:sz w:val="24"/>
      <w:szCs w:val="20"/>
    </w:rPr>
  </w:style>
  <w:style w:type="paragraph" w:styleId="21">
    <w:name w:val="Salutation"/>
    <w:basedOn w:val="1"/>
    <w:next w:val="1"/>
    <w:link w:val="87"/>
    <w:autoRedefine/>
    <w:qFormat/>
    <w:locked/>
    <w:uiPriority w:val="0"/>
    <w:rPr>
      <w:rFonts w:ascii="宋体" w:hAnsi="Courier New"/>
      <w:szCs w:val="20"/>
    </w:rPr>
  </w:style>
  <w:style w:type="paragraph" w:styleId="22">
    <w:name w:val="Body Text 3"/>
    <w:basedOn w:val="1"/>
    <w:link w:val="88"/>
    <w:autoRedefine/>
    <w:qFormat/>
    <w:locked/>
    <w:uiPriority w:val="0"/>
    <w:rPr>
      <w:b/>
      <w:bCs/>
      <w:sz w:val="24"/>
    </w:rPr>
  </w:style>
  <w:style w:type="paragraph" w:styleId="23">
    <w:name w:val="Body Text"/>
    <w:basedOn w:val="1"/>
    <w:next w:val="1"/>
    <w:link w:val="73"/>
    <w:autoRedefine/>
    <w:qFormat/>
    <w:uiPriority w:val="0"/>
    <w:pPr>
      <w:widowControl/>
      <w:adjustRightInd w:val="0"/>
      <w:snapToGrid w:val="0"/>
      <w:spacing w:line="360" w:lineRule="auto"/>
      <w:outlineLvl w:val="0"/>
    </w:pPr>
    <w:rPr>
      <w:kern w:val="0"/>
      <w:sz w:val="18"/>
      <w:szCs w:val="20"/>
    </w:rPr>
  </w:style>
  <w:style w:type="paragraph" w:styleId="24">
    <w:name w:val="Body Text Indent"/>
    <w:basedOn w:val="1"/>
    <w:link w:val="89"/>
    <w:autoRedefine/>
    <w:qFormat/>
    <w:uiPriority w:val="0"/>
    <w:pPr>
      <w:spacing w:after="120"/>
      <w:ind w:left="420" w:leftChars="200"/>
    </w:pPr>
    <w:rPr>
      <w:kern w:val="0"/>
      <w:sz w:val="24"/>
      <w:szCs w:val="20"/>
    </w:rPr>
  </w:style>
  <w:style w:type="paragraph" w:styleId="25">
    <w:name w:val="List 2"/>
    <w:basedOn w:val="1"/>
    <w:autoRedefine/>
    <w:qFormat/>
    <w:locked/>
    <w:uiPriority w:val="0"/>
    <w:pPr>
      <w:spacing w:line="400" w:lineRule="atLeast"/>
      <w:jc w:val="center"/>
    </w:pPr>
  </w:style>
  <w:style w:type="paragraph" w:styleId="26">
    <w:name w:val="List Continue"/>
    <w:basedOn w:val="1"/>
    <w:autoRedefine/>
    <w:qFormat/>
    <w:locked/>
    <w:uiPriority w:val="99"/>
    <w:pPr>
      <w:spacing w:after="120"/>
      <w:ind w:left="420"/>
    </w:pPr>
    <w:rPr>
      <w:sz w:val="26"/>
      <w:szCs w:val="26"/>
    </w:rPr>
  </w:style>
  <w:style w:type="paragraph" w:styleId="27">
    <w:name w:val="Block Text"/>
    <w:basedOn w:val="1"/>
    <w:autoRedefine/>
    <w:qFormat/>
    <w:locked/>
    <w:uiPriority w:val="0"/>
    <w:pPr>
      <w:adjustRightInd w:val="0"/>
      <w:snapToGrid w:val="0"/>
      <w:spacing w:line="490" w:lineRule="atLeast"/>
      <w:ind w:left="10" w:leftChars="5" w:right="-449" w:rightChars="-214" w:firstLine="560" w:firstLineChars="200"/>
    </w:pPr>
    <w:rPr>
      <w:color w:val="000000"/>
      <w:sz w:val="28"/>
    </w:rPr>
  </w:style>
  <w:style w:type="paragraph" w:styleId="28">
    <w:name w:val="List Bullet 2"/>
    <w:basedOn w:val="1"/>
    <w:next w:val="29"/>
    <w:autoRedefine/>
    <w:qFormat/>
    <w:locked/>
    <w:uiPriority w:val="0"/>
    <w:pPr>
      <w:adjustRightInd w:val="0"/>
      <w:snapToGrid w:val="0"/>
      <w:ind w:left="-119" w:right="-143"/>
      <w:jc w:val="center"/>
      <w:textAlignment w:val="baseline"/>
    </w:pPr>
    <w:rPr>
      <w:kern w:val="0"/>
    </w:rPr>
  </w:style>
  <w:style w:type="paragraph" w:styleId="29">
    <w:name w:val="Body Text First Indent"/>
    <w:basedOn w:val="23"/>
    <w:next w:val="1"/>
    <w:link w:val="90"/>
    <w:autoRedefine/>
    <w:qFormat/>
    <w:locked/>
    <w:uiPriority w:val="0"/>
    <w:pPr>
      <w:widowControl w:val="0"/>
      <w:snapToGrid/>
      <w:ind w:firstLine="560"/>
      <w:textAlignment w:val="baseline"/>
    </w:pPr>
    <w:rPr>
      <w:rFonts w:ascii="宋体"/>
      <w:kern w:val="28"/>
      <w:sz w:val="24"/>
    </w:rPr>
  </w:style>
  <w:style w:type="paragraph" w:styleId="30">
    <w:name w:val="toc 5"/>
    <w:basedOn w:val="1"/>
    <w:next w:val="1"/>
    <w:autoRedefine/>
    <w:qFormat/>
    <w:locked/>
    <w:uiPriority w:val="39"/>
    <w:pPr>
      <w:ind w:left="840"/>
      <w:jc w:val="left"/>
    </w:pPr>
    <w:rPr>
      <w:sz w:val="18"/>
      <w:szCs w:val="18"/>
    </w:rPr>
  </w:style>
  <w:style w:type="paragraph" w:styleId="31">
    <w:name w:val="toc 3"/>
    <w:basedOn w:val="1"/>
    <w:next w:val="1"/>
    <w:autoRedefine/>
    <w:qFormat/>
    <w:locked/>
    <w:uiPriority w:val="39"/>
    <w:pPr>
      <w:ind w:left="420"/>
      <w:jc w:val="left"/>
    </w:pPr>
    <w:rPr>
      <w:i/>
      <w:iCs/>
      <w:sz w:val="20"/>
      <w:szCs w:val="20"/>
    </w:rPr>
  </w:style>
  <w:style w:type="paragraph" w:styleId="32">
    <w:name w:val="Plain Text"/>
    <w:basedOn w:val="1"/>
    <w:link w:val="91"/>
    <w:autoRedefine/>
    <w:qFormat/>
    <w:locked/>
    <w:uiPriority w:val="0"/>
    <w:rPr>
      <w:rFonts w:ascii="宋体" w:hAnsi="Courier New"/>
      <w:szCs w:val="20"/>
    </w:rPr>
  </w:style>
  <w:style w:type="paragraph" w:styleId="33">
    <w:name w:val="List Bullet 5"/>
    <w:basedOn w:val="1"/>
    <w:autoRedefine/>
    <w:qFormat/>
    <w:locked/>
    <w:uiPriority w:val="0"/>
    <w:pPr>
      <w:numPr>
        <w:ilvl w:val="0"/>
        <w:numId w:val="3"/>
      </w:numPr>
    </w:pPr>
  </w:style>
  <w:style w:type="paragraph" w:styleId="34">
    <w:name w:val="toc 8"/>
    <w:basedOn w:val="1"/>
    <w:next w:val="1"/>
    <w:autoRedefine/>
    <w:qFormat/>
    <w:locked/>
    <w:uiPriority w:val="39"/>
    <w:pPr>
      <w:ind w:left="1470"/>
      <w:jc w:val="left"/>
    </w:pPr>
    <w:rPr>
      <w:sz w:val="18"/>
      <w:szCs w:val="18"/>
    </w:rPr>
  </w:style>
  <w:style w:type="paragraph" w:styleId="35">
    <w:name w:val="Date"/>
    <w:basedOn w:val="1"/>
    <w:next w:val="1"/>
    <w:link w:val="92"/>
    <w:autoRedefine/>
    <w:qFormat/>
    <w:uiPriority w:val="0"/>
    <w:pPr>
      <w:ind w:left="100" w:leftChars="2500"/>
    </w:pPr>
    <w:rPr>
      <w:kern w:val="0"/>
      <w:sz w:val="24"/>
      <w:szCs w:val="20"/>
    </w:rPr>
  </w:style>
  <w:style w:type="paragraph" w:styleId="36">
    <w:name w:val="Body Text Indent 2"/>
    <w:basedOn w:val="1"/>
    <w:link w:val="93"/>
    <w:autoRedefine/>
    <w:qFormat/>
    <w:locked/>
    <w:uiPriority w:val="0"/>
    <w:pPr>
      <w:spacing w:line="480" w:lineRule="exact"/>
      <w:ind w:firstLine="480" w:firstLineChars="200"/>
      <w:jc w:val="left"/>
    </w:pPr>
    <w:rPr>
      <w:sz w:val="24"/>
    </w:rPr>
  </w:style>
  <w:style w:type="paragraph" w:styleId="37">
    <w:name w:val="Balloon Text"/>
    <w:basedOn w:val="1"/>
    <w:link w:val="94"/>
    <w:autoRedefine/>
    <w:qFormat/>
    <w:uiPriority w:val="0"/>
    <w:rPr>
      <w:kern w:val="0"/>
      <w:sz w:val="18"/>
      <w:szCs w:val="20"/>
    </w:rPr>
  </w:style>
  <w:style w:type="paragraph" w:styleId="38">
    <w:name w:val="footer"/>
    <w:basedOn w:val="1"/>
    <w:link w:val="95"/>
    <w:autoRedefine/>
    <w:qFormat/>
    <w:uiPriority w:val="0"/>
    <w:pPr>
      <w:tabs>
        <w:tab w:val="center" w:pos="4153"/>
        <w:tab w:val="right" w:pos="8306"/>
      </w:tabs>
      <w:snapToGrid w:val="0"/>
      <w:jc w:val="left"/>
    </w:pPr>
    <w:rPr>
      <w:kern w:val="0"/>
      <w:sz w:val="18"/>
      <w:szCs w:val="20"/>
    </w:rPr>
  </w:style>
  <w:style w:type="paragraph" w:styleId="39">
    <w:name w:val="header"/>
    <w:basedOn w:val="1"/>
    <w:link w:val="96"/>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40">
    <w:name w:val="toc 1"/>
    <w:basedOn w:val="1"/>
    <w:next w:val="1"/>
    <w:autoRedefine/>
    <w:qFormat/>
    <w:locked/>
    <w:uiPriority w:val="39"/>
    <w:pPr>
      <w:tabs>
        <w:tab w:val="right" w:leader="dot" w:pos="8296"/>
      </w:tabs>
      <w:spacing w:line="360" w:lineRule="auto"/>
      <w:jc w:val="left"/>
    </w:pPr>
    <w:rPr>
      <w:b/>
      <w:bCs/>
      <w:caps/>
      <w:sz w:val="20"/>
      <w:szCs w:val="20"/>
    </w:rPr>
  </w:style>
  <w:style w:type="paragraph" w:styleId="41">
    <w:name w:val="toc 4"/>
    <w:basedOn w:val="1"/>
    <w:next w:val="1"/>
    <w:autoRedefine/>
    <w:qFormat/>
    <w:locked/>
    <w:uiPriority w:val="39"/>
    <w:pPr>
      <w:ind w:left="630"/>
      <w:jc w:val="left"/>
    </w:pPr>
    <w:rPr>
      <w:sz w:val="18"/>
      <w:szCs w:val="18"/>
    </w:rPr>
  </w:style>
  <w:style w:type="paragraph" w:styleId="42">
    <w:name w:val="index heading"/>
    <w:basedOn w:val="1"/>
    <w:next w:val="43"/>
    <w:autoRedefine/>
    <w:unhideWhenUsed/>
    <w:qFormat/>
    <w:locked/>
    <w:uiPriority w:val="0"/>
    <w:rPr>
      <w:rFonts w:ascii="Cambria" w:hAnsi="Cambria"/>
      <w:b/>
      <w:bCs/>
    </w:rPr>
  </w:style>
  <w:style w:type="paragraph" w:styleId="43">
    <w:name w:val="index 1"/>
    <w:basedOn w:val="1"/>
    <w:next w:val="1"/>
    <w:autoRedefine/>
    <w:qFormat/>
    <w:locked/>
    <w:uiPriority w:val="0"/>
  </w:style>
  <w:style w:type="paragraph" w:styleId="44">
    <w:name w:val="Subtitle"/>
    <w:basedOn w:val="1"/>
    <w:next w:val="1"/>
    <w:link w:val="97"/>
    <w:autoRedefine/>
    <w:qFormat/>
    <w:locked/>
    <w:uiPriority w:val="11"/>
    <w:pPr>
      <w:widowControl/>
      <w:spacing w:after="160" w:line="259" w:lineRule="auto"/>
      <w:jc w:val="left"/>
    </w:pPr>
    <w:rPr>
      <w:rFonts w:ascii="Calibri" w:hAnsi="Calibri"/>
      <w:color w:val="5A5A5A"/>
      <w:spacing w:val="15"/>
      <w:kern w:val="0"/>
      <w:sz w:val="22"/>
      <w:szCs w:val="22"/>
    </w:rPr>
  </w:style>
  <w:style w:type="paragraph" w:styleId="45">
    <w:name w:val="List"/>
    <w:basedOn w:val="1"/>
    <w:autoRedefine/>
    <w:qFormat/>
    <w:locked/>
    <w:uiPriority w:val="0"/>
    <w:pPr>
      <w:ind w:left="200" w:hanging="200" w:hangingChars="200"/>
      <w:contextualSpacing/>
    </w:pPr>
    <w:rPr>
      <w:kern w:val="0"/>
      <w:sz w:val="24"/>
      <w:szCs w:val="20"/>
    </w:rPr>
  </w:style>
  <w:style w:type="paragraph" w:styleId="46">
    <w:name w:val="toc 6"/>
    <w:basedOn w:val="1"/>
    <w:next w:val="1"/>
    <w:autoRedefine/>
    <w:qFormat/>
    <w:locked/>
    <w:uiPriority w:val="39"/>
    <w:pPr>
      <w:ind w:left="1050"/>
      <w:jc w:val="left"/>
    </w:pPr>
    <w:rPr>
      <w:sz w:val="18"/>
      <w:szCs w:val="18"/>
    </w:rPr>
  </w:style>
  <w:style w:type="paragraph" w:styleId="47">
    <w:name w:val="Body Text Indent 3"/>
    <w:basedOn w:val="1"/>
    <w:link w:val="98"/>
    <w:autoRedefine/>
    <w:qFormat/>
    <w:locked/>
    <w:uiPriority w:val="0"/>
    <w:pPr>
      <w:snapToGrid w:val="0"/>
      <w:spacing w:line="480" w:lineRule="exact"/>
      <w:ind w:firstLine="480" w:firstLineChars="200"/>
    </w:pPr>
    <w:rPr>
      <w:sz w:val="24"/>
    </w:rPr>
  </w:style>
  <w:style w:type="paragraph" w:styleId="48">
    <w:name w:val="table of figures"/>
    <w:basedOn w:val="1"/>
    <w:next w:val="1"/>
    <w:autoRedefine/>
    <w:qFormat/>
    <w:locked/>
    <w:uiPriority w:val="0"/>
    <w:pPr>
      <w:ind w:left="840" w:leftChars="200" w:hanging="420" w:hangingChars="200"/>
    </w:pPr>
    <w:rPr>
      <w:sz w:val="28"/>
      <w:szCs w:val="20"/>
    </w:rPr>
  </w:style>
  <w:style w:type="paragraph" w:styleId="49">
    <w:name w:val="toc 2"/>
    <w:basedOn w:val="1"/>
    <w:next w:val="1"/>
    <w:autoRedefine/>
    <w:qFormat/>
    <w:locked/>
    <w:uiPriority w:val="39"/>
    <w:pPr>
      <w:ind w:left="210"/>
      <w:jc w:val="left"/>
    </w:pPr>
    <w:rPr>
      <w:smallCaps/>
      <w:sz w:val="20"/>
      <w:szCs w:val="20"/>
    </w:rPr>
  </w:style>
  <w:style w:type="paragraph" w:styleId="50">
    <w:name w:val="toc 9"/>
    <w:basedOn w:val="1"/>
    <w:next w:val="1"/>
    <w:autoRedefine/>
    <w:qFormat/>
    <w:locked/>
    <w:uiPriority w:val="39"/>
    <w:pPr>
      <w:ind w:left="1680"/>
      <w:jc w:val="left"/>
    </w:pPr>
    <w:rPr>
      <w:sz w:val="18"/>
      <w:szCs w:val="18"/>
    </w:rPr>
  </w:style>
  <w:style w:type="paragraph" w:styleId="51">
    <w:name w:val="Body Text 2"/>
    <w:basedOn w:val="1"/>
    <w:link w:val="99"/>
    <w:autoRedefine/>
    <w:qFormat/>
    <w:locked/>
    <w:uiPriority w:val="0"/>
    <w:pPr>
      <w:spacing w:line="288" w:lineRule="auto"/>
    </w:pPr>
    <w:rPr>
      <w:b/>
      <w:color w:val="000000"/>
      <w:sz w:val="28"/>
    </w:rPr>
  </w:style>
  <w:style w:type="paragraph" w:styleId="52">
    <w:name w:val="List Continue 2"/>
    <w:basedOn w:val="1"/>
    <w:autoRedefine/>
    <w:qFormat/>
    <w:locked/>
    <w:uiPriority w:val="0"/>
    <w:pPr>
      <w:spacing w:after="120"/>
      <w:ind w:left="840" w:leftChars="400"/>
    </w:pPr>
    <w:rPr>
      <w:kern w:val="0"/>
      <w:sz w:val="24"/>
      <w:szCs w:val="20"/>
    </w:rPr>
  </w:style>
  <w:style w:type="paragraph" w:styleId="53">
    <w:name w:val="Message Header"/>
    <w:basedOn w:val="1"/>
    <w:link w:val="100"/>
    <w:autoRedefine/>
    <w:qFormat/>
    <w:locked/>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54">
    <w:name w:val="HTML Preformatted"/>
    <w:basedOn w:val="1"/>
    <w:link w:val="101"/>
    <w:autoRedefine/>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rPr>
  </w:style>
  <w:style w:type="paragraph" w:styleId="55">
    <w:name w:val="Normal (Web)"/>
    <w:basedOn w:val="1"/>
    <w:link w:val="102"/>
    <w:autoRedefine/>
    <w:qFormat/>
    <w:uiPriority w:val="0"/>
    <w:pPr>
      <w:widowControl/>
      <w:adjustRightInd w:val="0"/>
      <w:snapToGrid w:val="0"/>
      <w:jc w:val="center"/>
      <w:outlineLvl w:val="0"/>
    </w:pPr>
    <w:rPr>
      <w:b/>
      <w:bCs/>
      <w:kern w:val="0"/>
      <w:sz w:val="24"/>
      <w:szCs w:val="20"/>
    </w:rPr>
  </w:style>
  <w:style w:type="paragraph" w:styleId="56">
    <w:name w:val="Title"/>
    <w:basedOn w:val="1"/>
    <w:next w:val="23"/>
    <w:link w:val="103"/>
    <w:autoRedefine/>
    <w:qFormat/>
    <w:locked/>
    <w:uiPriority w:val="0"/>
    <w:pPr>
      <w:keepNext/>
      <w:keepLines/>
      <w:widowControl/>
      <w:spacing w:before="480" w:after="360" w:line="480" w:lineRule="atLeast"/>
      <w:jc w:val="center"/>
    </w:pPr>
    <w:rPr>
      <w:rFonts w:ascii="Courier New" w:hAnsi="Courier New"/>
      <w:b/>
      <w:kern w:val="28"/>
      <w:sz w:val="36"/>
      <w:szCs w:val="20"/>
    </w:rPr>
  </w:style>
  <w:style w:type="paragraph" w:styleId="57">
    <w:name w:val="annotation subject"/>
    <w:basedOn w:val="20"/>
    <w:next w:val="20"/>
    <w:link w:val="104"/>
    <w:autoRedefine/>
    <w:qFormat/>
    <w:uiPriority w:val="0"/>
    <w:rPr>
      <w:b/>
      <w:kern w:val="2"/>
    </w:rPr>
  </w:style>
  <w:style w:type="paragraph" w:styleId="58">
    <w:name w:val="Body Text First Indent 2"/>
    <w:basedOn w:val="24"/>
    <w:next w:val="29"/>
    <w:link w:val="105"/>
    <w:autoRedefine/>
    <w:qFormat/>
    <w:locked/>
    <w:uiPriority w:val="0"/>
    <w:pPr>
      <w:ind w:firstLine="420" w:firstLineChars="200"/>
    </w:pPr>
    <w:rPr>
      <w:kern w:val="2"/>
      <w:sz w:val="28"/>
    </w:rPr>
  </w:style>
  <w:style w:type="table" w:styleId="60">
    <w:name w:val="Table Grid"/>
    <w:basedOn w:val="5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1">
    <w:name w:val="Table Theme"/>
    <w:basedOn w:val="59"/>
    <w:autoRedefine/>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2">
    <w:name w:val="Table Elegant"/>
    <w:basedOn w:val="59"/>
    <w:autoRedefine/>
    <w:qFormat/>
    <w:locked/>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3">
    <w:name w:val="Table Grid 1"/>
    <w:basedOn w:val="59"/>
    <w:autoRedefine/>
    <w:qFormat/>
    <w:locked/>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65">
    <w:name w:val="Strong"/>
    <w:autoRedefine/>
    <w:qFormat/>
    <w:locked/>
    <w:uiPriority w:val="22"/>
    <w:rPr>
      <w:b/>
      <w:bCs/>
    </w:rPr>
  </w:style>
  <w:style w:type="character" w:styleId="66">
    <w:name w:val="page number"/>
    <w:autoRedefine/>
    <w:qFormat/>
    <w:locked/>
    <w:uiPriority w:val="0"/>
  </w:style>
  <w:style w:type="character" w:styleId="67">
    <w:name w:val="FollowedHyperlink"/>
    <w:autoRedefine/>
    <w:qFormat/>
    <w:locked/>
    <w:uiPriority w:val="0"/>
    <w:rPr>
      <w:color w:val="954F72"/>
      <w:u w:val="single"/>
    </w:rPr>
  </w:style>
  <w:style w:type="character" w:styleId="68">
    <w:name w:val="Emphasis"/>
    <w:autoRedefine/>
    <w:qFormat/>
    <w:locked/>
    <w:uiPriority w:val="20"/>
    <w:rPr>
      <w:color w:val="CC0033"/>
    </w:rPr>
  </w:style>
  <w:style w:type="character" w:styleId="69">
    <w:name w:val="Hyperlink"/>
    <w:autoRedefine/>
    <w:qFormat/>
    <w:locked/>
    <w:uiPriority w:val="99"/>
    <w:rPr>
      <w:color w:val="0000FF"/>
      <w:u w:val="single"/>
    </w:rPr>
  </w:style>
  <w:style w:type="character" w:styleId="70">
    <w:name w:val="HTML Code"/>
    <w:autoRedefine/>
    <w:qFormat/>
    <w:locked/>
    <w:uiPriority w:val="0"/>
    <w:rPr>
      <w:rFonts w:ascii="宋体" w:hAnsi="宋体" w:eastAsia="宋体" w:cs="宋体"/>
      <w:sz w:val="24"/>
      <w:szCs w:val="24"/>
    </w:rPr>
  </w:style>
  <w:style w:type="character" w:styleId="71">
    <w:name w:val="annotation reference"/>
    <w:autoRedefine/>
    <w:qFormat/>
    <w:uiPriority w:val="0"/>
    <w:rPr>
      <w:sz w:val="21"/>
    </w:rPr>
  </w:style>
  <w:style w:type="paragraph" w:customStyle="1" w:styleId="72">
    <w:name w:val="正文缩进2"/>
    <w:basedOn w:val="1"/>
    <w:autoRedefine/>
    <w:qFormat/>
    <w:uiPriority w:val="0"/>
    <w:pPr>
      <w:spacing w:line="500" w:lineRule="exact"/>
    </w:pPr>
  </w:style>
  <w:style w:type="character" w:customStyle="1" w:styleId="73">
    <w:name w:val="正文文本 字符"/>
    <w:link w:val="23"/>
    <w:autoRedefine/>
    <w:qFormat/>
    <w:locked/>
    <w:uiPriority w:val="0"/>
    <w:rPr>
      <w:snapToGrid w:val="0"/>
      <w:sz w:val="18"/>
    </w:rPr>
  </w:style>
  <w:style w:type="character" w:customStyle="1" w:styleId="74">
    <w:name w:val="标题 1 字符2"/>
    <w:link w:val="3"/>
    <w:autoRedefine/>
    <w:qFormat/>
    <w:uiPriority w:val="0"/>
    <w:rPr>
      <w:rFonts w:eastAsia="黑体"/>
      <w:b/>
      <w:bCs/>
      <w:color w:val="000000"/>
      <w:kern w:val="44"/>
      <w:sz w:val="30"/>
      <w:szCs w:val="30"/>
    </w:rPr>
  </w:style>
  <w:style w:type="character" w:customStyle="1" w:styleId="75">
    <w:name w:val="标题 2 字符1"/>
    <w:link w:val="4"/>
    <w:autoRedefine/>
    <w:qFormat/>
    <w:uiPriority w:val="0"/>
    <w:rPr>
      <w:kern w:val="2"/>
      <w:sz w:val="24"/>
    </w:rPr>
  </w:style>
  <w:style w:type="character" w:customStyle="1" w:styleId="76">
    <w:name w:val="正文缩进 字符2"/>
    <w:link w:val="5"/>
    <w:autoRedefine/>
    <w:qFormat/>
    <w:uiPriority w:val="0"/>
    <w:rPr>
      <w:kern w:val="2"/>
      <w:sz w:val="21"/>
    </w:rPr>
  </w:style>
  <w:style w:type="character" w:customStyle="1" w:styleId="77">
    <w:name w:val="标题 3 字符1"/>
    <w:link w:val="2"/>
    <w:autoRedefine/>
    <w:qFormat/>
    <w:uiPriority w:val="0"/>
    <w:rPr>
      <w:b/>
      <w:bCs/>
      <w:kern w:val="2"/>
      <w:sz w:val="32"/>
      <w:szCs w:val="32"/>
    </w:rPr>
  </w:style>
  <w:style w:type="character" w:customStyle="1" w:styleId="78">
    <w:name w:val="标题 4 字符2"/>
    <w:link w:val="6"/>
    <w:autoRedefine/>
    <w:qFormat/>
    <w:uiPriority w:val="0"/>
    <w:rPr>
      <w:rFonts w:ascii="Arial" w:hAnsi="Arial"/>
      <w:kern w:val="2"/>
      <w:sz w:val="24"/>
    </w:rPr>
  </w:style>
  <w:style w:type="character" w:customStyle="1" w:styleId="79">
    <w:name w:val="标题 5 字符2"/>
    <w:link w:val="7"/>
    <w:autoRedefine/>
    <w:qFormat/>
    <w:uiPriority w:val="9"/>
    <w:rPr>
      <w:b/>
      <w:bCs/>
      <w:kern w:val="2"/>
      <w:sz w:val="24"/>
    </w:rPr>
  </w:style>
  <w:style w:type="character" w:customStyle="1" w:styleId="80">
    <w:name w:val="标题 6 字符2"/>
    <w:link w:val="8"/>
    <w:autoRedefine/>
    <w:qFormat/>
    <w:uiPriority w:val="9"/>
    <w:rPr>
      <w:rFonts w:ascii="Arial" w:hAnsi="Arial" w:eastAsia="黑体"/>
      <w:b/>
      <w:bCs/>
      <w:kern w:val="2"/>
      <w:sz w:val="24"/>
      <w:szCs w:val="24"/>
    </w:rPr>
  </w:style>
  <w:style w:type="character" w:customStyle="1" w:styleId="81">
    <w:name w:val="标题 7 字符1"/>
    <w:link w:val="9"/>
    <w:autoRedefine/>
    <w:qFormat/>
    <w:uiPriority w:val="9"/>
    <w:rPr>
      <w:rFonts w:eastAsia="仿宋_GB2312"/>
      <w:b/>
      <w:bCs/>
      <w:kern w:val="2"/>
      <w:sz w:val="24"/>
      <w:szCs w:val="24"/>
    </w:rPr>
  </w:style>
  <w:style w:type="character" w:customStyle="1" w:styleId="82">
    <w:name w:val="标题 8 字符3"/>
    <w:link w:val="10"/>
    <w:autoRedefine/>
    <w:qFormat/>
    <w:uiPriority w:val="0"/>
    <w:rPr>
      <w:b/>
      <w:bCs/>
      <w:sz w:val="32"/>
      <w:szCs w:val="24"/>
      <w:lang w:val="en-GB" w:eastAsia="es-ES"/>
    </w:rPr>
  </w:style>
  <w:style w:type="character" w:customStyle="1" w:styleId="83">
    <w:name w:val="标题 9 字符1"/>
    <w:link w:val="11"/>
    <w:autoRedefine/>
    <w:qFormat/>
    <w:uiPriority w:val="9"/>
    <w:rPr>
      <w:rFonts w:ascii="Arial" w:hAnsi="Arial" w:eastAsia="黑体"/>
      <w:kern w:val="2"/>
      <w:sz w:val="21"/>
      <w:szCs w:val="21"/>
    </w:rPr>
  </w:style>
  <w:style w:type="character" w:customStyle="1" w:styleId="84">
    <w:name w:val="题注 字符1"/>
    <w:link w:val="16"/>
    <w:autoRedefine/>
    <w:qFormat/>
    <w:uiPriority w:val="0"/>
    <w:rPr>
      <w:rFonts w:ascii="等线 Light" w:hAnsi="等线 Light" w:eastAsia="黑体"/>
      <w:kern w:val="2"/>
    </w:rPr>
  </w:style>
  <w:style w:type="character" w:customStyle="1" w:styleId="85">
    <w:name w:val="文档结构图 字符3"/>
    <w:link w:val="18"/>
    <w:autoRedefine/>
    <w:qFormat/>
    <w:uiPriority w:val="0"/>
    <w:rPr>
      <w:kern w:val="2"/>
      <w:sz w:val="21"/>
      <w:szCs w:val="24"/>
      <w:shd w:val="clear" w:color="auto" w:fill="000080"/>
    </w:rPr>
  </w:style>
  <w:style w:type="character" w:customStyle="1" w:styleId="86">
    <w:name w:val="批注文字 字符2"/>
    <w:link w:val="20"/>
    <w:autoRedefine/>
    <w:qFormat/>
    <w:locked/>
    <w:uiPriority w:val="99"/>
    <w:rPr>
      <w:snapToGrid w:val="0"/>
      <w:sz w:val="24"/>
    </w:rPr>
  </w:style>
  <w:style w:type="character" w:customStyle="1" w:styleId="87">
    <w:name w:val="称呼 字符1"/>
    <w:link w:val="21"/>
    <w:autoRedefine/>
    <w:qFormat/>
    <w:uiPriority w:val="0"/>
    <w:rPr>
      <w:rFonts w:ascii="宋体" w:hAnsi="Courier New"/>
      <w:kern w:val="2"/>
      <w:sz w:val="21"/>
    </w:rPr>
  </w:style>
  <w:style w:type="character" w:customStyle="1" w:styleId="88">
    <w:name w:val="正文文本 3 字符3"/>
    <w:link w:val="22"/>
    <w:autoRedefine/>
    <w:qFormat/>
    <w:uiPriority w:val="0"/>
    <w:rPr>
      <w:b/>
      <w:bCs/>
      <w:kern w:val="2"/>
      <w:sz w:val="24"/>
      <w:szCs w:val="24"/>
    </w:rPr>
  </w:style>
  <w:style w:type="character" w:customStyle="1" w:styleId="89">
    <w:name w:val="正文文本缩进 字符2"/>
    <w:link w:val="24"/>
    <w:autoRedefine/>
    <w:qFormat/>
    <w:locked/>
    <w:uiPriority w:val="0"/>
    <w:rPr>
      <w:rFonts w:ascii="Times New Roman" w:hAnsi="Times New Roman" w:eastAsia="宋体"/>
      <w:sz w:val="24"/>
    </w:rPr>
  </w:style>
  <w:style w:type="character" w:customStyle="1" w:styleId="90">
    <w:name w:val="正文文本首行缩进 字符1"/>
    <w:link w:val="29"/>
    <w:autoRedefine/>
    <w:qFormat/>
    <w:uiPriority w:val="0"/>
    <w:rPr>
      <w:rFonts w:ascii="宋体"/>
      <w:kern w:val="28"/>
      <w:sz w:val="24"/>
    </w:rPr>
  </w:style>
  <w:style w:type="character" w:customStyle="1" w:styleId="91">
    <w:name w:val="纯文本 字符3"/>
    <w:link w:val="32"/>
    <w:autoRedefine/>
    <w:qFormat/>
    <w:uiPriority w:val="0"/>
    <w:rPr>
      <w:rFonts w:ascii="宋体" w:hAnsi="Courier New"/>
      <w:kern w:val="2"/>
      <w:sz w:val="21"/>
    </w:rPr>
  </w:style>
  <w:style w:type="character" w:customStyle="1" w:styleId="92">
    <w:name w:val="日期 字符3"/>
    <w:link w:val="35"/>
    <w:autoRedefine/>
    <w:qFormat/>
    <w:locked/>
    <w:uiPriority w:val="0"/>
    <w:rPr>
      <w:rFonts w:ascii="Times New Roman" w:hAnsi="Times New Roman" w:eastAsia="宋体"/>
      <w:sz w:val="24"/>
    </w:rPr>
  </w:style>
  <w:style w:type="character" w:customStyle="1" w:styleId="93">
    <w:name w:val="正文文本缩进 2 字符3"/>
    <w:link w:val="36"/>
    <w:autoRedefine/>
    <w:qFormat/>
    <w:uiPriority w:val="0"/>
    <w:rPr>
      <w:kern w:val="2"/>
      <w:sz w:val="24"/>
      <w:szCs w:val="24"/>
    </w:rPr>
  </w:style>
  <w:style w:type="character" w:customStyle="1" w:styleId="94">
    <w:name w:val="批注框文本 字符3"/>
    <w:link w:val="37"/>
    <w:autoRedefine/>
    <w:semiHidden/>
    <w:qFormat/>
    <w:locked/>
    <w:uiPriority w:val="0"/>
    <w:rPr>
      <w:rFonts w:ascii="Times New Roman" w:hAnsi="Times New Roman" w:eastAsia="宋体"/>
      <w:sz w:val="18"/>
    </w:rPr>
  </w:style>
  <w:style w:type="character" w:customStyle="1" w:styleId="95">
    <w:name w:val="页脚 字符1"/>
    <w:link w:val="38"/>
    <w:autoRedefine/>
    <w:qFormat/>
    <w:locked/>
    <w:uiPriority w:val="0"/>
    <w:rPr>
      <w:sz w:val="18"/>
    </w:rPr>
  </w:style>
  <w:style w:type="character" w:customStyle="1" w:styleId="96">
    <w:name w:val="页眉 字符1"/>
    <w:link w:val="39"/>
    <w:autoRedefine/>
    <w:qFormat/>
    <w:locked/>
    <w:uiPriority w:val="0"/>
    <w:rPr>
      <w:sz w:val="18"/>
    </w:rPr>
  </w:style>
  <w:style w:type="character" w:customStyle="1" w:styleId="97">
    <w:name w:val="副标题 字符3"/>
    <w:link w:val="44"/>
    <w:autoRedefine/>
    <w:qFormat/>
    <w:uiPriority w:val="11"/>
    <w:rPr>
      <w:rFonts w:ascii="Calibri" w:hAnsi="Calibri"/>
      <w:color w:val="5A5A5A"/>
      <w:spacing w:val="15"/>
      <w:sz w:val="22"/>
      <w:szCs w:val="22"/>
    </w:rPr>
  </w:style>
  <w:style w:type="character" w:customStyle="1" w:styleId="98">
    <w:name w:val="正文文本缩进 3 字符2"/>
    <w:link w:val="47"/>
    <w:autoRedefine/>
    <w:qFormat/>
    <w:uiPriority w:val="0"/>
    <w:rPr>
      <w:kern w:val="2"/>
      <w:sz w:val="24"/>
      <w:szCs w:val="24"/>
    </w:rPr>
  </w:style>
  <w:style w:type="character" w:customStyle="1" w:styleId="99">
    <w:name w:val="正文文本 2 字符3"/>
    <w:link w:val="51"/>
    <w:autoRedefine/>
    <w:qFormat/>
    <w:uiPriority w:val="0"/>
    <w:rPr>
      <w:b/>
      <w:color w:val="000000"/>
      <w:kern w:val="2"/>
      <w:sz w:val="28"/>
      <w:szCs w:val="24"/>
    </w:rPr>
  </w:style>
  <w:style w:type="character" w:customStyle="1" w:styleId="100">
    <w:name w:val="信息标题 字符3"/>
    <w:link w:val="53"/>
    <w:autoRedefine/>
    <w:qFormat/>
    <w:uiPriority w:val="0"/>
    <w:rPr>
      <w:rFonts w:ascii="Arial" w:hAnsi="Arial"/>
      <w:kern w:val="2"/>
      <w:sz w:val="24"/>
      <w:szCs w:val="24"/>
      <w:shd w:val="pct20" w:color="auto" w:fill="auto"/>
    </w:rPr>
  </w:style>
  <w:style w:type="character" w:customStyle="1" w:styleId="101">
    <w:name w:val="HTML 预设格式 字符1"/>
    <w:link w:val="54"/>
    <w:autoRedefine/>
    <w:qFormat/>
    <w:uiPriority w:val="99"/>
    <w:rPr>
      <w:rFonts w:ascii="Arial" w:hAnsi="Arial"/>
      <w:sz w:val="21"/>
      <w:szCs w:val="21"/>
    </w:rPr>
  </w:style>
  <w:style w:type="character" w:customStyle="1" w:styleId="102">
    <w:name w:val="普通(网站) 字符1"/>
    <w:link w:val="55"/>
    <w:autoRedefine/>
    <w:qFormat/>
    <w:locked/>
    <w:uiPriority w:val="0"/>
    <w:rPr>
      <w:b/>
      <w:bCs/>
      <w:snapToGrid w:val="0"/>
      <w:sz w:val="24"/>
    </w:rPr>
  </w:style>
  <w:style w:type="character" w:customStyle="1" w:styleId="103">
    <w:name w:val="标题 字符2"/>
    <w:link w:val="56"/>
    <w:autoRedefine/>
    <w:qFormat/>
    <w:uiPriority w:val="0"/>
    <w:rPr>
      <w:rFonts w:ascii="Courier New" w:hAnsi="Courier New"/>
      <w:b/>
      <w:kern w:val="28"/>
      <w:sz w:val="36"/>
    </w:rPr>
  </w:style>
  <w:style w:type="character" w:customStyle="1" w:styleId="104">
    <w:name w:val="批注主题 字符3"/>
    <w:link w:val="57"/>
    <w:autoRedefine/>
    <w:qFormat/>
    <w:locked/>
    <w:uiPriority w:val="0"/>
    <w:rPr>
      <w:rFonts w:ascii="Times New Roman" w:hAnsi="Times New Roman" w:eastAsia="宋体"/>
      <w:b/>
      <w:kern w:val="2"/>
      <w:sz w:val="24"/>
    </w:rPr>
  </w:style>
  <w:style w:type="character" w:customStyle="1" w:styleId="105">
    <w:name w:val="正文文本首行缩进 2 字符1"/>
    <w:link w:val="58"/>
    <w:autoRedefine/>
    <w:qFormat/>
    <w:uiPriority w:val="0"/>
    <w:rPr>
      <w:rFonts w:ascii="Times New Roman" w:hAnsi="Times New Roman" w:eastAsia="宋体"/>
      <w:kern w:val="2"/>
      <w:sz w:val="28"/>
    </w:rPr>
  </w:style>
  <w:style w:type="paragraph" w:customStyle="1" w:styleId="106">
    <w:name w:val="Default"/>
    <w:basedOn w:val="107"/>
    <w:autoRedefine/>
    <w:qFormat/>
    <w:uiPriority w:val="0"/>
    <w:pPr>
      <w:widowControl w:val="0"/>
      <w:autoSpaceDE w:val="0"/>
      <w:autoSpaceDN w:val="0"/>
      <w:adjustRightInd w:val="0"/>
    </w:pPr>
    <w:rPr>
      <w:rFonts w:ascii="宋体"/>
      <w:color w:val="000000"/>
    </w:rPr>
  </w:style>
  <w:style w:type="paragraph" w:customStyle="1" w:styleId="107">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108">
    <w:name w:val="纯文本1"/>
    <w:basedOn w:val="1"/>
    <w:autoRedefine/>
    <w:qFormat/>
    <w:uiPriority w:val="0"/>
    <w:pPr>
      <w:widowControl/>
      <w:spacing w:beforeLines="10" w:afterLines="10" w:line="360" w:lineRule="auto"/>
      <w:ind w:firstLine="200" w:firstLineChars="200"/>
      <w:jc w:val="left"/>
    </w:pPr>
    <w:rPr>
      <w:rFonts w:hAnsi="宋体" w:cs="宋体"/>
      <w:kern w:val="0"/>
      <w:sz w:val="24"/>
    </w:rPr>
  </w:style>
  <w:style w:type="character" w:customStyle="1" w:styleId="109">
    <w:name w:val="正文缩进 Char1"/>
    <w:autoRedefine/>
    <w:qFormat/>
    <w:uiPriority w:val="0"/>
    <w:rPr>
      <w:rFonts w:eastAsia="宋体"/>
      <w:kern w:val="2"/>
      <w:sz w:val="21"/>
      <w:lang w:val="en-US" w:eastAsia="zh-CN" w:bidi="ar-SA"/>
    </w:rPr>
  </w:style>
  <w:style w:type="character" w:customStyle="1" w:styleId="110">
    <w:name w:val="ddd"/>
    <w:autoRedefine/>
    <w:qFormat/>
    <w:uiPriority w:val="0"/>
  </w:style>
  <w:style w:type="character" w:customStyle="1" w:styleId="111">
    <w:name w:val="font41"/>
    <w:autoRedefine/>
    <w:qFormat/>
    <w:uiPriority w:val="0"/>
    <w:rPr>
      <w:rFonts w:hint="default" w:ascii="Times New Roman" w:hAnsi="Times New Roman" w:cs="Times New Roman"/>
      <w:b/>
      <w:bCs/>
      <w:color w:val="000000"/>
      <w:sz w:val="21"/>
      <w:szCs w:val="21"/>
      <w:u w:val="none"/>
    </w:rPr>
  </w:style>
  <w:style w:type="character" w:customStyle="1" w:styleId="112">
    <w:name w:val="正文首行缩进2个字 Char Char"/>
    <w:link w:val="113"/>
    <w:autoRedefine/>
    <w:qFormat/>
    <w:uiPriority w:val="0"/>
    <w:rPr>
      <w:rFonts w:eastAsia="楷体"/>
      <w:kern w:val="2"/>
      <w:sz w:val="24"/>
      <w:szCs w:val="24"/>
    </w:rPr>
  </w:style>
  <w:style w:type="paragraph" w:customStyle="1" w:styleId="113">
    <w:name w:val="正文首行缩进2个字 Char"/>
    <w:basedOn w:val="1"/>
    <w:link w:val="112"/>
    <w:autoRedefine/>
    <w:qFormat/>
    <w:uiPriority w:val="0"/>
    <w:pPr>
      <w:ind w:firstLine="480" w:firstLineChars="200"/>
    </w:pPr>
    <w:rPr>
      <w:rFonts w:eastAsia="楷体"/>
      <w:sz w:val="24"/>
    </w:rPr>
  </w:style>
  <w:style w:type="character" w:customStyle="1" w:styleId="114">
    <w:name w:val="正文文本 3 字符"/>
    <w:autoRedefine/>
    <w:qFormat/>
    <w:uiPriority w:val="99"/>
    <w:rPr>
      <w:kern w:val="2"/>
      <w:sz w:val="16"/>
      <w:szCs w:val="16"/>
    </w:rPr>
  </w:style>
  <w:style w:type="character" w:customStyle="1" w:styleId="115">
    <w:name w:val="3级标题-都 Char"/>
    <w:link w:val="116"/>
    <w:autoRedefine/>
    <w:qFormat/>
    <w:uiPriority w:val="0"/>
    <w:rPr>
      <w:b/>
      <w:kern w:val="2"/>
      <w:sz w:val="24"/>
      <w:szCs w:val="28"/>
    </w:rPr>
  </w:style>
  <w:style w:type="paragraph" w:customStyle="1" w:styleId="116">
    <w:name w:val="3级标题-都"/>
    <w:basedOn w:val="117"/>
    <w:link w:val="115"/>
    <w:autoRedefine/>
    <w:qFormat/>
    <w:uiPriority w:val="0"/>
    <w:pPr>
      <w:ind w:firstLine="0" w:firstLineChars="0"/>
      <w:outlineLvl w:val="2"/>
    </w:pPr>
    <w:rPr>
      <w:b/>
      <w:kern w:val="2"/>
    </w:rPr>
  </w:style>
  <w:style w:type="paragraph" w:customStyle="1" w:styleId="117">
    <w:name w:val="+正文-都"/>
    <w:link w:val="118"/>
    <w:autoRedefine/>
    <w:qFormat/>
    <w:uiPriority w:val="0"/>
    <w:pPr>
      <w:spacing w:line="480" w:lineRule="exact"/>
      <w:ind w:firstLine="200" w:firstLineChars="200"/>
    </w:pPr>
    <w:rPr>
      <w:rFonts w:ascii="Times New Roman" w:hAnsi="Times New Roman" w:eastAsia="宋体" w:cs="Times New Roman"/>
      <w:sz w:val="24"/>
      <w:szCs w:val="28"/>
      <w:lang w:val="en-US" w:eastAsia="zh-CN" w:bidi="ar-SA"/>
    </w:rPr>
  </w:style>
  <w:style w:type="character" w:customStyle="1" w:styleId="118">
    <w:name w:val="+正文-都 Char"/>
    <w:link w:val="117"/>
    <w:autoRedefine/>
    <w:qFormat/>
    <w:uiPriority w:val="0"/>
    <w:rPr>
      <w:sz w:val="24"/>
      <w:szCs w:val="28"/>
      <w:lang w:val="en-US" w:eastAsia="zh-CN" w:bidi="ar-SA"/>
    </w:rPr>
  </w:style>
  <w:style w:type="character" w:customStyle="1" w:styleId="119">
    <w:name w:val="text31"/>
    <w:autoRedefine/>
    <w:qFormat/>
    <w:uiPriority w:val="0"/>
    <w:rPr>
      <w:rFonts w:hint="eastAsia" w:ascii="宋体" w:hAnsi="宋体" w:eastAsia="宋体"/>
      <w:color w:val="673434"/>
      <w:sz w:val="22"/>
      <w:szCs w:val="22"/>
      <w:u w:val="none"/>
    </w:rPr>
  </w:style>
  <w:style w:type="character" w:customStyle="1" w:styleId="120">
    <w:name w:val="正文000000000000000 宋体 小四 黑色 首行缩进:  0.85 厘米 行距: 固定值 22 磅 Char"/>
    <w:autoRedefine/>
    <w:qFormat/>
    <w:uiPriority w:val="99"/>
    <w:rPr>
      <w:rFonts w:eastAsia="宋体"/>
      <w:color w:val="000000"/>
      <w:sz w:val="24"/>
    </w:rPr>
  </w:style>
  <w:style w:type="character" w:customStyle="1" w:styleId="121">
    <w:name w:val="textjianju2"/>
    <w:autoRedefine/>
    <w:qFormat/>
    <w:uiPriority w:val="0"/>
  </w:style>
  <w:style w:type="character" w:customStyle="1" w:styleId="122">
    <w:name w:val="标题 2 Char2"/>
    <w:autoRedefine/>
    <w:qFormat/>
    <w:uiPriority w:val="0"/>
    <w:rPr>
      <w:rFonts w:eastAsia="宋体"/>
      <w:kern w:val="2"/>
      <w:sz w:val="28"/>
      <w:szCs w:val="28"/>
      <w:lang w:val="en-US" w:eastAsia="zh-CN" w:bidi="ar-SA"/>
    </w:rPr>
  </w:style>
  <w:style w:type="character" w:customStyle="1" w:styleId="123">
    <w:name w:val="正文文本首行缩进 字符"/>
    <w:autoRedefine/>
    <w:qFormat/>
    <w:uiPriority w:val="0"/>
    <w:rPr>
      <w:kern w:val="2"/>
      <w:sz w:val="21"/>
      <w:szCs w:val="24"/>
    </w:rPr>
  </w:style>
  <w:style w:type="character" w:customStyle="1" w:styleId="124">
    <w:name w:val="页脚 字符2"/>
    <w:autoRedefine/>
    <w:qFormat/>
    <w:locked/>
    <w:uiPriority w:val="0"/>
    <w:rPr>
      <w:kern w:val="2"/>
      <w:sz w:val="18"/>
      <w:szCs w:val="18"/>
    </w:rPr>
  </w:style>
  <w:style w:type="character" w:customStyle="1" w:styleId="125">
    <w:name w:val="正文文本缩进 3 字符"/>
    <w:autoRedefine/>
    <w:qFormat/>
    <w:uiPriority w:val="0"/>
    <w:rPr>
      <w:kern w:val="2"/>
      <w:sz w:val="16"/>
      <w:szCs w:val="16"/>
    </w:rPr>
  </w:style>
  <w:style w:type="character" w:customStyle="1" w:styleId="126">
    <w:name w:val="正文文本 2 字符"/>
    <w:autoRedefine/>
    <w:qFormat/>
    <w:uiPriority w:val="99"/>
    <w:rPr>
      <w:kern w:val="2"/>
      <w:sz w:val="21"/>
      <w:szCs w:val="24"/>
    </w:rPr>
  </w:style>
  <w:style w:type="character" w:customStyle="1" w:styleId="127">
    <w:name w:val="批注框文本 字符1"/>
    <w:autoRedefine/>
    <w:semiHidden/>
    <w:qFormat/>
    <w:uiPriority w:val="0"/>
    <w:rPr>
      <w:rFonts w:ascii="Times New Roman" w:hAnsi="Times New Roman" w:eastAsia="宋体" w:cs="Times New Roman"/>
      <w:sz w:val="18"/>
      <w:szCs w:val="18"/>
    </w:rPr>
  </w:style>
  <w:style w:type="character" w:customStyle="1" w:styleId="128">
    <w:name w:val="ll1"/>
    <w:autoRedefine/>
    <w:qFormat/>
    <w:uiPriority w:val="0"/>
    <w:rPr>
      <w:sz w:val="20"/>
      <w:szCs w:val="20"/>
    </w:rPr>
  </w:style>
  <w:style w:type="character" w:customStyle="1" w:styleId="129">
    <w:name w:val="正文首行缩进 Char"/>
    <w:autoRedefine/>
    <w:qFormat/>
    <w:uiPriority w:val="0"/>
  </w:style>
  <w:style w:type="character" w:customStyle="1" w:styleId="130">
    <w:name w:val="td1"/>
    <w:autoRedefine/>
    <w:qFormat/>
    <w:uiPriority w:val="0"/>
    <w:rPr>
      <w:color w:val="000000"/>
      <w:sz w:val="21"/>
      <w:szCs w:val="21"/>
    </w:rPr>
  </w:style>
  <w:style w:type="character" w:customStyle="1" w:styleId="131">
    <w:name w:val="正文001 Char Char Char Char"/>
    <w:autoRedefine/>
    <w:qFormat/>
    <w:uiPriority w:val="99"/>
    <w:rPr>
      <w:rFonts w:eastAsia="宋体"/>
      <w:kern w:val="2"/>
      <w:sz w:val="24"/>
      <w:lang w:val="en-US" w:eastAsia="zh-CN"/>
    </w:rPr>
  </w:style>
  <w:style w:type="character" w:customStyle="1" w:styleId="132">
    <w:name w:val="特点标题 Char Char"/>
    <w:autoRedefine/>
    <w:qFormat/>
    <w:uiPriority w:val="0"/>
    <w:rPr>
      <w:rFonts w:eastAsia="宋体"/>
      <w:kern w:val="2"/>
      <w:sz w:val="21"/>
      <w:szCs w:val="24"/>
      <w:lang w:val="en-US" w:eastAsia="zh-CN" w:bidi="ar-SA"/>
    </w:rPr>
  </w:style>
  <w:style w:type="character" w:customStyle="1" w:styleId="133">
    <w:name w:val="正文000000000000000 宋体 小四 黑色 首行缩进:  0.85 厘米 行距: 固定值 22 磅 Char Char"/>
    <w:link w:val="134"/>
    <w:autoRedefine/>
    <w:qFormat/>
    <w:locked/>
    <w:uiPriority w:val="99"/>
    <w:rPr>
      <w:rFonts w:ascii="Calibri" w:hAnsi="Calibri"/>
      <w:color w:val="000000"/>
      <w:sz w:val="24"/>
      <w:szCs w:val="24"/>
    </w:rPr>
  </w:style>
  <w:style w:type="paragraph" w:customStyle="1" w:styleId="134">
    <w:name w:val="正文000000000000000 宋体 小四 黑色 首行缩进:  0.85 厘米 行距: 固定值 22 磅"/>
    <w:basedOn w:val="1"/>
    <w:link w:val="133"/>
    <w:autoRedefine/>
    <w:qFormat/>
    <w:uiPriority w:val="99"/>
    <w:pPr>
      <w:spacing w:line="440" w:lineRule="exact"/>
      <w:ind w:firstLine="200" w:firstLineChars="200"/>
    </w:pPr>
    <w:rPr>
      <w:rFonts w:ascii="Calibri" w:hAnsi="Calibri"/>
      <w:color w:val="000000"/>
      <w:kern w:val="0"/>
      <w:sz w:val="24"/>
    </w:rPr>
  </w:style>
  <w:style w:type="character" w:customStyle="1" w:styleId="135">
    <w:name w:val="text_body1"/>
    <w:autoRedefine/>
    <w:qFormat/>
    <w:uiPriority w:val="0"/>
    <w:rPr>
      <w:rFonts w:hint="default" w:ascii="Verdana" w:hAnsi="Verdana"/>
      <w:sz w:val="21"/>
      <w:szCs w:val="21"/>
    </w:rPr>
  </w:style>
  <w:style w:type="character" w:customStyle="1" w:styleId="136">
    <w:name w:val="标题2 非连续 Char"/>
    <w:link w:val="137"/>
    <w:autoRedefine/>
    <w:qFormat/>
    <w:uiPriority w:val="0"/>
    <w:rPr>
      <w:rFonts w:ascii="Arial" w:hAnsi="Arial" w:eastAsia="黑体"/>
      <w:b/>
      <w:bCs/>
      <w:sz w:val="28"/>
      <w:szCs w:val="32"/>
    </w:rPr>
  </w:style>
  <w:style w:type="paragraph" w:customStyle="1" w:styleId="137">
    <w:name w:val="标题2 非连续"/>
    <w:basedOn w:val="4"/>
    <w:link w:val="136"/>
    <w:autoRedefine/>
    <w:qFormat/>
    <w:uiPriority w:val="0"/>
    <w:pPr>
      <w:keepLines/>
      <w:tabs>
        <w:tab w:val="left" w:pos="425"/>
      </w:tabs>
      <w:spacing w:before="50" w:beforeLines="50" w:line="440" w:lineRule="exact"/>
      <w:jc w:val="both"/>
    </w:pPr>
    <w:rPr>
      <w:rFonts w:ascii="Arial" w:hAnsi="Arial" w:eastAsia="黑体"/>
      <w:b/>
      <w:bCs/>
      <w:kern w:val="0"/>
      <w:sz w:val="28"/>
      <w:szCs w:val="32"/>
    </w:rPr>
  </w:style>
  <w:style w:type="character" w:customStyle="1" w:styleId="138">
    <w:name w:val="b-121"/>
    <w:autoRedefine/>
    <w:qFormat/>
    <w:uiPriority w:val="0"/>
    <w:rPr>
      <w:rFonts w:hint="default" w:ascii="_x000B__x000C_" w:hAnsi="_x000B__x000C_"/>
      <w:color w:val="000000"/>
      <w:sz w:val="18"/>
      <w:szCs w:val="18"/>
      <w:u w:val="none"/>
    </w:rPr>
  </w:style>
  <w:style w:type="character" w:customStyle="1" w:styleId="139">
    <w:name w:val="WW8Num1313z0"/>
    <w:autoRedefine/>
    <w:qFormat/>
    <w:uiPriority w:val="0"/>
    <w:rPr>
      <w:rFonts w:ascii="Times New Roman" w:hAnsi="Times New Roman" w:cs="Times New Roman"/>
      <w:spacing w:val="0"/>
      <w:position w:val="0"/>
      <w:sz w:val="24"/>
      <w:u w:val="none"/>
      <w:vertAlign w:val="baseline"/>
    </w:rPr>
  </w:style>
  <w:style w:type="character" w:customStyle="1" w:styleId="140">
    <w:name w:val="样式 样式 样式 Arial 小四 行距: 1.5 倍行距 + 首行缩进:  2 字符 + 首行缩进:  2 字符 Char Char"/>
    <w:link w:val="141"/>
    <w:autoRedefine/>
    <w:qFormat/>
    <w:locked/>
    <w:uiPriority w:val="99"/>
    <w:rPr>
      <w:rFonts w:ascii="Arial" w:hAnsi="Arial"/>
      <w:sz w:val="24"/>
    </w:rPr>
  </w:style>
  <w:style w:type="paragraph" w:customStyle="1" w:styleId="141">
    <w:name w:val="样式 样式 样式 Arial 小四 行距: 1.5 倍行距 + 首行缩进:  2 字符 + 首行缩进:  2 字符"/>
    <w:basedOn w:val="1"/>
    <w:link w:val="140"/>
    <w:autoRedefine/>
    <w:qFormat/>
    <w:uiPriority w:val="99"/>
    <w:pPr>
      <w:spacing w:line="440" w:lineRule="exact"/>
      <w:ind w:firstLine="200" w:firstLineChars="200"/>
    </w:pPr>
    <w:rPr>
      <w:rFonts w:ascii="Arial" w:hAnsi="Arial"/>
      <w:kern w:val="0"/>
      <w:sz w:val="24"/>
      <w:szCs w:val="20"/>
    </w:rPr>
  </w:style>
  <w:style w:type="character" w:customStyle="1" w:styleId="142">
    <w:name w:val="正文01 Char"/>
    <w:link w:val="143"/>
    <w:autoRedefine/>
    <w:qFormat/>
    <w:uiPriority w:val="0"/>
    <w:rPr>
      <w:kern w:val="2"/>
      <w:sz w:val="27"/>
    </w:rPr>
  </w:style>
  <w:style w:type="paragraph" w:customStyle="1" w:styleId="143">
    <w:name w:val="正文01"/>
    <w:basedOn w:val="1"/>
    <w:link w:val="142"/>
    <w:autoRedefine/>
    <w:qFormat/>
    <w:uiPriority w:val="0"/>
    <w:pPr>
      <w:spacing w:before="60" w:line="480" w:lineRule="exact"/>
      <w:ind w:firstLine="539"/>
    </w:pPr>
    <w:rPr>
      <w:sz w:val="27"/>
      <w:szCs w:val="20"/>
    </w:rPr>
  </w:style>
  <w:style w:type="character" w:customStyle="1" w:styleId="144">
    <w:name w:val="表格文字1 Char"/>
    <w:link w:val="145"/>
    <w:autoRedefine/>
    <w:qFormat/>
    <w:uiPriority w:val="0"/>
    <w:rPr>
      <w:kern w:val="2"/>
      <w:sz w:val="21"/>
      <w:szCs w:val="21"/>
    </w:rPr>
  </w:style>
  <w:style w:type="paragraph" w:customStyle="1" w:styleId="145">
    <w:name w:val="表格文字1"/>
    <w:basedOn w:val="1"/>
    <w:link w:val="144"/>
    <w:autoRedefine/>
    <w:qFormat/>
    <w:uiPriority w:val="0"/>
    <w:pPr>
      <w:tabs>
        <w:tab w:val="left" w:pos="0"/>
      </w:tabs>
      <w:autoSpaceDE w:val="0"/>
      <w:autoSpaceDN w:val="0"/>
      <w:adjustRightInd w:val="0"/>
      <w:ind w:right="57"/>
      <w:textAlignment w:val="baseline"/>
    </w:pPr>
  </w:style>
  <w:style w:type="character" w:customStyle="1" w:styleId="146">
    <w:name w:val="标题 3 Char3 Char1"/>
    <w:autoRedefine/>
    <w:qFormat/>
    <w:uiPriority w:val="0"/>
    <w:rPr>
      <w:b/>
      <w:bCs/>
      <w:kern w:val="2"/>
      <w:sz w:val="32"/>
      <w:szCs w:val="32"/>
    </w:rPr>
  </w:style>
  <w:style w:type="character" w:customStyle="1" w:styleId="147">
    <w:name w:val="表格文字2 Char"/>
    <w:link w:val="148"/>
    <w:autoRedefine/>
    <w:qFormat/>
    <w:uiPriority w:val="0"/>
    <w:rPr>
      <w:rFonts w:ascii="宋体"/>
      <w:kern w:val="2"/>
      <w:sz w:val="21"/>
      <w:szCs w:val="24"/>
    </w:rPr>
  </w:style>
  <w:style w:type="paragraph" w:customStyle="1" w:styleId="148">
    <w:name w:val="表格文字2"/>
    <w:basedOn w:val="1"/>
    <w:link w:val="147"/>
    <w:autoRedefine/>
    <w:qFormat/>
    <w:uiPriority w:val="0"/>
    <w:pPr>
      <w:keepNext/>
      <w:keepLines/>
      <w:tabs>
        <w:tab w:val="left" w:pos="0"/>
        <w:tab w:val="left" w:pos="277"/>
        <w:tab w:val="left" w:pos="600"/>
        <w:tab w:val="left" w:pos="780"/>
        <w:tab w:val="left" w:pos="2517"/>
      </w:tabs>
      <w:autoSpaceDE w:val="0"/>
      <w:autoSpaceDN w:val="0"/>
      <w:adjustRightInd w:val="0"/>
      <w:spacing w:before="60"/>
      <w:jc w:val="center"/>
      <w:textAlignment w:val="baseline"/>
    </w:pPr>
    <w:rPr>
      <w:rFonts w:ascii="宋体"/>
    </w:rPr>
  </w:style>
  <w:style w:type="character" w:customStyle="1" w:styleId="149">
    <w:name w:val="明显引用 字符"/>
    <w:autoRedefine/>
    <w:qFormat/>
    <w:uiPriority w:val="30"/>
    <w:rPr>
      <w:i/>
      <w:iCs/>
      <w:color w:val="4472C4"/>
      <w:kern w:val="2"/>
      <w:sz w:val="21"/>
      <w:szCs w:val="24"/>
    </w:rPr>
  </w:style>
  <w:style w:type="character" w:customStyle="1" w:styleId="150">
    <w:name w:val="表头 Char Char"/>
    <w:autoRedefine/>
    <w:qFormat/>
    <w:locked/>
    <w:uiPriority w:val="0"/>
    <w:rPr>
      <w:rFonts w:hAnsi="宋体" w:eastAsia="仿宋_GB2312"/>
      <w:b/>
      <w:sz w:val="28"/>
      <w:szCs w:val="28"/>
    </w:rPr>
  </w:style>
  <w:style w:type="character" w:customStyle="1" w:styleId="151">
    <w:name w:val="表格字体 Char"/>
    <w:link w:val="152"/>
    <w:autoRedefine/>
    <w:qFormat/>
    <w:locked/>
    <w:uiPriority w:val="99"/>
    <w:rPr>
      <w:rFonts w:ascii="仿宋_GB2312" w:eastAsia="仿宋_GB2312"/>
      <w:spacing w:val="2"/>
      <w:kern w:val="2"/>
      <w:sz w:val="21"/>
    </w:rPr>
  </w:style>
  <w:style w:type="paragraph" w:customStyle="1" w:styleId="152">
    <w:name w:val="表格字体"/>
    <w:basedOn w:val="1"/>
    <w:link w:val="151"/>
    <w:autoRedefine/>
    <w:qFormat/>
    <w:uiPriority w:val="99"/>
    <w:pPr>
      <w:spacing w:line="400" w:lineRule="exact"/>
      <w:jc w:val="center"/>
    </w:pPr>
    <w:rPr>
      <w:rFonts w:ascii="仿宋_GB2312" w:eastAsia="仿宋_GB2312"/>
      <w:spacing w:val="2"/>
      <w:szCs w:val="20"/>
    </w:rPr>
  </w:style>
  <w:style w:type="character" w:customStyle="1" w:styleId="153">
    <w:name w:val="无间隔 字符1"/>
    <w:link w:val="154"/>
    <w:autoRedefine/>
    <w:qFormat/>
    <w:uiPriority w:val="1"/>
    <w:rPr>
      <w:kern w:val="2"/>
      <w:sz w:val="21"/>
      <w:szCs w:val="24"/>
      <w:lang w:bidi="ar-SA"/>
    </w:rPr>
  </w:style>
  <w:style w:type="paragraph" w:styleId="154">
    <w:name w:val="No Spacing"/>
    <w:link w:val="153"/>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引用 字符"/>
    <w:autoRedefine/>
    <w:qFormat/>
    <w:uiPriority w:val="29"/>
    <w:rPr>
      <w:i/>
      <w:iCs/>
      <w:color w:val="404040"/>
      <w:kern w:val="2"/>
      <w:sz w:val="21"/>
      <w:szCs w:val="24"/>
    </w:rPr>
  </w:style>
  <w:style w:type="character" w:customStyle="1" w:styleId="156">
    <w:name w:val="表头 Char"/>
    <w:link w:val="157"/>
    <w:autoRedefine/>
    <w:qFormat/>
    <w:uiPriority w:val="0"/>
    <w:rPr>
      <w:rFonts w:ascii="黑体" w:eastAsia="黑体"/>
      <w:kern w:val="2"/>
      <w:sz w:val="24"/>
      <w:szCs w:val="24"/>
    </w:rPr>
  </w:style>
  <w:style w:type="paragraph" w:customStyle="1" w:styleId="157">
    <w:name w:val="表头"/>
    <w:basedOn w:val="12"/>
    <w:next w:val="1"/>
    <w:link w:val="156"/>
    <w:autoRedefine/>
    <w:qFormat/>
    <w:uiPriority w:val="0"/>
    <w:pPr>
      <w:ind w:firstLine="480" w:firstLineChars="200"/>
      <w:jc w:val="center"/>
    </w:pPr>
    <w:rPr>
      <w:rFonts w:ascii="黑体" w:eastAsia="黑体"/>
      <w:sz w:val="24"/>
    </w:rPr>
  </w:style>
  <w:style w:type="character" w:customStyle="1" w:styleId="158">
    <w:name w:val="正文文本 2 字符2"/>
    <w:autoRedefine/>
    <w:qFormat/>
    <w:locked/>
    <w:uiPriority w:val="0"/>
    <w:rPr>
      <w:b/>
      <w:color w:val="000000"/>
      <w:kern w:val="2"/>
      <w:sz w:val="28"/>
      <w:szCs w:val="24"/>
    </w:rPr>
  </w:style>
  <w:style w:type="character" w:customStyle="1" w:styleId="159">
    <w:name w:val="正文缩进 字符1"/>
    <w:autoRedefine/>
    <w:qFormat/>
    <w:uiPriority w:val="0"/>
    <w:rPr>
      <w:rFonts w:ascii="Times New Roman" w:hAnsi="Times New Roman" w:eastAsia="宋体" w:cs="Times New Roman"/>
      <w:szCs w:val="20"/>
    </w:rPr>
  </w:style>
  <w:style w:type="character" w:customStyle="1" w:styleId="160">
    <w:name w:val="表格 Char1"/>
    <w:autoRedefine/>
    <w:qFormat/>
    <w:uiPriority w:val="0"/>
    <w:rPr>
      <w:rFonts w:eastAsia="宋体"/>
      <w:kern w:val="2"/>
      <w:sz w:val="21"/>
      <w:szCs w:val="21"/>
      <w:lang w:val="en-US" w:eastAsia="zh-CN" w:bidi="ar-SA"/>
    </w:rPr>
  </w:style>
  <w:style w:type="character" w:customStyle="1" w:styleId="161">
    <w:name w:val="标题 3 Char4"/>
    <w:autoRedefine/>
    <w:qFormat/>
    <w:uiPriority w:val="0"/>
    <w:rPr>
      <w:rFonts w:eastAsia="宋体"/>
      <w:b/>
      <w:bCs/>
      <w:kern w:val="2"/>
      <w:sz w:val="24"/>
      <w:szCs w:val="24"/>
      <w:lang w:val="en-US" w:eastAsia="zh-CN" w:bidi="ar-SA"/>
    </w:rPr>
  </w:style>
  <w:style w:type="character" w:customStyle="1" w:styleId="162">
    <w:name w:val="lh22px"/>
    <w:autoRedefine/>
    <w:qFormat/>
    <w:uiPriority w:val="0"/>
  </w:style>
  <w:style w:type="character" w:customStyle="1" w:styleId="163">
    <w:name w:val="title41"/>
    <w:autoRedefine/>
    <w:qFormat/>
    <w:uiPriority w:val="0"/>
    <w:rPr>
      <w:rFonts w:hint="eastAsia" w:ascii="宋体" w:hAnsi="宋体" w:eastAsia="宋体"/>
      <w:color w:val="194F95"/>
      <w:sz w:val="23"/>
      <w:szCs w:val="23"/>
    </w:rPr>
  </w:style>
  <w:style w:type="character" w:customStyle="1" w:styleId="164">
    <w:name w:val="报告正文-连续目录 Char Char"/>
    <w:link w:val="165"/>
    <w:autoRedefine/>
    <w:qFormat/>
    <w:uiPriority w:val="0"/>
    <w:rPr>
      <w:rFonts w:ascii="Arial" w:hAnsi="Arial"/>
      <w:snapToGrid/>
      <w:sz w:val="24"/>
      <w:szCs w:val="24"/>
    </w:rPr>
  </w:style>
  <w:style w:type="paragraph" w:customStyle="1" w:styleId="165">
    <w:name w:val="报告正文-连续目录"/>
    <w:basedOn w:val="1"/>
    <w:link w:val="164"/>
    <w:autoRedefine/>
    <w:qFormat/>
    <w:uiPriority w:val="0"/>
    <w:pPr>
      <w:spacing w:line="440" w:lineRule="exact"/>
      <w:ind w:firstLine="200" w:firstLineChars="200"/>
    </w:pPr>
    <w:rPr>
      <w:rFonts w:ascii="Arial" w:hAnsi="Arial"/>
      <w:kern w:val="0"/>
      <w:sz w:val="24"/>
    </w:rPr>
  </w:style>
  <w:style w:type="character" w:customStyle="1" w:styleId="166">
    <w:name w:val="tt41"/>
    <w:autoRedefine/>
    <w:qFormat/>
    <w:uiPriority w:val="0"/>
  </w:style>
  <w:style w:type="character" w:customStyle="1" w:styleId="167">
    <w:name w:val="文档结构图 字符"/>
    <w:autoRedefine/>
    <w:qFormat/>
    <w:uiPriority w:val="99"/>
    <w:rPr>
      <w:rFonts w:ascii="Microsoft YaHei UI" w:eastAsia="Microsoft YaHei UI"/>
      <w:kern w:val="2"/>
      <w:sz w:val="18"/>
      <w:szCs w:val="18"/>
    </w:rPr>
  </w:style>
  <w:style w:type="character" w:customStyle="1" w:styleId="168">
    <w:name w:val="bt21"/>
    <w:autoRedefine/>
    <w:qFormat/>
    <w:uiPriority w:val="0"/>
    <w:rPr>
      <w:rFonts w:hint="eastAsia" w:ascii="黑体" w:eastAsia="黑体"/>
      <w:sz w:val="24"/>
      <w:szCs w:val="24"/>
    </w:rPr>
  </w:style>
  <w:style w:type="character" w:customStyle="1" w:styleId="169">
    <w:name w:val="标题 2 字符"/>
    <w:autoRedefine/>
    <w:qFormat/>
    <w:uiPriority w:val="9"/>
    <w:rPr>
      <w:rFonts w:ascii="等线 Light" w:hAnsi="等线 Light" w:eastAsia="等线 Light" w:cs="Times New Roman"/>
      <w:b/>
      <w:bCs/>
      <w:kern w:val="2"/>
      <w:sz w:val="32"/>
      <w:szCs w:val="32"/>
    </w:rPr>
  </w:style>
  <w:style w:type="character" w:customStyle="1" w:styleId="170">
    <w:name w:val="首行缩进 Char"/>
    <w:autoRedefine/>
    <w:qFormat/>
    <w:uiPriority w:val="0"/>
    <w:rPr>
      <w:rFonts w:eastAsia="宋体"/>
      <w:kern w:val="2"/>
      <w:sz w:val="21"/>
      <w:lang w:val="en-US" w:eastAsia="zh-CN" w:bidi="ar-SA"/>
    </w:rPr>
  </w:style>
  <w:style w:type="character" w:customStyle="1" w:styleId="171">
    <w:name w:val="表格标题样式 字符"/>
    <w:link w:val="172"/>
    <w:autoRedefine/>
    <w:qFormat/>
    <w:uiPriority w:val="0"/>
    <w:rPr>
      <w:b/>
      <w:bCs/>
      <w:kern w:val="2"/>
      <w:sz w:val="21"/>
      <w:szCs w:val="18"/>
    </w:rPr>
  </w:style>
  <w:style w:type="paragraph" w:customStyle="1" w:styleId="172">
    <w:name w:val="表格标题样式"/>
    <w:basedOn w:val="1"/>
    <w:link w:val="171"/>
    <w:autoRedefine/>
    <w:qFormat/>
    <w:uiPriority w:val="0"/>
    <w:pPr>
      <w:snapToGrid w:val="0"/>
      <w:spacing w:line="360" w:lineRule="auto"/>
      <w:jc w:val="center"/>
    </w:pPr>
    <w:rPr>
      <w:b/>
      <w:bCs/>
      <w:szCs w:val="18"/>
    </w:rPr>
  </w:style>
  <w:style w:type="character" w:customStyle="1" w:styleId="173">
    <w:name w:val="f241"/>
    <w:autoRedefine/>
    <w:qFormat/>
    <w:uiPriority w:val="0"/>
    <w:rPr>
      <w:sz w:val="36"/>
      <w:szCs w:val="36"/>
    </w:rPr>
  </w:style>
  <w:style w:type="character" w:customStyle="1" w:styleId="174">
    <w:name w:val="页眉 字符"/>
    <w:autoRedefine/>
    <w:qFormat/>
    <w:locked/>
    <w:uiPriority w:val="0"/>
    <w:rPr>
      <w:rFonts w:eastAsia="宋体"/>
      <w:sz w:val="18"/>
    </w:rPr>
  </w:style>
  <w:style w:type="character" w:customStyle="1" w:styleId="175">
    <w:name w:val="表格内容 字符"/>
    <w:autoRedefine/>
    <w:qFormat/>
    <w:uiPriority w:val="0"/>
    <w:rPr>
      <w:rFonts w:ascii="Times New Roman" w:hAnsi="Times New Roman" w:eastAsia="宋体"/>
    </w:rPr>
  </w:style>
  <w:style w:type="character" w:customStyle="1" w:styleId="176">
    <w:name w:val="表格内容 Char"/>
    <w:link w:val="177"/>
    <w:autoRedefine/>
    <w:qFormat/>
    <w:uiPriority w:val="0"/>
    <w:rPr>
      <w:rFonts w:ascii="Arial" w:hAnsi="Arial" w:eastAsia="仿宋_GB2312"/>
      <w:sz w:val="24"/>
    </w:rPr>
  </w:style>
  <w:style w:type="paragraph" w:customStyle="1" w:styleId="177">
    <w:name w:val="表格内容"/>
    <w:basedOn w:val="1"/>
    <w:link w:val="176"/>
    <w:autoRedefine/>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character" w:customStyle="1" w:styleId="178">
    <w:name w:val="标题2 Char"/>
    <w:autoRedefine/>
    <w:qFormat/>
    <w:uiPriority w:val="0"/>
    <w:rPr>
      <w:rFonts w:ascii="宋体" w:hAnsi="宋体" w:eastAsia="宋体"/>
      <w:b/>
      <w:bCs/>
      <w:spacing w:val="-6"/>
      <w:kern w:val="2"/>
      <w:sz w:val="28"/>
      <w:szCs w:val="24"/>
      <w:lang w:val="en-US" w:eastAsia="zh-CN" w:bidi="ar-SA"/>
    </w:rPr>
  </w:style>
  <w:style w:type="character" w:customStyle="1" w:styleId="179">
    <w:name w:val="标题 4 字符"/>
    <w:autoRedefine/>
    <w:qFormat/>
    <w:uiPriority w:val="0"/>
    <w:rPr>
      <w:rFonts w:ascii="等线 Light" w:hAnsi="等线 Light" w:eastAsia="等线 Light" w:cs="Times New Roman"/>
      <w:b/>
      <w:bCs/>
      <w:kern w:val="2"/>
      <w:sz w:val="28"/>
      <w:szCs w:val="28"/>
    </w:rPr>
  </w:style>
  <w:style w:type="character" w:customStyle="1" w:styleId="180">
    <w:name w:val="正文001 Char"/>
    <w:link w:val="181"/>
    <w:autoRedefine/>
    <w:qFormat/>
    <w:uiPriority w:val="0"/>
    <w:rPr>
      <w:kern w:val="2"/>
      <w:sz w:val="24"/>
    </w:rPr>
  </w:style>
  <w:style w:type="paragraph" w:customStyle="1" w:styleId="181">
    <w:name w:val="正文001"/>
    <w:basedOn w:val="1"/>
    <w:link w:val="180"/>
    <w:autoRedefine/>
    <w:qFormat/>
    <w:uiPriority w:val="0"/>
    <w:pPr>
      <w:spacing w:before="60" w:line="460" w:lineRule="exact"/>
      <w:ind w:firstLine="482"/>
    </w:pPr>
    <w:rPr>
      <w:sz w:val="24"/>
      <w:szCs w:val="20"/>
    </w:rPr>
  </w:style>
  <w:style w:type="character" w:customStyle="1" w:styleId="182">
    <w:name w:val="_Style 179"/>
    <w:autoRedefine/>
    <w:qFormat/>
    <w:uiPriority w:val="32"/>
    <w:rPr>
      <w:b/>
      <w:bCs/>
      <w:smallCaps/>
      <w:color w:val="5B9BD5"/>
      <w:spacing w:val="5"/>
    </w:rPr>
  </w:style>
  <w:style w:type="character" w:customStyle="1" w:styleId="183">
    <w:name w:val="批注文字 字符"/>
    <w:autoRedefine/>
    <w:qFormat/>
    <w:locked/>
    <w:uiPriority w:val="99"/>
    <w:rPr>
      <w:rFonts w:ascii="Times New Roman" w:hAnsi="Times New Roman" w:eastAsia="宋体" w:cs="Times New Roman"/>
      <w:sz w:val="20"/>
      <w:szCs w:val="20"/>
    </w:rPr>
  </w:style>
  <w:style w:type="character" w:customStyle="1" w:styleId="184">
    <w:name w:val="正文01 Char1"/>
    <w:autoRedefine/>
    <w:qFormat/>
    <w:uiPriority w:val="0"/>
    <w:rPr>
      <w:rFonts w:eastAsia="宋体"/>
      <w:bCs/>
      <w:kern w:val="2"/>
      <w:sz w:val="24"/>
      <w:szCs w:val="24"/>
      <w:lang w:val="en-US" w:eastAsia="zh-CN" w:bidi="ar-SA"/>
    </w:rPr>
  </w:style>
  <w:style w:type="character" w:customStyle="1" w:styleId="185">
    <w:name w:val="正文1 Char1"/>
    <w:link w:val="186"/>
    <w:autoRedefine/>
    <w:qFormat/>
    <w:uiPriority w:val="0"/>
    <w:rPr>
      <w:kern w:val="2"/>
      <w:sz w:val="24"/>
      <w:szCs w:val="24"/>
    </w:rPr>
  </w:style>
  <w:style w:type="paragraph" w:customStyle="1" w:styleId="186">
    <w:name w:val="正文1"/>
    <w:basedOn w:val="1"/>
    <w:link w:val="185"/>
    <w:autoRedefine/>
    <w:qFormat/>
    <w:uiPriority w:val="0"/>
    <w:pPr>
      <w:snapToGrid w:val="0"/>
      <w:spacing w:before="10" w:beforeLines="10" w:line="440" w:lineRule="atLeast"/>
      <w:ind w:firstLine="567"/>
    </w:pPr>
    <w:rPr>
      <w:sz w:val="24"/>
    </w:rPr>
  </w:style>
  <w:style w:type="character" w:customStyle="1" w:styleId="187">
    <w:name w:val="三级标题 Char Char Char"/>
    <w:autoRedefine/>
    <w:qFormat/>
    <w:uiPriority w:val="99"/>
    <w:rPr>
      <w:rFonts w:eastAsia="宋体"/>
      <w:b/>
      <w:kern w:val="2"/>
      <w:sz w:val="24"/>
      <w:lang w:val="en-US" w:eastAsia="zh-CN"/>
    </w:rPr>
  </w:style>
  <w:style w:type="character" w:customStyle="1" w:styleId="188">
    <w:name w:val="样式 正文（首行缩进两字） + 加粗 Char"/>
    <w:autoRedefine/>
    <w:qFormat/>
    <w:uiPriority w:val="0"/>
    <w:rPr>
      <w:rFonts w:eastAsia="宋体"/>
      <w:b/>
      <w:bCs/>
      <w:kern w:val="2"/>
      <w:sz w:val="24"/>
      <w:szCs w:val="24"/>
      <w:lang w:val="en-US" w:eastAsia="zh-CN" w:bidi="ar-SA"/>
    </w:rPr>
  </w:style>
  <w:style w:type="character" w:customStyle="1" w:styleId="189">
    <w:name w:val="批注文字 Char2"/>
    <w:autoRedefine/>
    <w:qFormat/>
    <w:uiPriority w:val="0"/>
    <w:rPr>
      <w:kern w:val="2"/>
      <w:sz w:val="21"/>
    </w:rPr>
  </w:style>
  <w:style w:type="character" w:customStyle="1" w:styleId="190">
    <w:name w:val="style21"/>
    <w:autoRedefine/>
    <w:qFormat/>
    <w:uiPriority w:val="99"/>
    <w:rPr>
      <w:color w:val="FF0000"/>
    </w:rPr>
  </w:style>
  <w:style w:type="character" w:customStyle="1" w:styleId="191">
    <w:name w:val="标题 3 Char5"/>
    <w:autoRedefine/>
    <w:qFormat/>
    <w:uiPriority w:val="0"/>
    <w:rPr>
      <w:rFonts w:eastAsia="宋体"/>
      <w:b/>
      <w:bCs/>
      <w:kern w:val="2"/>
      <w:sz w:val="32"/>
      <w:szCs w:val="32"/>
      <w:lang w:val="en-US" w:eastAsia="zh-CN" w:bidi="ar-SA"/>
    </w:rPr>
  </w:style>
  <w:style w:type="character" w:customStyle="1" w:styleId="192">
    <w:name w:val="中远正文 Char"/>
    <w:autoRedefine/>
    <w:qFormat/>
    <w:uiPriority w:val="0"/>
    <w:rPr>
      <w:rFonts w:eastAsia="宋体" w:cs="宋体"/>
      <w:snapToGrid w:val="0"/>
      <w:color w:val="000000"/>
      <w:kern w:val="24"/>
      <w:sz w:val="24"/>
      <w:lang w:val="en-US" w:eastAsia="zh-CN" w:bidi="ar-SA"/>
    </w:rPr>
  </w:style>
  <w:style w:type="character" w:customStyle="1" w:styleId="193">
    <w:name w:val="标题 4 字符1"/>
    <w:autoRedefine/>
    <w:qFormat/>
    <w:locked/>
    <w:uiPriority w:val="0"/>
    <w:rPr>
      <w:rFonts w:ascii="Arial" w:hAnsi="Arial"/>
      <w:kern w:val="2"/>
      <w:sz w:val="24"/>
    </w:rPr>
  </w:style>
  <w:style w:type="character" w:customStyle="1" w:styleId="194">
    <w:name w:val="表格正文 Char Char"/>
    <w:autoRedefine/>
    <w:qFormat/>
    <w:locked/>
    <w:uiPriority w:val="99"/>
    <w:rPr>
      <w:rFonts w:eastAsia="宋体"/>
      <w:snapToGrid/>
      <w:sz w:val="24"/>
    </w:rPr>
  </w:style>
  <w:style w:type="character" w:customStyle="1" w:styleId="195">
    <w:name w:val="信息标题 字符"/>
    <w:autoRedefine/>
    <w:qFormat/>
    <w:uiPriority w:val="0"/>
    <w:rPr>
      <w:rFonts w:ascii="等线 Light" w:hAnsi="等线 Light" w:eastAsia="等线 Light" w:cs="Times New Roman"/>
      <w:kern w:val="2"/>
      <w:sz w:val="24"/>
      <w:szCs w:val="24"/>
      <w:shd w:val="pct20" w:color="auto" w:fill="auto"/>
    </w:rPr>
  </w:style>
  <w:style w:type="character" w:customStyle="1" w:styleId="196">
    <w:name w:val="WW8Num214z0"/>
    <w:autoRedefine/>
    <w:qFormat/>
    <w:uiPriority w:val="0"/>
    <w:rPr>
      <w:rFonts w:ascii="宋体" w:hAnsi="宋体"/>
    </w:rPr>
  </w:style>
  <w:style w:type="character" w:customStyle="1" w:styleId="197">
    <w:name w:val="批注框文本 字符2"/>
    <w:autoRedefine/>
    <w:semiHidden/>
    <w:qFormat/>
    <w:locked/>
    <w:uiPriority w:val="0"/>
    <w:rPr>
      <w:kern w:val="2"/>
      <w:sz w:val="18"/>
      <w:szCs w:val="18"/>
    </w:rPr>
  </w:style>
  <w:style w:type="character" w:customStyle="1" w:styleId="198">
    <w:name w:val="正文A Char"/>
    <w:link w:val="199"/>
    <w:autoRedefine/>
    <w:qFormat/>
    <w:uiPriority w:val="0"/>
    <w:rPr>
      <w:rFonts w:cs="宋体"/>
      <w:kern w:val="2"/>
      <w:sz w:val="24"/>
    </w:rPr>
  </w:style>
  <w:style w:type="paragraph" w:customStyle="1" w:styleId="199">
    <w:name w:val="正文A"/>
    <w:basedOn w:val="1"/>
    <w:link w:val="198"/>
    <w:autoRedefine/>
    <w:qFormat/>
    <w:uiPriority w:val="0"/>
    <w:pPr>
      <w:spacing w:line="540" w:lineRule="exact"/>
    </w:pPr>
    <w:rPr>
      <w:sz w:val="24"/>
      <w:szCs w:val="20"/>
    </w:rPr>
  </w:style>
  <w:style w:type="character" w:customStyle="1" w:styleId="200">
    <w:name w:val="日期 字符"/>
    <w:autoRedefine/>
    <w:qFormat/>
    <w:uiPriority w:val="0"/>
    <w:rPr>
      <w:rFonts w:ascii="Times New Roman" w:hAnsi="Times New Roman" w:eastAsia="宋体"/>
      <w:sz w:val="24"/>
    </w:rPr>
  </w:style>
  <w:style w:type="character" w:customStyle="1" w:styleId="201">
    <w:name w:val="正文文字( 首段缩进两字） Char1"/>
    <w:autoRedefine/>
    <w:qFormat/>
    <w:uiPriority w:val="0"/>
    <w:rPr>
      <w:rFonts w:eastAsia="宋体"/>
      <w:kern w:val="2"/>
      <w:sz w:val="21"/>
      <w:szCs w:val="24"/>
      <w:lang w:val="en-US" w:eastAsia="zh-CN" w:bidi="ar-SA"/>
    </w:rPr>
  </w:style>
  <w:style w:type="character" w:customStyle="1" w:styleId="202">
    <w:name w:val="标题 8 字符"/>
    <w:autoRedefine/>
    <w:qFormat/>
    <w:uiPriority w:val="0"/>
    <w:rPr>
      <w:rFonts w:ascii="等线 Light" w:hAnsi="等线 Light" w:eastAsia="等线 Light" w:cs="Times New Roman"/>
      <w:kern w:val="2"/>
      <w:sz w:val="24"/>
      <w:szCs w:val="24"/>
    </w:rPr>
  </w:style>
  <w:style w:type="character" w:customStyle="1" w:styleId="203">
    <w:name w:val="三级标题 Char Char Char Char"/>
    <w:autoRedefine/>
    <w:qFormat/>
    <w:uiPriority w:val="99"/>
    <w:rPr>
      <w:rFonts w:eastAsia="宋体"/>
      <w:b/>
      <w:kern w:val="2"/>
      <w:sz w:val="24"/>
      <w:lang w:val="en-US" w:eastAsia="zh-CN"/>
    </w:rPr>
  </w:style>
  <w:style w:type="character" w:customStyle="1" w:styleId="204">
    <w:name w:val="19号令 Char"/>
    <w:autoRedefine/>
    <w:qFormat/>
    <w:uiPriority w:val="0"/>
    <w:rPr>
      <w:rFonts w:ascii="宋体" w:hAnsi="宋体" w:eastAsia="宋体" w:cs="Arial Unicode MS"/>
      <w:color w:val="000000"/>
      <w:sz w:val="22"/>
      <w:szCs w:val="22"/>
      <w:lang w:val="en-US" w:eastAsia="zh-CN" w:bidi="ar-SA"/>
    </w:rPr>
  </w:style>
  <w:style w:type="character" w:customStyle="1" w:styleId="205">
    <w:name w:val="标题1"/>
    <w:autoRedefine/>
    <w:qFormat/>
    <w:uiPriority w:val="0"/>
  </w:style>
  <w:style w:type="character" w:customStyle="1" w:styleId="206">
    <w:name w:val="图表标题 Char"/>
    <w:link w:val="207"/>
    <w:autoRedefine/>
    <w:qFormat/>
    <w:uiPriority w:val="0"/>
    <w:rPr>
      <w:rFonts w:ascii="宋体" w:hAnsi="宋体"/>
      <w:b/>
      <w:kern w:val="2"/>
      <w:sz w:val="21"/>
      <w:szCs w:val="24"/>
    </w:rPr>
  </w:style>
  <w:style w:type="paragraph" w:customStyle="1" w:styleId="207">
    <w:name w:val="图表标题"/>
    <w:basedOn w:val="1"/>
    <w:link w:val="206"/>
    <w:autoRedefine/>
    <w:qFormat/>
    <w:uiPriority w:val="0"/>
    <w:pPr>
      <w:spacing w:before="60" w:beforeLines="25" w:after="60" w:afterLines="25" w:line="360" w:lineRule="auto"/>
      <w:jc w:val="center"/>
      <w:outlineLvl w:val="4"/>
    </w:pPr>
    <w:rPr>
      <w:rFonts w:ascii="宋体" w:hAnsi="宋体"/>
      <w:b/>
    </w:rPr>
  </w:style>
  <w:style w:type="character" w:customStyle="1" w:styleId="208">
    <w:name w:val="表格正文 Char"/>
    <w:link w:val="209"/>
    <w:autoRedefine/>
    <w:qFormat/>
    <w:uiPriority w:val="0"/>
    <w:rPr>
      <w:kern w:val="2"/>
      <w:sz w:val="21"/>
    </w:rPr>
  </w:style>
  <w:style w:type="paragraph" w:customStyle="1" w:styleId="209">
    <w:name w:val="表格正文"/>
    <w:basedOn w:val="1"/>
    <w:link w:val="208"/>
    <w:autoRedefine/>
    <w:qFormat/>
    <w:uiPriority w:val="0"/>
    <w:pPr>
      <w:adjustRightInd w:val="0"/>
      <w:spacing w:line="0" w:lineRule="atLeast"/>
      <w:textAlignment w:val="baseline"/>
    </w:pPr>
    <w:rPr>
      <w:szCs w:val="20"/>
    </w:rPr>
  </w:style>
  <w:style w:type="character" w:customStyle="1" w:styleId="210">
    <w:name w:val="正文四号 Char Char"/>
    <w:link w:val="211"/>
    <w:autoRedefine/>
    <w:qFormat/>
    <w:locked/>
    <w:uiPriority w:val="99"/>
    <w:rPr>
      <w:sz w:val="24"/>
    </w:rPr>
  </w:style>
  <w:style w:type="paragraph" w:customStyle="1" w:styleId="211">
    <w:name w:val="正文四号"/>
    <w:basedOn w:val="1"/>
    <w:link w:val="210"/>
    <w:autoRedefine/>
    <w:qFormat/>
    <w:uiPriority w:val="99"/>
    <w:pPr>
      <w:spacing w:line="360" w:lineRule="auto"/>
      <w:ind w:firstLine="200" w:firstLineChars="200"/>
    </w:pPr>
    <w:rPr>
      <w:kern w:val="0"/>
      <w:sz w:val="24"/>
      <w:szCs w:val="20"/>
    </w:rPr>
  </w:style>
  <w:style w:type="character" w:customStyle="1" w:styleId="212">
    <w:name w:val="fontstyle01"/>
    <w:autoRedefine/>
    <w:qFormat/>
    <w:uiPriority w:val="0"/>
    <w:rPr>
      <w:rFonts w:hint="eastAsia" w:ascii="宋体" w:hAnsi="宋体" w:eastAsia="宋体"/>
      <w:color w:val="000000"/>
      <w:sz w:val="24"/>
      <w:szCs w:val="24"/>
    </w:rPr>
  </w:style>
  <w:style w:type="character" w:customStyle="1" w:styleId="213">
    <w:name w:val="批注主题 字符"/>
    <w:autoRedefine/>
    <w:qFormat/>
    <w:locked/>
    <w:uiPriority w:val="99"/>
    <w:rPr>
      <w:b/>
      <w:bCs/>
      <w:kern w:val="2"/>
      <w:sz w:val="21"/>
    </w:rPr>
  </w:style>
  <w:style w:type="character" w:customStyle="1" w:styleId="214">
    <w:name w:val="批注主题 字符1"/>
    <w:autoRedefine/>
    <w:qFormat/>
    <w:uiPriority w:val="0"/>
    <w:rPr>
      <w:rFonts w:ascii="Times New Roman" w:hAnsi="Times New Roman" w:eastAsia="宋体" w:cs="Times New Roman"/>
      <w:b/>
      <w:bCs/>
      <w:szCs w:val="24"/>
    </w:rPr>
  </w:style>
  <w:style w:type="character" w:customStyle="1" w:styleId="215">
    <w:name w:val="称呼 字符"/>
    <w:autoRedefine/>
    <w:qFormat/>
    <w:uiPriority w:val="0"/>
    <w:rPr>
      <w:kern w:val="2"/>
      <w:sz w:val="21"/>
      <w:szCs w:val="24"/>
    </w:rPr>
  </w:style>
  <w:style w:type="character" w:customStyle="1" w:styleId="216">
    <w:name w:val="三级标题 Char Char"/>
    <w:autoRedefine/>
    <w:qFormat/>
    <w:uiPriority w:val="99"/>
    <w:rPr>
      <w:rFonts w:eastAsia="宋体"/>
      <w:b/>
      <w:bCs/>
      <w:kern w:val="2"/>
      <w:sz w:val="24"/>
      <w:szCs w:val="24"/>
      <w:lang w:bidi="ar-SA"/>
    </w:rPr>
  </w:style>
  <w:style w:type="character" w:customStyle="1" w:styleId="217">
    <w:name w:val="表格文字 Char"/>
    <w:autoRedefine/>
    <w:qFormat/>
    <w:uiPriority w:val="0"/>
    <w:rPr>
      <w:rFonts w:ascii="宋体" w:hAnsi="宋体" w:eastAsia="宋体"/>
      <w:kern w:val="2"/>
      <w:sz w:val="21"/>
      <w:szCs w:val="24"/>
      <w:lang w:val="en-US" w:eastAsia="zh-CN" w:bidi="ar-SA"/>
    </w:rPr>
  </w:style>
  <w:style w:type="character" w:customStyle="1" w:styleId="218">
    <w:name w:val="apple-style-span"/>
    <w:autoRedefine/>
    <w:qFormat/>
    <w:uiPriority w:val="0"/>
  </w:style>
  <w:style w:type="character" w:customStyle="1" w:styleId="219">
    <w:name w:val="标题 4 Char"/>
    <w:autoRedefine/>
    <w:qFormat/>
    <w:uiPriority w:val="9"/>
    <w:rPr>
      <w:rFonts w:ascii="Cambria" w:hAnsi="Cambria" w:eastAsia="宋体" w:cs="Times New Roman"/>
      <w:b/>
      <w:bCs/>
      <w:kern w:val="2"/>
      <w:sz w:val="28"/>
      <w:szCs w:val="28"/>
    </w:rPr>
  </w:style>
  <w:style w:type="character" w:customStyle="1" w:styleId="220">
    <w:name w:val="明显引用 字符1"/>
    <w:autoRedefine/>
    <w:qFormat/>
    <w:uiPriority w:val="30"/>
    <w:rPr>
      <w:i/>
      <w:iCs/>
      <w:color w:val="4472C4"/>
      <w:kern w:val="2"/>
      <w:sz w:val="21"/>
      <w:szCs w:val="24"/>
    </w:rPr>
  </w:style>
  <w:style w:type="character" w:customStyle="1" w:styleId="221">
    <w:name w:val="正文文本首行缩进 2 字符"/>
    <w:autoRedefine/>
    <w:qFormat/>
    <w:uiPriority w:val="99"/>
    <w:rPr>
      <w:rFonts w:ascii="Times New Roman" w:hAnsi="Times New Roman" w:eastAsia="宋体"/>
      <w:kern w:val="2"/>
      <w:sz w:val="21"/>
      <w:szCs w:val="24"/>
    </w:rPr>
  </w:style>
  <w:style w:type="character" w:customStyle="1" w:styleId="222">
    <w:name w:val="居中正文 Char"/>
    <w:link w:val="223"/>
    <w:autoRedefine/>
    <w:qFormat/>
    <w:uiPriority w:val="0"/>
    <w:rPr>
      <w:rFonts w:ascii="宋体"/>
      <w:kern w:val="28"/>
      <w:sz w:val="24"/>
    </w:rPr>
  </w:style>
  <w:style w:type="paragraph" w:customStyle="1" w:styleId="223">
    <w:name w:val="居中正文"/>
    <w:basedOn w:val="29"/>
    <w:link w:val="222"/>
    <w:autoRedefine/>
    <w:qFormat/>
    <w:uiPriority w:val="0"/>
    <w:pPr>
      <w:ind w:firstLine="0"/>
      <w:jc w:val="center"/>
    </w:pPr>
  </w:style>
  <w:style w:type="character" w:customStyle="1" w:styleId="224">
    <w:name w:val="Char Char1 Char"/>
    <w:autoRedefine/>
    <w:qFormat/>
    <w:uiPriority w:val="0"/>
    <w:rPr>
      <w:rFonts w:ascii="宋体" w:hAnsi="宋体" w:eastAsia="宋体" w:cs="宋体"/>
      <w:kern w:val="2"/>
      <w:sz w:val="24"/>
      <w:szCs w:val="24"/>
      <w:lang w:val="en-US" w:eastAsia="zh-CN" w:bidi="ar-SA"/>
    </w:rPr>
  </w:style>
  <w:style w:type="character" w:customStyle="1" w:styleId="225">
    <w:name w:val="报告正文 Char"/>
    <w:link w:val="226"/>
    <w:autoRedefine/>
    <w:qFormat/>
    <w:uiPriority w:val="0"/>
    <w:rPr>
      <w:snapToGrid/>
      <w:kern w:val="24"/>
      <w:sz w:val="24"/>
      <w:szCs w:val="21"/>
    </w:rPr>
  </w:style>
  <w:style w:type="paragraph" w:customStyle="1" w:styleId="226">
    <w:name w:val="报告正文"/>
    <w:basedOn w:val="1"/>
    <w:link w:val="225"/>
    <w:autoRedefine/>
    <w:qFormat/>
    <w:uiPriority w:val="0"/>
    <w:pPr>
      <w:adjustRightInd w:val="0"/>
      <w:spacing w:before="25" w:beforeLines="25" w:line="360" w:lineRule="auto"/>
      <w:ind w:firstLine="482"/>
      <w:textAlignment w:val="baseline"/>
    </w:pPr>
    <w:rPr>
      <w:kern w:val="24"/>
      <w:sz w:val="24"/>
    </w:rPr>
  </w:style>
  <w:style w:type="character" w:customStyle="1" w:styleId="227">
    <w:name w:val="4级（小）标题 Char"/>
    <w:link w:val="228"/>
    <w:autoRedefine/>
    <w:qFormat/>
    <w:uiPriority w:val="0"/>
    <w:rPr>
      <w:b/>
      <w:kern w:val="2"/>
      <w:sz w:val="24"/>
      <w:szCs w:val="24"/>
    </w:rPr>
  </w:style>
  <w:style w:type="paragraph" w:customStyle="1" w:styleId="228">
    <w:name w:val="4级（小）标题"/>
    <w:basedOn w:val="1"/>
    <w:link w:val="227"/>
    <w:autoRedefine/>
    <w:qFormat/>
    <w:uiPriority w:val="0"/>
    <w:pPr>
      <w:spacing w:before="60" w:line="360" w:lineRule="auto"/>
      <w:ind w:firstLine="150" w:firstLineChars="150"/>
      <w:outlineLvl w:val="3"/>
    </w:pPr>
    <w:rPr>
      <w:b/>
      <w:sz w:val="24"/>
    </w:rPr>
  </w:style>
  <w:style w:type="character" w:customStyle="1" w:styleId="229">
    <w:name w:val="apple-converted-space"/>
    <w:autoRedefine/>
    <w:qFormat/>
    <w:uiPriority w:val="0"/>
  </w:style>
  <w:style w:type="character" w:customStyle="1" w:styleId="230">
    <w:name w:val="表格 Char Char"/>
    <w:autoRedefine/>
    <w:qFormat/>
    <w:uiPriority w:val="0"/>
    <w:rPr>
      <w:rFonts w:ascii="宋体" w:hAnsi="宋体"/>
      <w:snapToGrid w:val="0"/>
      <w:sz w:val="21"/>
      <w:lang w:val="en-US" w:eastAsia="zh-CN" w:bidi="ar-SA"/>
    </w:rPr>
  </w:style>
  <w:style w:type="character" w:customStyle="1" w:styleId="231">
    <w:name w:val="t_tag"/>
    <w:autoRedefine/>
    <w:qFormat/>
    <w:uiPriority w:val="0"/>
  </w:style>
  <w:style w:type="character" w:customStyle="1" w:styleId="232">
    <w:name w:val="三级标题 Char"/>
    <w:autoRedefine/>
    <w:qFormat/>
    <w:uiPriority w:val="0"/>
    <w:rPr>
      <w:b/>
      <w:sz w:val="24"/>
      <w:lang w:bidi="ar-SA"/>
    </w:rPr>
  </w:style>
  <w:style w:type="character" w:customStyle="1" w:styleId="233">
    <w:name w:val="表标题... Char Char"/>
    <w:link w:val="234"/>
    <w:autoRedefine/>
    <w:qFormat/>
    <w:locked/>
    <w:uiPriority w:val="99"/>
    <w:rPr>
      <w:rFonts w:ascii="Arial" w:hAnsi="Arial"/>
      <w:b/>
      <w:color w:val="800080"/>
      <w:sz w:val="24"/>
    </w:rPr>
  </w:style>
  <w:style w:type="paragraph" w:customStyle="1" w:styleId="234">
    <w:name w:val="表标题..."/>
    <w:basedOn w:val="6"/>
    <w:link w:val="233"/>
    <w:autoRedefine/>
    <w:qFormat/>
    <w:uiPriority w:val="99"/>
    <w:pPr>
      <w:adjustRightInd/>
      <w:spacing w:before="0" w:after="0" w:line="440" w:lineRule="exact"/>
      <w:jc w:val="center"/>
      <w:textAlignment w:val="auto"/>
    </w:pPr>
    <w:rPr>
      <w:b/>
      <w:color w:val="800080"/>
      <w:kern w:val="0"/>
    </w:rPr>
  </w:style>
  <w:style w:type="character" w:customStyle="1" w:styleId="235">
    <w:name w:val="表 Char"/>
    <w:link w:val="236"/>
    <w:autoRedefine/>
    <w:qFormat/>
    <w:uiPriority w:val="0"/>
    <w:rPr>
      <w:rFonts w:ascii="宋体"/>
      <w:kern w:val="2"/>
      <w:sz w:val="24"/>
    </w:rPr>
  </w:style>
  <w:style w:type="paragraph" w:customStyle="1" w:styleId="236">
    <w:name w:val="表"/>
    <w:basedOn w:val="1"/>
    <w:next w:val="1"/>
    <w:link w:val="235"/>
    <w:autoRedefine/>
    <w:qFormat/>
    <w:uiPriority w:val="0"/>
    <w:pPr>
      <w:adjustRightInd w:val="0"/>
      <w:spacing w:line="400" w:lineRule="exact"/>
      <w:jc w:val="center"/>
    </w:pPr>
    <w:rPr>
      <w:rFonts w:ascii="宋体"/>
      <w:sz w:val="24"/>
      <w:szCs w:val="20"/>
    </w:rPr>
  </w:style>
  <w:style w:type="character" w:customStyle="1" w:styleId="237">
    <w:name w:val="题注1 Char"/>
    <w:link w:val="238"/>
    <w:autoRedefine/>
    <w:qFormat/>
    <w:uiPriority w:val="0"/>
    <w:rPr>
      <w:kern w:val="2"/>
      <w:sz w:val="24"/>
    </w:rPr>
  </w:style>
  <w:style w:type="paragraph" w:customStyle="1" w:styleId="238">
    <w:name w:val="表格标题"/>
    <w:basedOn w:val="239"/>
    <w:link w:val="237"/>
    <w:autoRedefine/>
    <w:qFormat/>
    <w:uiPriority w:val="0"/>
    <w:pPr>
      <w:spacing w:before="120"/>
    </w:pPr>
  </w:style>
  <w:style w:type="paragraph" w:customStyle="1" w:styleId="239">
    <w:name w:val="列表1"/>
    <w:basedOn w:val="1"/>
    <w:autoRedefine/>
    <w:qFormat/>
    <w:uiPriority w:val="0"/>
    <w:pPr>
      <w:spacing w:line="400" w:lineRule="exact"/>
      <w:jc w:val="center"/>
    </w:pPr>
    <w:rPr>
      <w:rFonts w:ascii="宋体" w:hAnsi="宋体" w:eastAsia="仿宋_GB2312"/>
      <w:sz w:val="24"/>
      <w:szCs w:val="20"/>
    </w:rPr>
  </w:style>
  <w:style w:type="paragraph" w:customStyle="1" w:styleId="240">
    <w:name w:val="应急正文"/>
    <w:basedOn w:val="1"/>
    <w:autoRedefine/>
    <w:qFormat/>
    <w:uiPriority w:val="0"/>
    <w:pPr>
      <w:ind w:firstLine="560"/>
    </w:pPr>
  </w:style>
  <w:style w:type="character" w:customStyle="1" w:styleId="241">
    <w:name w:val="题注 字符2"/>
    <w:autoRedefine/>
    <w:qFormat/>
    <w:locked/>
    <w:uiPriority w:val="0"/>
    <w:rPr>
      <w:rFonts w:ascii="Arial" w:hAnsi="Arial" w:eastAsia="黑体" w:cs="Arial"/>
      <w:kern w:val="2"/>
    </w:rPr>
  </w:style>
  <w:style w:type="character" w:customStyle="1" w:styleId="242">
    <w:name w:val="图表标题 Char Char"/>
    <w:autoRedefine/>
    <w:qFormat/>
    <w:locked/>
    <w:uiPriority w:val="99"/>
    <w:rPr>
      <w:b/>
      <w:sz w:val="24"/>
    </w:rPr>
  </w:style>
  <w:style w:type="character" w:customStyle="1" w:styleId="243">
    <w:name w:val="正文文本缩进 Char2"/>
    <w:autoRedefine/>
    <w:qFormat/>
    <w:uiPriority w:val="0"/>
    <w:rPr>
      <w:rFonts w:eastAsia="宋体"/>
      <w:sz w:val="24"/>
      <w:lang w:val="en-US" w:eastAsia="zh-CN" w:bidi="ar-SA"/>
    </w:rPr>
  </w:style>
  <w:style w:type="character" w:customStyle="1" w:styleId="244">
    <w:name w:val="正文001 Char1"/>
    <w:autoRedefine/>
    <w:qFormat/>
    <w:uiPriority w:val="0"/>
    <w:rPr>
      <w:rFonts w:ascii="Arial" w:hAnsi="Arial" w:cs="Arial"/>
      <w:kern w:val="2"/>
      <w:sz w:val="24"/>
    </w:rPr>
  </w:style>
  <w:style w:type="character" w:customStyle="1" w:styleId="245">
    <w:name w:val="标题 字符"/>
    <w:autoRedefine/>
    <w:qFormat/>
    <w:uiPriority w:val="0"/>
    <w:rPr>
      <w:rFonts w:ascii="等线 Light" w:hAnsi="等线 Light" w:cs="Times New Roman"/>
      <w:b/>
      <w:bCs/>
      <w:kern w:val="2"/>
      <w:sz w:val="32"/>
      <w:szCs w:val="32"/>
    </w:rPr>
  </w:style>
  <w:style w:type="character" w:customStyle="1" w:styleId="246">
    <w:name w:val="明显引用 字符2"/>
    <w:autoRedefine/>
    <w:qFormat/>
    <w:locked/>
    <w:uiPriority w:val="30"/>
    <w:rPr>
      <w:rFonts w:ascii="Calibri" w:hAnsi="Calibri" w:cs="Calibri"/>
      <w:i/>
      <w:iCs/>
      <w:color w:val="5B9BD5"/>
      <w:sz w:val="22"/>
      <w:szCs w:val="22"/>
    </w:rPr>
  </w:style>
  <w:style w:type="character" w:customStyle="1" w:styleId="247">
    <w:name w:val="正文文本缩进 2 字符"/>
    <w:autoRedefine/>
    <w:qFormat/>
    <w:uiPriority w:val="99"/>
    <w:rPr>
      <w:kern w:val="2"/>
      <w:sz w:val="21"/>
      <w:szCs w:val="24"/>
    </w:rPr>
  </w:style>
  <w:style w:type="character" w:customStyle="1" w:styleId="248">
    <w:name w:val="正文文本 3 字符2"/>
    <w:autoRedefine/>
    <w:qFormat/>
    <w:locked/>
    <w:uiPriority w:val="0"/>
    <w:rPr>
      <w:b/>
      <w:bCs/>
      <w:kern w:val="2"/>
      <w:sz w:val="24"/>
      <w:szCs w:val="24"/>
    </w:rPr>
  </w:style>
  <w:style w:type="character" w:customStyle="1" w:styleId="249">
    <w:name w:val="title1"/>
    <w:autoRedefine/>
    <w:qFormat/>
    <w:uiPriority w:val="0"/>
  </w:style>
  <w:style w:type="character" w:customStyle="1" w:styleId="250">
    <w:name w:val="HTML 预设格式 字符"/>
    <w:autoRedefine/>
    <w:qFormat/>
    <w:uiPriority w:val="99"/>
    <w:rPr>
      <w:rFonts w:ascii="Courier New" w:hAnsi="Courier New" w:cs="Courier New"/>
      <w:kern w:val="2"/>
    </w:rPr>
  </w:style>
  <w:style w:type="character" w:customStyle="1" w:styleId="251">
    <w:name w:val="正文文本 3 字符1"/>
    <w:autoRedefine/>
    <w:qFormat/>
    <w:uiPriority w:val="0"/>
    <w:rPr>
      <w:kern w:val="2"/>
      <w:sz w:val="18"/>
      <w:szCs w:val="24"/>
    </w:rPr>
  </w:style>
  <w:style w:type="character" w:customStyle="1" w:styleId="252">
    <w:name w:val="环评正文 Char Char"/>
    <w:autoRedefine/>
    <w:qFormat/>
    <w:uiPriority w:val="0"/>
    <w:rPr>
      <w:rFonts w:ascii="宋体" w:hAnsi="宋体" w:cs="宋体"/>
      <w:kern w:val="2"/>
      <w:sz w:val="24"/>
    </w:rPr>
  </w:style>
  <w:style w:type="character" w:customStyle="1" w:styleId="253">
    <w:name w:val="批注文字 字符1"/>
    <w:autoRedefine/>
    <w:qFormat/>
    <w:uiPriority w:val="0"/>
    <w:rPr>
      <w:rFonts w:ascii="Times New Roman" w:hAnsi="Times New Roman" w:eastAsia="宋体"/>
      <w:sz w:val="24"/>
    </w:rPr>
  </w:style>
  <w:style w:type="character" w:customStyle="1" w:styleId="254">
    <w:name w:val="1 Char Char"/>
    <w:autoRedefine/>
    <w:qFormat/>
    <w:locked/>
    <w:uiPriority w:val="99"/>
    <w:rPr>
      <w:rFonts w:ascii="宋体" w:hAnsi="Courier New" w:eastAsia="宋体"/>
      <w:sz w:val="21"/>
    </w:rPr>
  </w:style>
  <w:style w:type="character" w:customStyle="1" w:styleId="255">
    <w:name w:val="正文01 Char Char Char"/>
    <w:link w:val="256"/>
    <w:autoRedefine/>
    <w:qFormat/>
    <w:uiPriority w:val="0"/>
    <w:rPr>
      <w:kern w:val="2"/>
      <w:sz w:val="24"/>
    </w:rPr>
  </w:style>
  <w:style w:type="paragraph" w:customStyle="1" w:styleId="256">
    <w:name w:val="正文01 Char Char"/>
    <w:basedOn w:val="1"/>
    <w:link w:val="255"/>
    <w:autoRedefine/>
    <w:qFormat/>
    <w:uiPriority w:val="0"/>
    <w:pPr>
      <w:spacing w:before="60" w:line="460" w:lineRule="exact"/>
      <w:ind w:firstLine="200" w:firstLineChars="200"/>
    </w:pPr>
    <w:rPr>
      <w:sz w:val="24"/>
      <w:szCs w:val="20"/>
    </w:rPr>
  </w:style>
  <w:style w:type="character" w:customStyle="1" w:styleId="257">
    <w:name w:val="标题 3 字符"/>
    <w:autoRedefine/>
    <w:qFormat/>
    <w:uiPriority w:val="0"/>
    <w:rPr>
      <w:b/>
      <w:bCs/>
      <w:kern w:val="2"/>
      <w:sz w:val="32"/>
      <w:szCs w:val="32"/>
    </w:rPr>
  </w:style>
  <w:style w:type="character" w:customStyle="1" w:styleId="258">
    <w:name w:val="标题11"/>
    <w:autoRedefine/>
    <w:qFormat/>
    <w:uiPriority w:val="0"/>
    <w:rPr>
      <w:rFonts w:cs="Times New Roman"/>
    </w:rPr>
  </w:style>
  <w:style w:type="character" w:customStyle="1" w:styleId="259">
    <w:name w:val="标题 9 字符"/>
    <w:autoRedefine/>
    <w:semiHidden/>
    <w:qFormat/>
    <w:uiPriority w:val="9"/>
    <w:rPr>
      <w:rFonts w:ascii="等线 Light" w:hAnsi="等线 Light" w:eastAsia="等线 Light" w:cs="Times New Roman"/>
      <w:kern w:val="2"/>
      <w:sz w:val="21"/>
      <w:szCs w:val="21"/>
    </w:rPr>
  </w:style>
  <w:style w:type="character" w:customStyle="1" w:styleId="260">
    <w:name w:val="正文首行缩进 字符"/>
    <w:autoRedefine/>
    <w:qFormat/>
    <w:uiPriority w:val="99"/>
    <w:rPr>
      <w:kern w:val="2"/>
      <w:sz w:val="21"/>
      <w:szCs w:val="24"/>
    </w:rPr>
  </w:style>
  <w:style w:type="character" w:customStyle="1" w:styleId="261">
    <w:name w:val="f11"/>
    <w:autoRedefine/>
    <w:qFormat/>
    <w:uiPriority w:val="0"/>
    <w:rPr>
      <w:sz w:val="20"/>
      <w:szCs w:val="20"/>
    </w:rPr>
  </w:style>
  <w:style w:type="character" w:customStyle="1" w:styleId="262">
    <w:name w:val="style1141"/>
    <w:autoRedefine/>
    <w:qFormat/>
    <w:uiPriority w:val="0"/>
    <w:rPr>
      <w:rFonts w:hint="default" w:ascii="Arial" w:hAnsi="Arial" w:cs="Arial"/>
      <w:color w:val="000000"/>
      <w:sz w:val="18"/>
      <w:szCs w:val="18"/>
    </w:rPr>
  </w:style>
  <w:style w:type="character" w:customStyle="1" w:styleId="263">
    <w:name w:val="_Style 258"/>
    <w:autoRedefine/>
    <w:qFormat/>
    <w:uiPriority w:val="31"/>
    <w:rPr>
      <w:smallCaps/>
      <w:color w:val="404040"/>
    </w:rPr>
  </w:style>
  <w:style w:type="character" w:customStyle="1" w:styleId="264">
    <w:name w:val="trends"/>
    <w:autoRedefine/>
    <w:qFormat/>
    <w:uiPriority w:val="99"/>
    <w:rPr>
      <w:color w:val="25B462"/>
      <w:sz w:val="14"/>
    </w:rPr>
  </w:style>
  <w:style w:type="character" w:customStyle="1" w:styleId="265">
    <w:name w:val="引用 字符3"/>
    <w:link w:val="266"/>
    <w:autoRedefine/>
    <w:qFormat/>
    <w:uiPriority w:val="0"/>
    <w:rPr>
      <w:rFonts w:ascii="Cambria" w:hAnsi="Cambria"/>
      <w:i/>
      <w:iCs/>
      <w:color w:val="5A5A5A"/>
      <w:kern w:val="2"/>
      <w:sz w:val="21"/>
      <w:szCs w:val="21"/>
    </w:rPr>
  </w:style>
  <w:style w:type="paragraph" w:styleId="266">
    <w:name w:val="Quote"/>
    <w:basedOn w:val="1"/>
    <w:next w:val="1"/>
    <w:link w:val="265"/>
    <w:autoRedefine/>
    <w:qFormat/>
    <w:uiPriority w:val="0"/>
    <w:pPr>
      <w:spacing w:before="240" w:after="120" w:line="360" w:lineRule="exact"/>
    </w:pPr>
    <w:rPr>
      <w:rFonts w:ascii="Cambria" w:hAnsi="Cambria"/>
      <w:i/>
      <w:iCs/>
      <w:color w:val="5A5A5A"/>
    </w:rPr>
  </w:style>
  <w:style w:type="character" w:customStyle="1" w:styleId="267">
    <w:name w:val="环评正文 Char"/>
    <w:link w:val="268"/>
    <w:autoRedefine/>
    <w:qFormat/>
    <w:uiPriority w:val="0"/>
    <w:rPr>
      <w:rFonts w:ascii="宋体" w:hAnsi="宋体" w:cs="宋体"/>
      <w:kern w:val="2"/>
      <w:sz w:val="24"/>
      <w:szCs w:val="24"/>
    </w:rPr>
  </w:style>
  <w:style w:type="paragraph" w:customStyle="1" w:styleId="268">
    <w:name w:val="环评正文"/>
    <w:basedOn w:val="1"/>
    <w:link w:val="267"/>
    <w:autoRedefine/>
    <w:qFormat/>
    <w:uiPriority w:val="0"/>
    <w:pPr>
      <w:spacing w:line="360" w:lineRule="auto"/>
    </w:pPr>
    <w:rPr>
      <w:rFonts w:ascii="宋体" w:hAnsi="宋体"/>
      <w:sz w:val="24"/>
    </w:rPr>
  </w:style>
  <w:style w:type="character" w:customStyle="1" w:styleId="269">
    <w:name w:val="正文00000 Char Char"/>
    <w:link w:val="270"/>
    <w:autoRedefine/>
    <w:qFormat/>
    <w:locked/>
    <w:uiPriority w:val="99"/>
    <w:rPr>
      <w:sz w:val="24"/>
    </w:rPr>
  </w:style>
  <w:style w:type="paragraph" w:customStyle="1" w:styleId="270">
    <w:name w:val="正文00000"/>
    <w:basedOn w:val="1"/>
    <w:link w:val="269"/>
    <w:autoRedefine/>
    <w:qFormat/>
    <w:uiPriority w:val="99"/>
    <w:pPr>
      <w:adjustRightInd w:val="0"/>
      <w:snapToGrid w:val="0"/>
      <w:spacing w:line="440" w:lineRule="atLeast"/>
      <w:ind w:firstLine="482"/>
    </w:pPr>
    <w:rPr>
      <w:kern w:val="0"/>
      <w:sz w:val="24"/>
      <w:szCs w:val="20"/>
    </w:rPr>
  </w:style>
  <w:style w:type="character" w:customStyle="1" w:styleId="271">
    <w:name w:val="1 Char"/>
    <w:autoRedefine/>
    <w:qFormat/>
    <w:uiPriority w:val="0"/>
    <w:rPr>
      <w:rFonts w:eastAsia="宋体"/>
      <w:b/>
      <w:bCs/>
      <w:kern w:val="44"/>
      <w:sz w:val="32"/>
      <w:szCs w:val="44"/>
      <w:lang w:val="en-US" w:eastAsia="zh-CN" w:bidi="ar-SA"/>
    </w:rPr>
  </w:style>
  <w:style w:type="character" w:customStyle="1" w:styleId="272">
    <w:name w:val="标题 7 字符"/>
    <w:autoRedefine/>
    <w:semiHidden/>
    <w:qFormat/>
    <w:uiPriority w:val="9"/>
    <w:rPr>
      <w:b/>
      <w:bCs/>
      <w:kern w:val="2"/>
      <w:sz w:val="24"/>
      <w:szCs w:val="24"/>
    </w:rPr>
  </w:style>
  <w:style w:type="character" w:customStyle="1" w:styleId="273">
    <w:name w:val="二级标题 Char Char"/>
    <w:link w:val="274"/>
    <w:autoRedefine/>
    <w:qFormat/>
    <w:uiPriority w:val="0"/>
    <w:rPr>
      <w:b/>
      <w:kern w:val="2"/>
      <w:sz w:val="28"/>
    </w:rPr>
  </w:style>
  <w:style w:type="paragraph" w:customStyle="1" w:styleId="274">
    <w:name w:val="二级标题"/>
    <w:basedOn w:val="1"/>
    <w:link w:val="273"/>
    <w:autoRedefine/>
    <w:qFormat/>
    <w:uiPriority w:val="0"/>
    <w:pPr>
      <w:spacing w:before="60" w:line="460" w:lineRule="exact"/>
      <w:outlineLvl w:val="1"/>
    </w:pPr>
    <w:rPr>
      <w:b/>
      <w:sz w:val="28"/>
      <w:szCs w:val="20"/>
    </w:rPr>
  </w:style>
  <w:style w:type="character" w:customStyle="1" w:styleId="275">
    <w:name w:val="line1"/>
    <w:autoRedefine/>
    <w:qFormat/>
    <w:uiPriority w:val="0"/>
    <w:rPr>
      <w:sz w:val="18"/>
      <w:szCs w:val="18"/>
    </w:rPr>
  </w:style>
  <w:style w:type="character" w:customStyle="1" w:styleId="276">
    <w:name w:val="表格 Char"/>
    <w:link w:val="277"/>
    <w:autoRedefine/>
    <w:qFormat/>
    <w:locked/>
    <w:uiPriority w:val="0"/>
    <w:rPr>
      <w:rFonts w:ascii="宋体"/>
      <w:sz w:val="21"/>
    </w:rPr>
  </w:style>
  <w:style w:type="paragraph" w:customStyle="1" w:styleId="277">
    <w:name w:val="表格"/>
    <w:basedOn w:val="157"/>
    <w:next w:val="1"/>
    <w:link w:val="276"/>
    <w:autoRedefine/>
    <w:qFormat/>
    <w:uiPriority w:val="0"/>
    <w:pPr>
      <w:adjustRightInd w:val="0"/>
      <w:snapToGrid w:val="0"/>
      <w:spacing w:beforeLines="10" w:afterLines="10" w:line="259" w:lineRule="auto"/>
    </w:pPr>
    <w:rPr>
      <w:rFonts w:ascii="宋体"/>
      <w:kern w:val="0"/>
    </w:rPr>
  </w:style>
  <w:style w:type="character" w:customStyle="1" w:styleId="278">
    <w:name w:val="文档结构图 字符2"/>
    <w:autoRedefine/>
    <w:semiHidden/>
    <w:qFormat/>
    <w:locked/>
    <w:uiPriority w:val="0"/>
    <w:rPr>
      <w:kern w:val="2"/>
      <w:sz w:val="21"/>
      <w:szCs w:val="24"/>
      <w:shd w:val="clear" w:color="auto" w:fill="000080"/>
    </w:rPr>
  </w:style>
  <w:style w:type="character" w:customStyle="1" w:styleId="279">
    <w:name w:val="style48"/>
    <w:autoRedefine/>
    <w:qFormat/>
    <w:uiPriority w:val="0"/>
  </w:style>
  <w:style w:type="character" w:customStyle="1" w:styleId="280">
    <w:name w:val="样式1 Char"/>
    <w:link w:val="281"/>
    <w:autoRedefine/>
    <w:qFormat/>
    <w:uiPriority w:val="0"/>
    <w:rPr>
      <w:rFonts w:ascii="宋体" w:hAnsi="宋体" w:cs="宋体"/>
      <w:kern w:val="2"/>
      <w:sz w:val="24"/>
    </w:rPr>
  </w:style>
  <w:style w:type="paragraph" w:customStyle="1" w:styleId="281">
    <w:name w:val="样式1"/>
    <w:basedOn w:val="1"/>
    <w:link w:val="280"/>
    <w:autoRedefine/>
    <w:qFormat/>
    <w:uiPriority w:val="0"/>
    <w:pPr>
      <w:spacing w:line="360" w:lineRule="auto"/>
      <w:ind w:firstLine="510"/>
    </w:pPr>
    <w:rPr>
      <w:rFonts w:ascii="宋体" w:hAnsi="宋体"/>
      <w:sz w:val="24"/>
      <w:szCs w:val="20"/>
    </w:rPr>
  </w:style>
  <w:style w:type="character" w:customStyle="1" w:styleId="282">
    <w:name w:val="页眉 Char1"/>
    <w:autoRedefine/>
    <w:qFormat/>
    <w:uiPriority w:val="99"/>
    <w:rPr>
      <w:kern w:val="2"/>
      <w:sz w:val="18"/>
      <w:szCs w:val="18"/>
    </w:rPr>
  </w:style>
  <w:style w:type="character" w:customStyle="1" w:styleId="283">
    <w:name w:val="正文缩进 字符"/>
    <w:autoRedefine/>
    <w:qFormat/>
    <w:uiPriority w:val="0"/>
    <w:rPr>
      <w:rFonts w:eastAsia="宋体"/>
    </w:rPr>
  </w:style>
  <w:style w:type="character" w:customStyle="1" w:styleId="284">
    <w:name w:val="样式 标题 3标题 3 Char标题 一小节标题头条标题1.1.1小标题3h33rd levelH3l3... Char Char"/>
    <w:link w:val="285"/>
    <w:autoRedefine/>
    <w:qFormat/>
    <w:locked/>
    <w:uiPriority w:val="99"/>
    <w:rPr>
      <w:b/>
      <w:color w:val="0099FF"/>
      <w:sz w:val="24"/>
    </w:rPr>
  </w:style>
  <w:style w:type="paragraph" w:customStyle="1" w:styleId="285">
    <w:name w:val="样式 标题 3标题 3 Char标题 一小节标题头条标题1.1.1小标题3h33rd levelH3l3..."/>
    <w:basedOn w:val="2"/>
    <w:next w:val="134"/>
    <w:link w:val="284"/>
    <w:autoRedefine/>
    <w:qFormat/>
    <w:uiPriority w:val="99"/>
    <w:pPr>
      <w:keepLines w:val="0"/>
      <w:spacing w:before="0" w:after="0" w:line="460" w:lineRule="exact"/>
    </w:pPr>
    <w:rPr>
      <w:bCs w:val="0"/>
      <w:color w:val="0099FF"/>
      <w:kern w:val="0"/>
      <w:sz w:val="24"/>
      <w:szCs w:val="20"/>
    </w:rPr>
  </w:style>
  <w:style w:type="character" w:customStyle="1" w:styleId="286">
    <w:name w:val="页脚 字符"/>
    <w:autoRedefine/>
    <w:qFormat/>
    <w:uiPriority w:val="0"/>
  </w:style>
  <w:style w:type="character" w:customStyle="1" w:styleId="287">
    <w:name w:val="Char Char Char Char Char"/>
    <w:autoRedefine/>
    <w:qFormat/>
    <w:uiPriority w:val="0"/>
    <w:rPr>
      <w:rFonts w:ascii="Times New Roman" w:hAnsi="Times New Roman"/>
      <w:kern w:val="2"/>
      <w:sz w:val="24"/>
      <w:szCs w:val="24"/>
    </w:rPr>
  </w:style>
  <w:style w:type="character" w:customStyle="1" w:styleId="288">
    <w:name w:val="wz1"/>
    <w:autoRedefine/>
    <w:qFormat/>
    <w:uiPriority w:val="0"/>
    <w:rPr>
      <w:rFonts w:hint="default" w:ascii="_x000B__x000C_" w:hAnsi="_x000B__x000C_"/>
      <w:sz w:val="18"/>
      <w:szCs w:val="18"/>
    </w:rPr>
  </w:style>
  <w:style w:type="character" w:customStyle="1" w:styleId="289">
    <w:name w:val="fontstyle21"/>
    <w:autoRedefine/>
    <w:qFormat/>
    <w:uiPriority w:val="0"/>
    <w:rPr>
      <w:rFonts w:hint="default" w:ascii="Times New Roman" w:hAnsi="Times New Roman" w:cs="Times New Roman"/>
      <w:color w:val="000000"/>
      <w:sz w:val="24"/>
      <w:szCs w:val="24"/>
    </w:rPr>
  </w:style>
  <w:style w:type="character" w:customStyle="1" w:styleId="290">
    <w:name w:val="style14"/>
    <w:autoRedefine/>
    <w:qFormat/>
    <w:uiPriority w:val="0"/>
  </w:style>
  <w:style w:type="character" w:customStyle="1" w:styleId="291">
    <w:name w:val="标题 字符1"/>
    <w:autoRedefine/>
    <w:qFormat/>
    <w:uiPriority w:val="0"/>
    <w:rPr>
      <w:rFonts w:ascii="等线 Light" w:hAnsi="等线 Light" w:cs="Times New Roman"/>
      <w:b/>
      <w:bCs/>
      <w:kern w:val="2"/>
      <w:sz w:val="32"/>
      <w:szCs w:val="32"/>
    </w:rPr>
  </w:style>
  <w:style w:type="character" w:customStyle="1" w:styleId="292">
    <w:name w:val="日期 字符1"/>
    <w:autoRedefine/>
    <w:qFormat/>
    <w:uiPriority w:val="0"/>
    <w:rPr>
      <w:rFonts w:ascii="宋体" w:hAnsi="宋体" w:eastAsia="宋体" w:cs="Times New Roman"/>
      <w:b/>
      <w:bCs/>
      <w:sz w:val="28"/>
      <w:szCs w:val="24"/>
      <w:lang w:val="en-US" w:eastAsia="zh-CN"/>
    </w:rPr>
  </w:style>
  <w:style w:type="character" w:customStyle="1" w:styleId="293">
    <w:name w:val="fontstyle11"/>
    <w:autoRedefine/>
    <w:qFormat/>
    <w:uiPriority w:val="0"/>
    <w:rPr>
      <w:rFonts w:hint="default" w:ascii="Times New Roman" w:hAnsi="Times New Roman" w:cs="Times New Roman"/>
      <w:color w:val="000000"/>
      <w:sz w:val="24"/>
      <w:szCs w:val="24"/>
    </w:rPr>
  </w:style>
  <w:style w:type="character" w:customStyle="1" w:styleId="294">
    <w:name w:val="三级标题 Char2"/>
    <w:link w:val="295"/>
    <w:autoRedefine/>
    <w:qFormat/>
    <w:uiPriority w:val="0"/>
    <w:rPr>
      <w:b/>
      <w:kern w:val="2"/>
      <w:sz w:val="24"/>
    </w:rPr>
  </w:style>
  <w:style w:type="paragraph" w:customStyle="1" w:styleId="295">
    <w:name w:val="三级标题"/>
    <w:basedOn w:val="1"/>
    <w:link w:val="294"/>
    <w:autoRedefine/>
    <w:qFormat/>
    <w:uiPriority w:val="0"/>
    <w:pPr>
      <w:spacing w:before="300" w:line="460" w:lineRule="exact"/>
      <w:outlineLvl w:val="2"/>
    </w:pPr>
    <w:rPr>
      <w:b/>
      <w:sz w:val="24"/>
      <w:szCs w:val="20"/>
    </w:rPr>
  </w:style>
  <w:style w:type="character" w:customStyle="1" w:styleId="296">
    <w:name w:val="HTML 预设格式 Char1"/>
    <w:autoRedefine/>
    <w:semiHidden/>
    <w:qFormat/>
    <w:uiPriority w:val="99"/>
    <w:rPr>
      <w:rFonts w:ascii="Courier New" w:hAnsi="Courier New" w:eastAsia="宋体" w:cs="Courier New"/>
      <w:sz w:val="20"/>
      <w:szCs w:val="20"/>
    </w:rPr>
  </w:style>
  <w:style w:type="character" w:customStyle="1" w:styleId="297">
    <w:name w:val="my Char"/>
    <w:link w:val="298"/>
    <w:autoRedefine/>
    <w:qFormat/>
    <w:uiPriority w:val="0"/>
    <w:rPr>
      <w:sz w:val="24"/>
      <w:szCs w:val="24"/>
      <w:lang w:bidi="ar-SA"/>
    </w:rPr>
  </w:style>
  <w:style w:type="paragraph" w:customStyle="1" w:styleId="298">
    <w:name w:val="my"/>
    <w:link w:val="297"/>
    <w:autoRedefine/>
    <w:qFormat/>
    <w:uiPriority w:val="0"/>
    <w:pPr>
      <w:widowControl w:val="0"/>
      <w:spacing w:before="60" w:line="460" w:lineRule="exact"/>
      <w:ind w:firstLine="200" w:firstLineChars="200"/>
    </w:pPr>
    <w:rPr>
      <w:rFonts w:ascii="Times New Roman" w:hAnsi="Times New Roman" w:eastAsia="宋体" w:cs="Times New Roman"/>
      <w:sz w:val="24"/>
      <w:szCs w:val="24"/>
      <w:lang w:val="en-US" w:eastAsia="zh-CN" w:bidi="ar-SA"/>
    </w:rPr>
  </w:style>
  <w:style w:type="character" w:customStyle="1" w:styleId="299">
    <w:name w:val="题注（图、表） Char"/>
    <w:link w:val="300"/>
    <w:autoRedefine/>
    <w:qFormat/>
    <w:uiPriority w:val="0"/>
    <w:rPr>
      <w:rFonts w:ascii="Arial" w:hAnsi="Arial" w:eastAsia="黑体" w:cs="宋体"/>
      <w:kern w:val="2"/>
    </w:rPr>
  </w:style>
  <w:style w:type="paragraph" w:customStyle="1" w:styleId="300">
    <w:name w:val="题注（图、表）"/>
    <w:basedOn w:val="1"/>
    <w:link w:val="299"/>
    <w:autoRedefine/>
    <w:qFormat/>
    <w:uiPriority w:val="0"/>
    <w:pPr>
      <w:adjustRightInd w:val="0"/>
      <w:snapToGrid w:val="0"/>
      <w:spacing w:before="160" w:after="156" w:line="400" w:lineRule="exact"/>
      <w:jc w:val="center"/>
    </w:pPr>
    <w:rPr>
      <w:rFonts w:ascii="Arial" w:hAnsi="Arial" w:eastAsia="黑体"/>
      <w:sz w:val="20"/>
      <w:szCs w:val="20"/>
    </w:rPr>
  </w:style>
  <w:style w:type="character" w:customStyle="1" w:styleId="301">
    <w:name w:val="标题 5 字符1"/>
    <w:autoRedefine/>
    <w:semiHidden/>
    <w:qFormat/>
    <w:locked/>
    <w:uiPriority w:val="9"/>
    <w:rPr>
      <w:rFonts w:ascii="Calibri Light" w:hAnsi="Calibri Light"/>
      <w:color w:val="2E74B5"/>
      <w:sz w:val="22"/>
      <w:szCs w:val="22"/>
    </w:rPr>
  </w:style>
  <w:style w:type="character" w:customStyle="1" w:styleId="302">
    <w:name w:val="正文文本 2 Char1"/>
    <w:autoRedefine/>
    <w:qFormat/>
    <w:uiPriority w:val="0"/>
    <w:rPr>
      <w:sz w:val="24"/>
    </w:rPr>
  </w:style>
  <w:style w:type="character" w:customStyle="1" w:styleId="303">
    <w:name w:val="纯文本 字符"/>
    <w:autoRedefine/>
    <w:qFormat/>
    <w:uiPriority w:val="0"/>
    <w:rPr>
      <w:rFonts w:ascii="宋体" w:hAnsi="Courier New" w:cs="Courier New"/>
      <w:kern w:val="2"/>
      <w:sz w:val="21"/>
      <w:szCs w:val="21"/>
    </w:rPr>
  </w:style>
  <w:style w:type="character" w:customStyle="1" w:styleId="304">
    <w:name w:val="articlecontent"/>
    <w:autoRedefine/>
    <w:qFormat/>
    <w:uiPriority w:val="0"/>
  </w:style>
  <w:style w:type="character" w:customStyle="1" w:styleId="305">
    <w:name w:val="第二层条 Char1"/>
    <w:autoRedefine/>
    <w:qFormat/>
    <w:uiPriority w:val="0"/>
    <w:rPr>
      <w:rFonts w:eastAsia="宋体"/>
      <w:b/>
      <w:bCs/>
      <w:kern w:val="2"/>
      <w:sz w:val="24"/>
      <w:szCs w:val="24"/>
      <w:lang w:val="en-US" w:eastAsia="zh-CN" w:bidi="ar-SA"/>
    </w:rPr>
  </w:style>
  <w:style w:type="character" w:customStyle="1" w:styleId="306">
    <w:name w:val="正文文本 字符1"/>
    <w:autoRedefine/>
    <w:qFormat/>
    <w:uiPriority w:val="0"/>
    <w:rPr>
      <w:rFonts w:ascii="Times New Roman" w:hAnsi="Times New Roman" w:eastAsia="宋体"/>
      <w:sz w:val="24"/>
    </w:rPr>
  </w:style>
  <w:style w:type="character" w:customStyle="1" w:styleId="307">
    <w:name w:val="正文01 Char2"/>
    <w:autoRedefine/>
    <w:qFormat/>
    <w:uiPriority w:val="0"/>
    <w:rPr>
      <w:rFonts w:ascii="Calibri" w:hAnsi="Calibri" w:eastAsia="宋体"/>
      <w:snapToGrid w:val="0"/>
      <w:sz w:val="24"/>
      <w:szCs w:val="24"/>
      <w:lang w:val="en-US" w:eastAsia="en-US" w:bidi="en-US"/>
    </w:rPr>
  </w:style>
  <w:style w:type="character" w:customStyle="1" w:styleId="308">
    <w:name w:val="description"/>
    <w:autoRedefine/>
    <w:qFormat/>
    <w:uiPriority w:val="0"/>
  </w:style>
  <w:style w:type="character" w:customStyle="1" w:styleId="309">
    <w:name w:val="duan1"/>
    <w:autoRedefine/>
    <w:qFormat/>
    <w:uiPriority w:val="0"/>
    <w:rPr>
      <w:sz w:val="20"/>
      <w:szCs w:val="20"/>
      <w:u w:val="none"/>
    </w:rPr>
  </w:style>
  <w:style w:type="character" w:customStyle="1" w:styleId="310">
    <w:name w:val="表格文字 Char Char Char"/>
    <w:autoRedefine/>
    <w:qFormat/>
    <w:uiPriority w:val="0"/>
    <w:rPr>
      <w:rFonts w:eastAsia="宋体"/>
      <w:kern w:val="2"/>
      <w:sz w:val="21"/>
      <w:szCs w:val="21"/>
      <w:lang w:val="en-US" w:eastAsia="zh-CN" w:bidi="ar-SA"/>
    </w:rPr>
  </w:style>
  <w:style w:type="character" w:customStyle="1" w:styleId="311">
    <w:name w:val="列表段落 字符"/>
    <w:link w:val="312"/>
    <w:autoRedefine/>
    <w:qFormat/>
    <w:uiPriority w:val="34"/>
    <w:rPr>
      <w:kern w:val="2"/>
      <w:sz w:val="21"/>
      <w:szCs w:val="24"/>
    </w:rPr>
  </w:style>
  <w:style w:type="paragraph" w:styleId="312">
    <w:name w:val="List Paragraph"/>
    <w:basedOn w:val="1"/>
    <w:link w:val="311"/>
    <w:autoRedefine/>
    <w:qFormat/>
    <w:uiPriority w:val="34"/>
    <w:pPr>
      <w:ind w:firstLine="420" w:firstLineChars="200"/>
    </w:pPr>
  </w:style>
  <w:style w:type="character" w:customStyle="1" w:styleId="313">
    <w:name w:val="title31"/>
    <w:autoRedefine/>
    <w:qFormat/>
    <w:uiPriority w:val="0"/>
    <w:rPr>
      <w:rFonts w:hint="eastAsia" w:ascii="宋体" w:hAnsi="宋体" w:eastAsia="宋体"/>
      <w:color w:val="000000"/>
      <w:sz w:val="23"/>
      <w:szCs w:val="23"/>
    </w:rPr>
  </w:style>
  <w:style w:type="character" w:customStyle="1" w:styleId="314">
    <w:name w:val="表格数字 Char"/>
    <w:link w:val="315"/>
    <w:autoRedefine/>
    <w:qFormat/>
    <w:uiPriority w:val="0"/>
    <w:rPr>
      <w:rFonts w:ascii="Arial" w:hAnsi="Arial" w:cs="宋体"/>
      <w:sz w:val="21"/>
    </w:rPr>
  </w:style>
  <w:style w:type="paragraph" w:customStyle="1" w:styleId="315">
    <w:name w:val="表格数字"/>
    <w:basedOn w:val="1"/>
    <w:link w:val="314"/>
    <w:autoRedefine/>
    <w:qFormat/>
    <w:uiPriority w:val="0"/>
    <w:pPr>
      <w:spacing w:line="360" w:lineRule="exact"/>
      <w:jc w:val="center"/>
    </w:pPr>
    <w:rPr>
      <w:rFonts w:ascii="Arial" w:hAnsi="Arial"/>
      <w:kern w:val="0"/>
      <w:szCs w:val="20"/>
    </w:rPr>
  </w:style>
  <w:style w:type="character" w:customStyle="1" w:styleId="316">
    <w:name w:val="defaultfont1"/>
    <w:autoRedefine/>
    <w:qFormat/>
    <w:uiPriority w:val="0"/>
  </w:style>
  <w:style w:type="character" w:customStyle="1" w:styleId="317">
    <w:name w:val="正文文本缩进 2 字符2"/>
    <w:autoRedefine/>
    <w:qFormat/>
    <w:locked/>
    <w:uiPriority w:val="0"/>
    <w:rPr>
      <w:kern w:val="2"/>
      <w:sz w:val="24"/>
      <w:szCs w:val="24"/>
    </w:rPr>
  </w:style>
  <w:style w:type="character" w:customStyle="1" w:styleId="318">
    <w:name w:val="font01"/>
    <w:autoRedefine/>
    <w:qFormat/>
    <w:uiPriority w:val="99"/>
    <w:rPr>
      <w:rFonts w:ascii="宋体" w:hAnsi="宋体" w:eastAsia="宋体"/>
      <w:color w:val="000000"/>
      <w:sz w:val="24"/>
      <w:u w:val="none"/>
    </w:rPr>
  </w:style>
  <w:style w:type="character" w:customStyle="1" w:styleId="319">
    <w:name w:val="content"/>
    <w:autoRedefine/>
    <w:qFormat/>
    <w:uiPriority w:val="0"/>
    <w:rPr>
      <w:color w:val="000000"/>
      <w:sz w:val="21"/>
      <w:szCs w:val="21"/>
    </w:rPr>
  </w:style>
  <w:style w:type="character" w:customStyle="1" w:styleId="320">
    <w:name w:val="纯文本 Char1"/>
    <w:autoRedefine/>
    <w:qFormat/>
    <w:uiPriority w:val="0"/>
    <w:rPr>
      <w:rFonts w:ascii="宋体" w:hAnsi="Courier New"/>
      <w:kern w:val="2"/>
      <w:sz w:val="21"/>
    </w:rPr>
  </w:style>
  <w:style w:type="character" w:customStyle="1" w:styleId="321">
    <w:name w:val="postbody1"/>
    <w:autoRedefine/>
    <w:qFormat/>
    <w:uiPriority w:val="0"/>
    <w:rPr>
      <w:sz w:val="18"/>
      <w:szCs w:val="18"/>
    </w:rPr>
  </w:style>
  <w:style w:type="character" w:customStyle="1" w:styleId="322">
    <w:name w:val="正文首行缩进 2 + Times New Roman Char"/>
    <w:link w:val="323"/>
    <w:autoRedefine/>
    <w:qFormat/>
    <w:locked/>
    <w:uiPriority w:val="0"/>
    <w:rPr>
      <w:sz w:val="24"/>
      <w:szCs w:val="24"/>
    </w:rPr>
  </w:style>
  <w:style w:type="paragraph" w:customStyle="1" w:styleId="323">
    <w:name w:val="正文首行缩进 2 + Times New Roman"/>
    <w:basedOn w:val="1"/>
    <w:link w:val="322"/>
    <w:autoRedefine/>
    <w:qFormat/>
    <w:uiPriority w:val="0"/>
    <w:pPr>
      <w:tabs>
        <w:tab w:val="left" w:pos="0"/>
        <w:tab w:val="left" w:pos="870"/>
        <w:tab w:val="left" w:pos="3150"/>
      </w:tabs>
      <w:autoSpaceDE w:val="0"/>
      <w:autoSpaceDN w:val="0"/>
      <w:adjustRightInd w:val="0"/>
      <w:snapToGrid w:val="0"/>
      <w:spacing w:line="480" w:lineRule="exact"/>
      <w:ind w:firstLine="480" w:firstLineChars="200"/>
    </w:pPr>
    <w:rPr>
      <w:kern w:val="0"/>
      <w:sz w:val="24"/>
    </w:rPr>
  </w:style>
  <w:style w:type="character" w:customStyle="1" w:styleId="324">
    <w:name w:val="A2"/>
    <w:autoRedefine/>
    <w:semiHidden/>
    <w:qFormat/>
    <w:uiPriority w:val="0"/>
    <w:rPr>
      <w:color w:val="000000"/>
    </w:rPr>
  </w:style>
  <w:style w:type="character" w:customStyle="1" w:styleId="325">
    <w:name w:val="3级标题 Char"/>
    <w:link w:val="326"/>
    <w:autoRedefine/>
    <w:qFormat/>
    <w:uiPriority w:val="0"/>
    <w:rPr>
      <w:rFonts w:ascii="Arial" w:hAnsi="Arial"/>
      <w:b/>
      <w:kern w:val="2"/>
      <w:sz w:val="24"/>
    </w:rPr>
  </w:style>
  <w:style w:type="paragraph" w:customStyle="1" w:styleId="326">
    <w:name w:val="3级标题"/>
    <w:basedOn w:val="1"/>
    <w:link w:val="325"/>
    <w:autoRedefine/>
    <w:qFormat/>
    <w:uiPriority w:val="0"/>
    <w:pPr>
      <w:spacing w:before="300" w:line="460" w:lineRule="exact"/>
      <w:outlineLvl w:val="2"/>
    </w:pPr>
    <w:rPr>
      <w:rFonts w:ascii="Arial" w:hAnsi="Arial"/>
      <w:b/>
      <w:sz w:val="24"/>
      <w:szCs w:val="20"/>
    </w:rPr>
  </w:style>
  <w:style w:type="character" w:customStyle="1" w:styleId="327">
    <w:name w:val="zw1"/>
    <w:autoRedefine/>
    <w:qFormat/>
    <w:uiPriority w:val="0"/>
    <w:rPr>
      <w:rFonts w:hint="eastAsia" w:ascii="宋体" w:hAnsi="宋体" w:eastAsia="宋体"/>
      <w:sz w:val="22"/>
      <w:szCs w:val="22"/>
    </w:rPr>
  </w:style>
  <w:style w:type="character" w:customStyle="1" w:styleId="328">
    <w:name w:val="副标题 字符2"/>
    <w:autoRedefine/>
    <w:qFormat/>
    <w:locked/>
    <w:uiPriority w:val="11"/>
    <w:rPr>
      <w:rFonts w:ascii="Calibri" w:hAnsi="Calibri" w:cs="Calibri"/>
      <w:color w:val="5A5A5A"/>
      <w:spacing w:val="15"/>
      <w:sz w:val="22"/>
      <w:szCs w:val="22"/>
    </w:rPr>
  </w:style>
  <w:style w:type="character" w:customStyle="1" w:styleId="329">
    <w:name w:val="style1191"/>
    <w:autoRedefine/>
    <w:qFormat/>
    <w:uiPriority w:val="0"/>
    <w:rPr>
      <w:rFonts w:hint="default" w:ascii="Arial" w:hAnsi="Arial" w:cs="Arial"/>
      <w:color w:val="000000"/>
      <w:sz w:val="18"/>
      <w:szCs w:val="18"/>
    </w:rPr>
  </w:style>
  <w:style w:type="character" w:customStyle="1" w:styleId="330">
    <w:name w:val="标题3 Char"/>
    <w:link w:val="331"/>
    <w:autoRedefine/>
    <w:qFormat/>
    <w:uiPriority w:val="0"/>
    <w:rPr>
      <w:kern w:val="2"/>
      <w:sz w:val="24"/>
    </w:rPr>
  </w:style>
  <w:style w:type="paragraph" w:customStyle="1" w:styleId="331">
    <w:name w:val="标题3"/>
    <w:basedOn w:val="332"/>
    <w:next w:val="186"/>
    <w:link w:val="330"/>
    <w:autoRedefine/>
    <w:qFormat/>
    <w:uiPriority w:val="0"/>
  </w:style>
  <w:style w:type="paragraph" w:customStyle="1" w:styleId="332">
    <w:name w:val="正文2"/>
    <w:basedOn w:val="5"/>
    <w:autoRedefine/>
    <w:qFormat/>
    <w:uiPriority w:val="0"/>
    <w:pPr>
      <w:adjustRightInd w:val="0"/>
      <w:snapToGrid w:val="0"/>
      <w:spacing w:line="440" w:lineRule="atLeast"/>
      <w:ind w:firstLine="567"/>
    </w:pPr>
    <w:rPr>
      <w:sz w:val="24"/>
    </w:rPr>
  </w:style>
  <w:style w:type="character" w:customStyle="1" w:styleId="333">
    <w:name w:val="Char Char1 Char1"/>
    <w:autoRedefine/>
    <w:qFormat/>
    <w:uiPriority w:val="0"/>
    <w:rPr>
      <w:rFonts w:ascii="宋体" w:hAnsi="宋体" w:eastAsia="宋体" w:cs="宋体"/>
      <w:kern w:val="2"/>
      <w:sz w:val="24"/>
      <w:szCs w:val="24"/>
      <w:lang w:val="en-US" w:eastAsia="zh-CN" w:bidi="ar-SA"/>
    </w:rPr>
  </w:style>
  <w:style w:type="character" w:customStyle="1" w:styleId="334">
    <w:name w:val="f14b1"/>
    <w:autoRedefine/>
    <w:qFormat/>
    <w:uiPriority w:val="0"/>
    <w:rPr>
      <w:b/>
      <w:bCs/>
      <w:sz w:val="21"/>
      <w:szCs w:val="21"/>
    </w:rPr>
  </w:style>
  <w:style w:type="character" w:customStyle="1" w:styleId="335">
    <w:name w:val="question-title2"/>
    <w:autoRedefine/>
    <w:qFormat/>
    <w:uiPriority w:val="0"/>
  </w:style>
  <w:style w:type="character" w:customStyle="1" w:styleId="336">
    <w:name w:val="标题 5 字符"/>
    <w:autoRedefine/>
    <w:semiHidden/>
    <w:qFormat/>
    <w:uiPriority w:val="9"/>
    <w:rPr>
      <w:b/>
      <w:bCs/>
      <w:kern w:val="2"/>
      <w:sz w:val="28"/>
      <w:szCs w:val="28"/>
    </w:rPr>
  </w:style>
  <w:style w:type="character" w:customStyle="1" w:styleId="337">
    <w:name w:val="标题 6 字符"/>
    <w:autoRedefine/>
    <w:qFormat/>
    <w:uiPriority w:val="9"/>
    <w:rPr>
      <w:rFonts w:ascii="等线 Light" w:hAnsi="等线 Light" w:eastAsia="等线 Light" w:cs="Times New Roman"/>
      <w:b/>
      <w:bCs/>
      <w:kern w:val="2"/>
      <w:sz w:val="24"/>
      <w:szCs w:val="24"/>
    </w:rPr>
  </w:style>
  <w:style w:type="character" w:customStyle="1" w:styleId="338">
    <w:name w:val="name1"/>
    <w:autoRedefine/>
    <w:qFormat/>
    <w:uiPriority w:val="0"/>
    <w:rPr>
      <w:sz w:val="24"/>
      <w:szCs w:val="24"/>
    </w:rPr>
  </w:style>
  <w:style w:type="character" w:customStyle="1" w:styleId="339">
    <w:name w:val="3zw1"/>
    <w:autoRedefine/>
    <w:qFormat/>
    <w:uiPriority w:val="0"/>
    <w:rPr>
      <w:color w:val="000000"/>
      <w:sz w:val="21"/>
      <w:szCs w:val="21"/>
    </w:rPr>
  </w:style>
  <w:style w:type="character" w:customStyle="1" w:styleId="340">
    <w:name w:val="纯文本 Char Char Char Char Char Char"/>
    <w:autoRedefine/>
    <w:qFormat/>
    <w:uiPriority w:val="0"/>
    <w:rPr>
      <w:rFonts w:eastAsia="宋体"/>
      <w:kern w:val="2"/>
      <w:sz w:val="21"/>
      <w:szCs w:val="24"/>
      <w:lang w:val="en-US" w:eastAsia="zh-CN" w:bidi="ar-SA"/>
    </w:rPr>
  </w:style>
  <w:style w:type="character" w:customStyle="1" w:styleId="341">
    <w:name w:val="正文调整 Char"/>
    <w:link w:val="342"/>
    <w:autoRedefine/>
    <w:qFormat/>
    <w:uiPriority w:val="0"/>
    <w:rPr>
      <w:kern w:val="2"/>
      <w:sz w:val="24"/>
      <w:szCs w:val="24"/>
    </w:rPr>
  </w:style>
  <w:style w:type="paragraph" w:customStyle="1" w:styleId="342">
    <w:name w:val="正文调整"/>
    <w:basedOn w:val="1"/>
    <w:link w:val="341"/>
    <w:autoRedefine/>
    <w:qFormat/>
    <w:uiPriority w:val="0"/>
    <w:pPr>
      <w:spacing w:before="60" w:line="460" w:lineRule="atLeast"/>
      <w:ind w:firstLine="200" w:firstLineChars="200"/>
    </w:pPr>
    <w:rPr>
      <w:sz w:val="24"/>
    </w:rPr>
  </w:style>
  <w:style w:type="character" w:customStyle="1" w:styleId="343">
    <w:name w:val="常用正文样式 Char1"/>
    <w:link w:val="344"/>
    <w:autoRedefine/>
    <w:qFormat/>
    <w:uiPriority w:val="0"/>
    <w:rPr>
      <w:rFonts w:ascii="宋体" w:hAnsi="新宋体" w:eastAsia="仿宋_GB2312"/>
      <w:kern w:val="2"/>
      <w:sz w:val="24"/>
      <w:szCs w:val="24"/>
      <w:lang w:bidi="ar-SA"/>
    </w:rPr>
  </w:style>
  <w:style w:type="paragraph" w:customStyle="1" w:styleId="344">
    <w:name w:val="常用正文样式"/>
    <w:link w:val="343"/>
    <w:autoRedefine/>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character" w:customStyle="1" w:styleId="345">
    <w:name w:val="常用表格样式 Char1"/>
    <w:link w:val="346"/>
    <w:autoRedefine/>
    <w:qFormat/>
    <w:uiPriority w:val="0"/>
    <w:rPr>
      <w:rFonts w:ascii="宋体" w:hAnsi="新宋体" w:eastAsia="仿宋_GB2312"/>
      <w:sz w:val="18"/>
      <w:szCs w:val="21"/>
    </w:rPr>
  </w:style>
  <w:style w:type="paragraph" w:customStyle="1" w:styleId="346">
    <w:name w:val="常用表格样式"/>
    <w:basedOn w:val="344"/>
    <w:next w:val="344"/>
    <w:link w:val="345"/>
    <w:autoRedefine/>
    <w:qFormat/>
    <w:uiPriority w:val="0"/>
    <w:pPr>
      <w:spacing w:line="240" w:lineRule="auto"/>
      <w:ind w:firstLine="0"/>
      <w:jc w:val="center"/>
    </w:pPr>
    <w:rPr>
      <w:kern w:val="0"/>
      <w:sz w:val="18"/>
      <w:szCs w:val="21"/>
    </w:rPr>
  </w:style>
  <w:style w:type="character" w:customStyle="1" w:styleId="347">
    <w:name w:val="block2"/>
    <w:autoRedefine/>
    <w:qFormat/>
    <w:uiPriority w:val="0"/>
  </w:style>
  <w:style w:type="character" w:customStyle="1" w:styleId="348">
    <w:name w:val="text1"/>
    <w:autoRedefine/>
    <w:qFormat/>
    <w:uiPriority w:val="0"/>
    <w:rPr>
      <w:rFonts w:hint="eastAsia" w:ascii="宋体" w:hAnsi="宋体" w:eastAsia="宋体"/>
      <w:color w:val="999999"/>
      <w:sz w:val="18"/>
      <w:u w:val="none"/>
    </w:rPr>
  </w:style>
  <w:style w:type="character" w:customStyle="1" w:styleId="349">
    <w:name w:val="标题3 非连续 Char"/>
    <w:link w:val="350"/>
    <w:autoRedefine/>
    <w:qFormat/>
    <w:uiPriority w:val="0"/>
    <w:rPr>
      <w:rFonts w:ascii="Arial" w:hAnsi="Arial"/>
      <w:b/>
      <w:bCs/>
      <w:sz w:val="24"/>
      <w:szCs w:val="32"/>
    </w:rPr>
  </w:style>
  <w:style w:type="paragraph" w:customStyle="1" w:styleId="350">
    <w:name w:val="标题3 非连续"/>
    <w:basedOn w:val="331"/>
    <w:link w:val="349"/>
    <w:autoRedefine/>
    <w:qFormat/>
    <w:uiPriority w:val="0"/>
    <w:pPr>
      <w:keepNext/>
      <w:keepLines/>
      <w:adjustRightInd/>
      <w:snapToGrid/>
      <w:spacing w:before="50" w:beforeLines="50" w:line="440" w:lineRule="exact"/>
      <w:outlineLvl w:val="2"/>
    </w:pPr>
    <w:rPr>
      <w:rFonts w:ascii="Arial" w:hAnsi="Arial"/>
      <w:b/>
      <w:bCs/>
      <w:kern w:val="0"/>
      <w:szCs w:val="32"/>
    </w:rPr>
  </w:style>
  <w:style w:type="character" w:customStyle="1" w:styleId="351">
    <w:name w:val="表格正文 Char Char Char Char Char Char Char Char Char"/>
    <w:autoRedefine/>
    <w:qFormat/>
    <w:uiPriority w:val="0"/>
    <w:rPr>
      <w:rFonts w:ascii="宋体" w:hAnsi="宋体" w:eastAsia="宋体" w:cs="宋体"/>
      <w:kern w:val="2"/>
      <w:sz w:val="21"/>
      <w:lang w:val="en-US" w:eastAsia="zh-CN" w:bidi="ar-SA"/>
    </w:rPr>
  </w:style>
  <w:style w:type="character" w:customStyle="1" w:styleId="352">
    <w:name w:val="批注文字 Char1"/>
    <w:autoRedefine/>
    <w:qFormat/>
    <w:uiPriority w:val="99"/>
    <w:rPr>
      <w:sz w:val="24"/>
    </w:rPr>
  </w:style>
  <w:style w:type="character" w:customStyle="1" w:styleId="353">
    <w:name w:val="主体 Char"/>
    <w:link w:val="354"/>
    <w:autoRedefine/>
    <w:qFormat/>
    <w:uiPriority w:val="0"/>
    <w:rPr>
      <w:rFonts w:eastAsia="仿宋_GB2312"/>
      <w:bCs/>
      <w:kern w:val="2"/>
      <w:sz w:val="24"/>
      <w:szCs w:val="24"/>
      <w:lang w:val="en-US" w:eastAsia="zh-CN" w:bidi="ar-SA"/>
    </w:rPr>
  </w:style>
  <w:style w:type="paragraph" w:customStyle="1" w:styleId="354">
    <w:name w:val="主体"/>
    <w:link w:val="353"/>
    <w:autoRedefine/>
    <w:qFormat/>
    <w:uiPriority w:val="0"/>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character" w:customStyle="1" w:styleId="355">
    <w:name w:val="批注框文本 字符"/>
    <w:autoRedefine/>
    <w:qFormat/>
    <w:uiPriority w:val="99"/>
    <w:rPr>
      <w:rFonts w:ascii="Times New Roman" w:hAnsi="Times New Roman" w:eastAsia="宋体" w:cs="Times New Roman"/>
      <w:sz w:val="18"/>
      <w:szCs w:val="18"/>
    </w:rPr>
  </w:style>
  <w:style w:type="character" w:customStyle="1" w:styleId="356">
    <w:name w:val="正文文本缩进 字符"/>
    <w:autoRedefine/>
    <w:qFormat/>
    <w:uiPriority w:val="0"/>
    <w:rPr>
      <w:kern w:val="2"/>
      <w:sz w:val="28"/>
    </w:rPr>
  </w:style>
  <w:style w:type="character" w:customStyle="1" w:styleId="357">
    <w:name w:val="正文001 Char Char Char"/>
    <w:autoRedefine/>
    <w:qFormat/>
    <w:uiPriority w:val="0"/>
    <w:rPr>
      <w:rFonts w:eastAsia="宋体"/>
      <w:kern w:val="2"/>
      <w:sz w:val="24"/>
      <w:lang w:val="en-US" w:eastAsia="zh-CN"/>
    </w:rPr>
  </w:style>
  <w:style w:type="character" w:customStyle="1" w:styleId="358">
    <w:name w:val="正文B Char"/>
    <w:link w:val="359"/>
    <w:autoRedefine/>
    <w:qFormat/>
    <w:uiPriority w:val="99"/>
    <w:rPr>
      <w:rFonts w:cs="宋体"/>
      <w:kern w:val="2"/>
      <w:sz w:val="24"/>
    </w:rPr>
  </w:style>
  <w:style w:type="paragraph" w:customStyle="1" w:styleId="359">
    <w:name w:val="正文B"/>
    <w:basedOn w:val="1"/>
    <w:link w:val="358"/>
    <w:autoRedefine/>
    <w:qFormat/>
    <w:uiPriority w:val="99"/>
    <w:pPr>
      <w:spacing w:line="540" w:lineRule="exact"/>
      <w:ind w:firstLine="480" w:firstLineChars="200"/>
    </w:pPr>
    <w:rPr>
      <w:sz w:val="24"/>
      <w:szCs w:val="20"/>
    </w:rPr>
  </w:style>
  <w:style w:type="character" w:customStyle="1" w:styleId="360">
    <w:name w:val="正文文本_"/>
    <w:autoRedefine/>
    <w:qFormat/>
    <w:uiPriority w:val="0"/>
    <w:rPr>
      <w:rFonts w:ascii="宋体" w:eastAsia="宋体" w:cs="宋体"/>
      <w:sz w:val="22"/>
      <w:szCs w:val="22"/>
      <w:u w:val="none"/>
    </w:rPr>
  </w:style>
  <w:style w:type="character" w:customStyle="1" w:styleId="361">
    <w:name w:val="Char4 Char Char"/>
    <w:autoRedefine/>
    <w:qFormat/>
    <w:uiPriority w:val="0"/>
    <w:rPr>
      <w:rFonts w:eastAsia="宋体"/>
      <w:sz w:val="28"/>
      <w:lang w:val="en-US" w:eastAsia="zh-CN" w:bidi="ar-SA"/>
    </w:rPr>
  </w:style>
  <w:style w:type="character" w:customStyle="1" w:styleId="362">
    <w:name w:val="unnamed1"/>
    <w:autoRedefine/>
    <w:qFormat/>
    <w:uiPriority w:val="0"/>
  </w:style>
  <w:style w:type="character" w:customStyle="1" w:styleId="363">
    <w:name w:val="表格标题 Char Char"/>
    <w:autoRedefine/>
    <w:qFormat/>
    <w:uiPriority w:val="99"/>
    <w:rPr>
      <w:rFonts w:ascii="仿宋_GB2312" w:eastAsia="仿宋_GB2312"/>
      <w:kern w:val="2"/>
      <w:sz w:val="24"/>
      <w:szCs w:val="21"/>
      <w:lang w:val="en-US" w:eastAsia="zh-CN" w:bidi="ar-SA"/>
    </w:rPr>
  </w:style>
  <w:style w:type="character" w:customStyle="1" w:styleId="364">
    <w:name w:val="标题 1 字符"/>
    <w:autoRedefine/>
    <w:qFormat/>
    <w:locked/>
    <w:uiPriority w:val="0"/>
    <w:rPr>
      <w:rFonts w:ascii="Times New Roman" w:hAnsi="Times New Roman" w:eastAsia="宋体" w:cs="Times New Roman"/>
      <w:b/>
      <w:bCs/>
      <w:kern w:val="44"/>
      <w:sz w:val="44"/>
      <w:szCs w:val="44"/>
    </w:rPr>
  </w:style>
  <w:style w:type="character" w:customStyle="1" w:styleId="365">
    <w:name w:val="标题 Char1"/>
    <w:autoRedefine/>
    <w:qFormat/>
    <w:uiPriority w:val="0"/>
    <w:rPr>
      <w:rFonts w:ascii="Calibri Light" w:hAnsi="Calibri Light" w:eastAsia="宋体" w:cs="Times New Roman"/>
      <w:b/>
      <w:bCs/>
      <w:sz w:val="32"/>
      <w:szCs w:val="32"/>
    </w:rPr>
  </w:style>
  <w:style w:type="character" w:customStyle="1" w:styleId="366">
    <w:name w:val="font11"/>
    <w:autoRedefine/>
    <w:qFormat/>
    <w:uiPriority w:val="99"/>
    <w:rPr>
      <w:rFonts w:ascii="Times New Roman" w:hAnsi="Times New Roman"/>
      <w:color w:val="000000"/>
      <w:sz w:val="21"/>
      <w:u w:val="none"/>
    </w:rPr>
  </w:style>
  <w:style w:type="character" w:customStyle="1" w:styleId="367">
    <w:name w:val="普通(网站) 字符"/>
    <w:autoRedefine/>
    <w:qFormat/>
    <w:locked/>
    <w:uiPriority w:val="0"/>
    <w:rPr>
      <w:rFonts w:ascii="Arial Unicode MS" w:hAnsi="Arial Unicode MS" w:cs="Arial Unicode MS"/>
      <w:color w:val="000000"/>
      <w:sz w:val="24"/>
      <w:szCs w:val="24"/>
    </w:rPr>
  </w:style>
  <w:style w:type="character" w:customStyle="1" w:styleId="368">
    <w:name w:val="font21"/>
    <w:autoRedefine/>
    <w:qFormat/>
    <w:uiPriority w:val="99"/>
    <w:rPr>
      <w:rFonts w:ascii="宋体" w:hAnsi="宋体" w:eastAsia="宋体"/>
      <w:color w:val="000000"/>
      <w:sz w:val="21"/>
      <w:u w:val="none"/>
    </w:rPr>
  </w:style>
  <w:style w:type="character" w:customStyle="1" w:styleId="369">
    <w:name w:val="a"/>
    <w:autoRedefine/>
    <w:qFormat/>
    <w:uiPriority w:val="99"/>
    <w:rPr>
      <w:rFonts w:cs="Times New Roman"/>
    </w:rPr>
  </w:style>
  <w:style w:type="character" w:customStyle="1" w:styleId="370">
    <w:name w:val="lm1"/>
    <w:autoRedefine/>
    <w:qFormat/>
    <w:uiPriority w:val="99"/>
    <w:rPr>
      <w:sz w:val="18"/>
    </w:rPr>
  </w:style>
  <w:style w:type="character" w:customStyle="1" w:styleId="371">
    <w:name w:val="lemmatitleh1"/>
    <w:autoRedefine/>
    <w:qFormat/>
    <w:uiPriority w:val="99"/>
    <w:rPr>
      <w:rFonts w:cs="Times New Roman"/>
    </w:rPr>
  </w:style>
  <w:style w:type="character" w:customStyle="1" w:styleId="372">
    <w:name w:val="图框 Char Char"/>
    <w:link w:val="373"/>
    <w:autoRedefine/>
    <w:qFormat/>
    <w:locked/>
    <w:uiPriority w:val="99"/>
    <w:rPr>
      <w:rFonts w:ascii="Arial" w:hAnsi="Arial"/>
    </w:rPr>
  </w:style>
  <w:style w:type="paragraph" w:customStyle="1" w:styleId="373">
    <w:name w:val="图框"/>
    <w:basedOn w:val="1"/>
    <w:link w:val="372"/>
    <w:autoRedefine/>
    <w:qFormat/>
    <w:uiPriority w:val="99"/>
    <w:pPr>
      <w:jc w:val="center"/>
    </w:pPr>
    <w:rPr>
      <w:rFonts w:ascii="Arial" w:hAnsi="Arial"/>
      <w:kern w:val="0"/>
      <w:sz w:val="20"/>
      <w:szCs w:val="20"/>
    </w:rPr>
  </w:style>
  <w:style w:type="character" w:customStyle="1" w:styleId="374">
    <w:name w:val="题注 字符"/>
    <w:autoRedefine/>
    <w:qFormat/>
    <w:uiPriority w:val="0"/>
    <w:rPr>
      <w:rFonts w:ascii="time" w:hAnsi="time"/>
      <w:b/>
      <w:kern w:val="2"/>
      <w:sz w:val="21"/>
    </w:rPr>
  </w:style>
  <w:style w:type="character" w:customStyle="1" w:styleId="375">
    <w:name w:val="标题 8 字符1"/>
    <w:autoRedefine/>
    <w:qFormat/>
    <w:uiPriority w:val="0"/>
    <w:rPr>
      <w:rFonts w:ascii="Times New Roman" w:hAnsi="Times New Roman"/>
      <w:b/>
      <w:bCs/>
      <w:sz w:val="32"/>
      <w:szCs w:val="24"/>
      <w:lang w:val="en-GB" w:eastAsia="es-ES"/>
    </w:rPr>
  </w:style>
  <w:style w:type="character" w:customStyle="1" w:styleId="376">
    <w:name w:val="信息标题 字符1"/>
    <w:autoRedefine/>
    <w:qFormat/>
    <w:uiPriority w:val="0"/>
    <w:rPr>
      <w:rFonts w:ascii="Arial" w:hAnsi="Arial"/>
      <w:kern w:val="2"/>
      <w:sz w:val="24"/>
      <w:szCs w:val="24"/>
      <w:shd w:val="pct20" w:color="auto" w:fill="auto"/>
    </w:rPr>
  </w:style>
  <w:style w:type="character" w:customStyle="1" w:styleId="377">
    <w:name w:val="引用 字符1"/>
    <w:autoRedefine/>
    <w:qFormat/>
    <w:uiPriority w:val="0"/>
    <w:rPr>
      <w:rFonts w:ascii="Cambria" w:hAnsi="Cambria"/>
      <w:i/>
      <w:iCs/>
      <w:color w:val="5A5A5A"/>
      <w:kern w:val="2"/>
      <w:sz w:val="21"/>
      <w:szCs w:val="21"/>
    </w:rPr>
  </w:style>
  <w:style w:type="character" w:customStyle="1" w:styleId="378">
    <w:name w:val="标题5"/>
    <w:autoRedefine/>
    <w:qFormat/>
    <w:uiPriority w:val="0"/>
  </w:style>
  <w:style w:type="character" w:customStyle="1" w:styleId="379">
    <w:name w:val="无间隔 字符"/>
    <w:autoRedefine/>
    <w:qFormat/>
    <w:uiPriority w:val="1"/>
    <w:rPr>
      <w:rFonts w:ascii="Times New Roman" w:hAnsi="Times New Roman" w:eastAsia="仿宋_GB2312"/>
      <w:kern w:val="2"/>
      <w:sz w:val="28"/>
      <w:szCs w:val="28"/>
    </w:rPr>
  </w:style>
  <w:style w:type="character" w:customStyle="1" w:styleId="380">
    <w:name w:val="纯文本 字符1"/>
    <w:autoRedefine/>
    <w:qFormat/>
    <w:uiPriority w:val="0"/>
    <w:rPr>
      <w:rFonts w:ascii="宋体" w:hAnsi="Courier New"/>
    </w:rPr>
  </w:style>
  <w:style w:type="character" w:customStyle="1" w:styleId="381">
    <w:name w:val="正文文本缩进 字符1"/>
    <w:autoRedefine/>
    <w:qFormat/>
    <w:uiPriority w:val="0"/>
    <w:rPr>
      <w:sz w:val="28"/>
    </w:rPr>
  </w:style>
  <w:style w:type="character" w:customStyle="1" w:styleId="382">
    <w:name w:val="正文文本缩进 3 字符1"/>
    <w:autoRedefine/>
    <w:qFormat/>
    <w:uiPriority w:val="0"/>
    <w:rPr>
      <w:sz w:val="24"/>
      <w:szCs w:val="24"/>
    </w:rPr>
  </w:style>
  <w:style w:type="character" w:customStyle="1" w:styleId="383">
    <w:name w:val="fontstyle31"/>
    <w:autoRedefine/>
    <w:qFormat/>
    <w:uiPriority w:val="0"/>
    <w:rPr>
      <w:rFonts w:hint="default" w:ascii="TimesNewRomanPSMT" w:hAnsi="TimesNewRomanPSMT"/>
      <w:color w:val="000000"/>
      <w:sz w:val="22"/>
      <w:szCs w:val="22"/>
    </w:rPr>
  </w:style>
  <w:style w:type="character" w:customStyle="1" w:styleId="384">
    <w:name w:val="表格文字2 Char Char Char"/>
    <w:autoRedefine/>
    <w:qFormat/>
    <w:uiPriority w:val="0"/>
    <w:rPr>
      <w:rFonts w:ascii="宋体" w:hAnsi="宋体" w:cs="宋体"/>
      <w:kern w:val="2"/>
      <w:sz w:val="21"/>
    </w:rPr>
  </w:style>
  <w:style w:type="character" w:customStyle="1" w:styleId="385">
    <w:name w:val="正文文本 2 字符1"/>
    <w:autoRedefine/>
    <w:qFormat/>
    <w:uiPriority w:val="0"/>
    <w:rPr>
      <w:rFonts w:ascii="Times New Roman" w:hAnsi="Times New Roman" w:eastAsia="宋体" w:cs="Times New Roman"/>
      <w:b/>
      <w:color w:val="000000"/>
      <w:sz w:val="28"/>
      <w:szCs w:val="24"/>
    </w:rPr>
  </w:style>
  <w:style w:type="character" w:customStyle="1" w:styleId="386">
    <w:name w:val="正文文本缩进 2 字符1"/>
    <w:autoRedefine/>
    <w:qFormat/>
    <w:uiPriority w:val="0"/>
    <w:rPr>
      <w:rFonts w:ascii="Times New Roman" w:hAnsi="Times New Roman" w:eastAsia="宋体" w:cs="Times New Roman"/>
      <w:sz w:val="24"/>
      <w:szCs w:val="24"/>
    </w:rPr>
  </w:style>
  <w:style w:type="character" w:customStyle="1" w:styleId="387">
    <w:name w:val="文档结构图 字符1"/>
    <w:autoRedefine/>
    <w:semiHidden/>
    <w:qFormat/>
    <w:uiPriority w:val="0"/>
    <w:rPr>
      <w:rFonts w:ascii="Times New Roman" w:hAnsi="Times New Roman" w:eastAsia="宋体" w:cs="Times New Roman"/>
      <w:szCs w:val="24"/>
      <w:shd w:val="clear" w:color="auto" w:fill="000080"/>
    </w:rPr>
  </w:style>
  <w:style w:type="character" w:customStyle="1" w:styleId="388">
    <w:name w:val="+正文 Char Char"/>
    <w:link w:val="389"/>
    <w:autoRedefine/>
    <w:qFormat/>
    <w:locked/>
    <w:uiPriority w:val="0"/>
    <w:rPr>
      <w:kern w:val="2"/>
      <w:sz w:val="24"/>
      <w:szCs w:val="28"/>
    </w:rPr>
  </w:style>
  <w:style w:type="paragraph" w:customStyle="1" w:styleId="389">
    <w:name w:val="+正文 Char"/>
    <w:basedOn w:val="1"/>
    <w:link w:val="388"/>
    <w:autoRedefine/>
    <w:qFormat/>
    <w:uiPriority w:val="0"/>
    <w:pPr>
      <w:spacing w:line="360" w:lineRule="auto"/>
      <w:ind w:firstLine="200" w:firstLineChars="200"/>
    </w:pPr>
    <w:rPr>
      <w:sz w:val="24"/>
      <w:szCs w:val="28"/>
    </w:rPr>
  </w:style>
  <w:style w:type="character" w:customStyle="1" w:styleId="390">
    <w:name w:val="_Style 385"/>
    <w:autoRedefine/>
    <w:unhideWhenUsed/>
    <w:qFormat/>
    <w:uiPriority w:val="99"/>
    <w:rPr>
      <w:color w:val="605E5C"/>
      <w:shd w:val="clear" w:color="auto" w:fill="E1DFDD"/>
    </w:rPr>
  </w:style>
  <w:style w:type="character" w:customStyle="1" w:styleId="391">
    <w:name w:val="style11"/>
    <w:autoRedefine/>
    <w:qFormat/>
    <w:uiPriority w:val="0"/>
    <w:rPr>
      <w:b/>
      <w:color w:val="FF0000"/>
    </w:rPr>
  </w:style>
  <w:style w:type="character" w:customStyle="1" w:styleId="392">
    <w:name w:val="font31"/>
    <w:autoRedefine/>
    <w:qFormat/>
    <w:uiPriority w:val="0"/>
    <w:rPr>
      <w:rFonts w:hint="eastAsia" w:ascii="宋体" w:hAnsi="宋体" w:eastAsia="宋体" w:cs="宋体"/>
      <w:color w:val="000000"/>
      <w:sz w:val="21"/>
      <w:szCs w:val="21"/>
      <w:u w:val="none"/>
      <w:vertAlign w:val="subscript"/>
    </w:rPr>
  </w:style>
  <w:style w:type="character" w:customStyle="1" w:styleId="393">
    <w:name w:val="图表标题题注 字符"/>
    <w:link w:val="394"/>
    <w:autoRedefine/>
    <w:qFormat/>
    <w:uiPriority w:val="0"/>
    <w:rPr>
      <w:b/>
      <w:kern w:val="2"/>
      <w:sz w:val="21"/>
      <w:szCs w:val="28"/>
    </w:rPr>
  </w:style>
  <w:style w:type="paragraph" w:customStyle="1" w:styleId="394">
    <w:name w:val="图表标题题注"/>
    <w:basedOn w:val="117"/>
    <w:link w:val="393"/>
    <w:autoRedefine/>
    <w:qFormat/>
    <w:uiPriority w:val="0"/>
    <w:pPr>
      <w:spacing w:before="50" w:beforeLines="50" w:line="360" w:lineRule="auto"/>
      <w:ind w:firstLine="0" w:firstLineChars="0"/>
      <w:jc w:val="center"/>
      <w:outlineLvl w:val="2"/>
    </w:pPr>
    <w:rPr>
      <w:b/>
      <w:kern w:val="2"/>
      <w:sz w:val="21"/>
    </w:rPr>
  </w:style>
  <w:style w:type="character" w:customStyle="1" w:styleId="395">
    <w:name w:val="副标题 字符"/>
    <w:autoRedefine/>
    <w:qFormat/>
    <w:uiPriority w:val="11"/>
    <w:rPr>
      <w:rFonts w:ascii="等线 Light" w:hAnsi="等线 Light" w:cs="Times New Roman"/>
      <w:b/>
      <w:bCs/>
      <w:kern w:val="28"/>
      <w:sz w:val="32"/>
      <w:szCs w:val="32"/>
    </w:rPr>
  </w:style>
  <w:style w:type="character" w:customStyle="1" w:styleId="396">
    <w:name w:val="明显引用 字符3"/>
    <w:link w:val="397"/>
    <w:autoRedefine/>
    <w:qFormat/>
    <w:uiPriority w:val="30"/>
    <w:rPr>
      <w:rFonts w:ascii="Calibri" w:hAnsi="Calibri"/>
      <w:i/>
      <w:iCs/>
      <w:color w:val="5B9BD5"/>
      <w:sz w:val="22"/>
      <w:szCs w:val="22"/>
    </w:rPr>
  </w:style>
  <w:style w:type="paragraph" w:styleId="397">
    <w:name w:val="Intense Quote"/>
    <w:basedOn w:val="1"/>
    <w:next w:val="1"/>
    <w:link w:val="396"/>
    <w:autoRedefine/>
    <w:qFormat/>
    <w:uiPriority w:val="30"/>
    <w:pPr>
      <w:widowControl/>
      <w:pBdr>
        <w:top w:val="single" w:color="5B9BD5" w:sz="4" w:space="10"/>
        <w:bottom w:val="single" w:color="5B9BD5" w:sz="4" w:space="10"/>
      </w:pBdr>
      <w:spacing w:before="360" w:after="360" w:line="259" w:lineRule="auto"/>
      <w:ind w:left="864" w:right="864"/>
      <w:jc w:val="center"/>
    </w:pPr>
    <w:rPr>
      <w:rFonts w:ascii="Calibri" w:hAnsi="Calibri"/>
      <w:i/>
      <w:iCs/>
      <w:color w:val="5B9BD5"/>
      <w:kern w:val="0"/>
      <w:sz w:val="22"/>
      <w:szCs w:val="22"/>
    </w:rPr>
  </w:style>
  <w:style w:type="character" w:customStyle="1" w:styleId="398">
    <w:name w:val="_Style 393"/>
    <w:autoRedefine/>
    <w:qFormat/>
    <w:uiPriority w:val="19"/>
    <w:rPr>
      <w:i/>
      <w:iCs/>
      <w:color w:val="404040"/>
    </w:rPr>
  </w:style>
  <w:style w:type="character" w:customStyle="1" w:styleId="399">
    <w:name w:val="_Style 394"/>
    <w:autoRedefine/>
    <w:qFormat/>
    <w:uiPriority w:val="21"/>
    <w:rPr>
      <w:i/>
      <w:iCs/>
      <w:color w:val="5B9BD5"/>
    </w:rPr>
  </w:style>
  <w:style w:type="character" w:customStyle="1" w:styleId="400">
    <w:name w:val="_Style 395"/>
    <w:autoRedefine/>
    <w:qFormat/>
    <w:uiPriority w:val="33"/>
    <w:rPr>
      <w:b/>
      <w:bCs/>
      <w:i/>
      <w:iCs/>
      <w:spacing w:val="5"/>
    </w:rPr>
  </w:style>
  <w:style w:type="character" w:customStyle="1" w:styleId="401">
    <w:name w:val="标题 1 字符1"/>
    <w:autoRedefine/>
    <w:qFormat/>
    <w:locked/>
    <w:uiPriority w:val="0"/>
    <w:rPr>
      <w:b/>
      <w:bCs/>
      <w:kern w:val="44"/>
      <w:sz w:val="44"/>
      <w:szCs w:val="44"/>
    </w:rPr>
  </w:style>
  <w:style w:type="character" w:customStyle="1" w:styleId="402">
    <w:name w:val="标题 6 字符1"/>
    <w:autoRedefine/>
    <w:semiHidden/>
    <w:qFormat/>
    <w:locked/>
    <w:uiPriority w:val="9"/>
    <w:rPr>
      <w:rFonts w:ascii="Calibri Light" w:hAnsi="Calibri Light"/>
      <w:color w:val="1F4E79"/>
      <w:sz w:val="22"/>
      <w:szCs w:val="22"/>
    </w:rPr>
  </w:style>
  <w:style w:type="character" w:customStyle="1" w:styleId="403">
    <w:name w:val="标题 7 字符2"/>
    <w:autoRedefine/>
    <w:semiHidden/>
    <w:qFormat/>
    <w:locked/>
    <w:uiPriority w:val="9"/>
    <w:rPr>
      <w:rFonts w:ascii="Calibri Light" w:hAnsi="Calibri Light"/>
      <w:i/>
      <w:iCs/>
      <w:color w:val="1F4E79"/>
      <w:sz w:val="22"/>
      <w:szCs w:val="22"/>
    </w:rPr>
  </w:style>
  <w:style w:type="character" w:customStyle="1" w:styleId="404">
    <w:name w:val="标题 8 字符2"/>
    <w:autoRedefine/>
    <w:qFormat/>
    <w:locked/>
    <w:uiPriority w:val="0"/>
    <w:rPr>
      <w:b/>
      <w:bCs/>
      <w:sz w:val="32"/>
      <w:szCs w:val="24"/>
      <w:lang w:val="en-GB" w:eastAsia="es-ES"/>
    </w:rPr>
  </w:style>
  <w:style w:type="character" w:customStyle="1" w:styleId="405">
    <w:name w:val="标题 9 字符2"/>
    <w:autoRedefine/>
    <w:semiHidden/>
    <w:qFormat/>
    <w:locked/>
    <w:uiPriority w:val="9"/>
    <w:rPr>
      <w:rFonts w:ascii="Calibri Light" w:hAnsi="Calibri Light"/>
      <w:i/>
      <w:iCs/>
      <w:color w:val="262626"/>
      <w:sz w:val="21"/>
      <w:szCs w:val="21"/>
    </w:rPr>
  </w:style>
  <w:style w:type="character" w:customStyle="1" w:styleId="406">
    <w:name w:val="日期 字符2"/>
    <w:autoRedefine/>
    <w:qFormat/>
    <w:locked/>
    <w:uiPriority w:val="0"/>
    <w:rPr>
      <w:rFonts w:ascii="宋体" w:hAnsi="宋体"/>
      <w:b/>
      <w:bCs/>
      <w:kern w:val="2"/>
      <w:sz w:val="28"/>
      <w:szCs w:val="24"/>
    </w:rPr>
  </w:style>
  <w:style w:type="character" w:customStyle="1" w:styleId="407">
    <w:name w:val="批注主题 字符2"/>
    <w:autoRedefine/>
    <w:qFormat/>
    <w:locked/>
    <w:uiPriority w:val="0"/>
    <w:rPr>
      <w:b/>
      <w:bCs/>
      <w:kern w:val="2"/>
      <w:sz w:val="21"/>
      <w:szCs w:val="24"/>
    </w:rPr>
  </w:style>
  <w:style w:type="character" w:customStyle="1" w:styleId="408">
    <w:name w:val="信息标题 字符2"/>
    <w:autoRedefine/>
    <w:qFormat/>
    <w:locked/>
    <w:uiPriority w:val="0"/>
    <w:rPr>
      <w:rFonts w:ascii="Arial" w:hAnsi="Arial" w:cs="Arial"/>
      <w:kern w:val="2"/>
      <w:sz w:val="24"/>
      <w:szCs w:val="24"/>
      <w:shd w:val="pct20" w:color="auto" w:fill="auto"/>
    </w:rPr>
  </w:style>
  <w:style w:type="character" w:customStyle="1" w:styleId="409">
    <w:name w:val="引用 字符2"/>
    <w:autoRedefine/>
    <w:qFormat/>
    <w:locked/>
    <w:uiPriority w:val="0"/>
    <w:rPr>
      <w:rFonts w:ascii="Cambria" w:hAnsi="Cambria"/>
      <w:i/>
      <w:iCs/>
      <w:color w:val="5A5A5A"/>
      <w:kern w:val="2"/>
      <w:sz w:val="21"/>
      <w:szCs w:val="21"/>
    </w:rPr>
  </w:style>
  <w:style w:type="character" w:customStyle="1" w:styleId="410">
    <w:name w:val="纯文本 字符2"/>
    <w:autoRedefine/>
    <w:qFormat/>
    <w:locked/>
    <w:uiPriority w:val="0"/>
    <w:rPr>
      <w:rFonts w:hint="eastAsia" w:ascii="宋体" w:hAnsi="Courier New" w:eastAsia="宋体"/>
      <w:kern w:val="2"/>
      <w:sz w:val="21"/>
    </w:rPr>
  </w:style>
  <w:style w:type="character" w:customStyle="1" w:styleId="411">
    <w:name w:val="副标题 字符1"/>
    <w:autoRedefine/>
    <w:qFormat/>
    <w:uiPriority w:val="11"/>
    <w:rPr>
      <w:rFonts w:ascii="等线 Light" w:hAnsi="等线 Light" w:cs="Times New Roman"/>
      <w:b/>
      <w:bCs/>
      <w:kern w:val="28"/>
      <w:sz w:val="32"/>
      <w:szCs w:val="32"/>
    </w:rPr>
  </w:style>
  <w:style w:type="character" w:customStyle="1" w:styleId="412">
    <w:name w:val="正文首行缩进 Char2"/>
    <w:autoRedefine/>
    <w:qFormat/>
    <w:uiPriority w:val="0"/>
    <w:rPr>
      <w:kern w:val="2"/>
      <w:sz w:val="21"/>
      <w:szCs w:val="24"/>
    </w:rPr>
  </w:style>
  <w:style w:type="character" w:customStyle="1" w:styleId="413">
    <w:name w:val="MSG_EN_FONT_STYLE_NAME_TEMPLATE_ROLE_NUMBER MSG_EN_FONT_STYLE_NAME_BY_ROLE_TEXT 49_"/>
    <w:link w:val="414"/>
    <w:autoRedefine/>
    <w:qFormat/>
    <w:locked/>
    <w:uiPriority w:val="99"/>
    <w:rPr>
      <w:sz w:val="11"/>
      <w:szCs w:val="11"/>
      <w:shd w:val="clear" w:color="auto" w:fill="FFFFFF"/>
    </w:rPr>
  </w:style>
  <w:style w:type="paragraph" w:customStyle="1" w:styleId="414">
    <w:name w:val="MSG_EN_FONT_STYLE_NAME_TEMPLATE_ROLE_NUMBER MSG_EN_FONT_STYLE_NAME_BY_ROLE_TEXT 49"/>
    <w:basedOn w:val="1"/>
    <w:link w:val="413"/>
    <w:autoRedefine/>
    <w:qFormat/>
    <w:uiPriority w:val="99"/>
    <w:pPr>
      <w:shd w:val="clear" w:color="auto" w:fill="FFFFFF"/>
      <w:spacing w:line="240" w:lineRule="atLeast"/>
      <w:jc w:val="center"/>
    </w:pPr>
    <w:rPr>
      <w:kern w:val="0"/>
      <w:sz w:val="11"/>
      <w:szCs w:val="11"/>
    </w:rPr>
  </w:style>
  <w:style w:type="character" w:customStyle="1" w:styleId="415">
    <w:name w:val="font51"/>
    <w:autoRedefine/>
    <w:qFormat/>
    <w:uiPriority w:val="0"/>
    <w:rPr>
      <w:rFonts w:hint="eastAsia" w:ascii="宋体" w:hAnsi="宋体" w:eastAsia="宋体" w:cs="宋体"/>
      <w:b/>
      <w:bCs/>
      <w:color w:val="000000"/>
      <w:sz w:val="21"/>
      <w:szCs w:val="21"/>
      <w:u w:val="none"/>
    </w:rPr>
  </w:style>
  <w:style w:type="paragraph" w:customStyle="1" w:styleId="416">
    <w:name w:val="样式17"/>
    <w:basedOn w:val="1"/>
    <w:autoRedefine/>
    <w:qFormat/>
    <w:uiPriority w:val="99"/>
    <w:pPr>
      <w:spacing w:line="360" w:lineRule="auto"/>
      <w:ind w:firstLine="480" w:firstLineChars="200"/>
    </w:pPr>
    <w:rPr>
      <w:rFonts w:ascii="Arial" w:hAnsi="Arial" w:cs="Arial"/>
      <w:sz w:val="24"/>
    </w:rPr>
  </w:style>
  <w:style w:type="paragraph" w:customStyle="1" w:styleId="417">
    <w:name w:val="Char Char2"/>
    <w:basedOn w:val="1"/>
    <w:autoRedefine/>
    <w:semiHidden/>
    <w:qFormat/>
    <w:uiPriority w:val="0"/>
    <w:pPr>
      <w:tabs>
        <w:tab w:val="left" w:pos="426"/>
      </w:tabs>
      <w:ind w:left="426" w:hanging="420"/>
    </w:pPr>
    <w:rPr>
      <w:sz w:val="24"/>
    </w:rPr>
  </w:style>
  <w:style w:type="paragraph" w:customStyle="1" w:styleId="418">
    <w:name w:val="Char Char Char Char Char Char Char1 Char Char Char Char Char Char Char"/>
    <w:basedOn w:val="1"/>
    <w:autoRedefine/>
    <w:qFormat/>
    <w:uiPriority w:val="0"/>
    <w:pPr>
      <w:tabs>
        <w:tab w:val="left" w:pos="432"/>
      </w:tabs>
      <w:ind w:left="432" w:hanging="432"/>
    </w:pPr>
    <w:rPr>
      <w:rFonts w:ascii="Tahoma" w:hAnsi="Tahoma"/>
      <w:sz w:val="24"/>
      <w:szCs w:val="20"/>
    </w:rPr>
  </w:style>
  <w:style w:type="paragraph" w:customStyle="1" w:styleId="419">
    <w:name w:val="Char Char Char Char Char Char Char Char Char Char Char Char Char Char"/>
    <w:basedOn w:val="1"/>
    <w:autoRedefine/>
    <w:qFormat/>
    <w:uiPriority w:val="0"/>
  </w:style>
  <w:style w:type="paragraph" w:customStyle="1" w:styleId="420">
    <w:name w:val="标题4 非连续"/>
    <w:basedOn w:val="1"/>
    <w:autoRedefine/>
    <w:qFormat/>
    <w:uiPriority w:val="0"/>
    <w:pPr>
      <w:keepNext/>
      <w:keepLines/>
      <w:spacing w:before="40" w:line="440" w:lineRule="exact"/>
      <w:ind w:left="851" w:hanging="851"/>
      <w:outlineLvl w:val="3"/>
    </w:pPr>
    <w:rPr>
      <w:rFonts w:ascii="Arial" w:hAnsi="Arial"/>
      <w:bCs/>
      <w:kern w:val="0"/>
      <w:sz w:val="24"/>
      <w:szCs w:val="28"/>
    </w:rPr>
  </w:style>
  <w:style w:type="paragraph" w:customStyle="1" w:styleId="421">
    <w:name w:val="xl25"/>
    <w:basedOn w:val="1"/>
    <w:autoRedefine/>
    <w:qFormat/>
    <w:uiPriority w:val="0"/>
    <w:pPr>
      <w:widowControl/>
      <w:pBdr>
        <w:left w:val="single" w:color="auto" w:sz="8" w:space="0"/>
        <w:right w:val="single" w:color="auto" w:sz="8" w:space="0"/>
      </w:pBdr>
      <w:spacing w:before="100" w:beforeAutospacing="1" w:after="100" w:afterAutospacing="1"/>
      <w:jc w:val="center"/>
    </w:pPr>
    <w:rPr>
      <w:rFonts w:ascii="宋体" w:hAnsi="宋体"/>
      <w:kern w:val="0"/>
      <w:sz w:val="24"/>
      <w:szCs w:val="20"/>
    </w:rPr>
  </w:style>
  <w:style w:type="paragraph" w:customStyle="1" w:styleId="422">
    <w:name w:val="水印"/>
    <w:basedOn w:val="1"/>
    <w:autoRedefine/>
    <w:qFormat/>
    <w:uiPriority w:val="0"/>
    <w:pPr>
      <w:adjustRightInd w:val="0"/>
      <w:spacing w:line="240" w:lineRule="atLeast"/>
    </w:pPr>
    <w:rPr>
      <w:kern w:val="0"/>
      <w:sz w:val="32"/>
      <w:szCs w:val="20"/>
    </w:rPr>
  </w:style>
  <w:style w:type="paragraph" w:customStyle="1" w:styleId="423">
    <w:name w:val="列出段落1"/>
    <w:basedOn w:val="1"/>
    <w:autoRedefine/>
    <w:qFormat/>
    <w:uiPriority w:val="34"/>
    <w:pPr>
      <w:ind w:firstLine="420" w:firstLineChars="200"/>
    </w:pPr>
    <w:rPr>
      <w:rFonts w:ascii="Calibri" w:hAnsi="Calibri"/>
      <w:szCs w:val="22"/>
    </w:rPr>
  </w:style>
  <w:style w:type="paragraph" w:customStyle="1" w:styleId="424">
    <w:name w:val="Char Char Char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425">
    <w:name w:val="样式 样式 正文样式 首行缩进:  1 字符 + 首行缩进:  1 字符 + 首行缩进:  1 字符"/>
    <w:basedOn w:val="1"/>
    <w:autoRedefine/>
    <w:qFormat/>
    <w:uiPriority w:val="0"/>
    <w:pPr>
      <w:widowControl/>
      <w:adjustRightInd w:val="0"/>
      <w:snapToGrid w:val="0"/>
      <w:spacing w:line="360" w:lineRule="auto"/>
      <w:ind w:firstLine="240" w:firstLineChars="100"/>
      <w:jc w:val="left"/>
    </w:pPr>
    <w:rPr>
      <w:rFonts w:cs="宋体"/>
      <w:kern w:val="0"/>
      <w:sz w:val="24"/>
      <w:szCs w:val="20"/>
      <w:lang w:eastAsia="en-US" w:bidi="en-US"/>
    </w:rPr>
  </w:style>
  <w:style w:type="paragraph" w:customStyle="1" w:styleId="426">
    <w:name w:val="小区名"/>
    <w:basedOn w:val="1"/>
    <w:autoRedefine/>
    <w:qFormat/>
    <w:uiPriority w:val="0"/>
    <w:pPr>
      <w:spacing w:line="360" w:lineRule="auto"/>
      <w:ind w:firstLine="555"/>
    </w:pPr>
    <w:rPr>
      <w:b/>
      <w:sz w:val="24"/>
      <w:szCs w:val="20"/>
    </w:rPr>
  </w:style>
  <w:style w:type="paragraph" w:customStyle="1" w:styleId="427">
    <w:name w:val="p19"/>
    <w:basedOn w:val="1"/>
    <w:autoRedefine/>
    <w:qFormat/>
    <w:uiPriority w:val="99"/>
    <w:pPr>
      <w:widowControl/>
      <w:spacing w:before="60" w:line="460" w:lineRule="atLeast"/>
    </w:pPr>
    <w:rPr>
      <w:b/>
      <w:bCs/>
      <w:kern w:val="0"/>
      <w:sz w:val="28"/>
      <w:szCs w:val="28"/>
    </w:rPr>
  </w:style>
  <w:style w:type="paragraph" w:customStyle="1" w:styleId="428">
    <w:name w:val="密级编号"/>
    <w:basedOn w:val="1"/>
    <w:autoRedefine/>
    <w:qFormat/>
    <w:uiPriority w:val="0"/>
    <w:pPr>
      <w:adjustRightInd w:val="0"/>
      <w:jc w:val="center"/>
      <w:textAlignment w:val="baseline"/>
    </w:pPr>
    <w:rPr>
      <w:rFonts w:ascii="仿宋_GB2312" w:eastAsia="仿宋_GB2312"/>
      <w:kern w:val="0"/>
      <w:sz w:val="24"/>
      <w:szCs w:val="20"/>
    </w:rPr>
  </w:style>
  <w:style w:type="paragraph" w:customStyle="1" w:styleId="429">
    <w:name w:val="首行缩进"/>
    <w:basedOn w:val="1"/>
    <w:autoRedefine/>
    <w:qFormat/>
    <w:uiPriority w:val="0"/>
    <w:pPr>
      <w:tabs>
        <w:tab w:val="left" w:pos="5538"/>
      </w:tabs>
      <w:adjustRightInd w:val="0"/>
      <w:snapToGrid w:val="0"/>
      <w:spacing w:line="540" w:lineRule="exact"/>
      <w:ind w:firstLine="520" w:firstLineChars="200"/>
    </w:pPr>
    <w:rPr>
      <w:color w:val="000000"/>
      <w:spacing w:val="10"/>
      <w:sz w:val="24"/>
    </w:rPr>
  </w:style>
  <w:style w:type="paragraph" w:customStyle="1" w:styleId="430">
    <w:name w:val="Char Char Char Char Char Char Char Char Char Char Char Char Char Char Char Char Char Char Char Char Char Char Char Char Char Char Char Char Char Char Char Char Char Char1"/>
    <w:basedOn w:val="1"/>
    <w:autoRedefine/>
    <w:qFormat/>
    <w:uiPriority w:val="0"/>
    <w:pPr>
      <w:spacing w:line="360" w:lineRule="auto"/>
      <w:ind w:firstLine="200" w:firstLineChars="200"/>
    </w:pPr>
    <w:rPr>
      <w:rFonts w:ascii="宋体" w:hAnsi="宋体" w:cs="宋体"/>
      <w:sz w:val="24"/>
    </w:rPr>
  </w:style>
  <w:style w:type="paragraph" w:customStyle="1" w:styleId="431">
    <w:name w:val="Char Char Char Char Char Char1 Char1"/>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432">
    <w:name w:val="正文缩近"/>
    <w:basedOn w:val="1"/>
    <w:autoRedefine/>
    <w:qFormat/>
    <w:uiPriority w:val="99"/>
    <w:pPr>
      <w:spacing w:line="360" w:lineRule="auto"/>
      <w:ind w:firstLine="560" w:firstLineChars="200"/>
    </w:pPr>
    <w:rPr>
      <w:sz w:val="28"/>
      <w:szCs w:val="28"/>
    </w:rPr>
  </w:style>
  <w:style w:type="paragraph" w:customStyle="1" w:styleId="433">
    <w:name w:val="表格标题 Char"/>
    <w:basedOn w:val="1"/>
    <w:autoRedefine/>
    <w:qFormat/>
    <w:uiPriority w:val="0"/>
    <w:pPr>
      <w:spacing w:before="60" w:line="420" w:lineRule="exact"/>
      <w:jc w:val="center"/>
    </w:pPr>
    <w:rPr>
      <w:sz w:val="24"/>
    </w:rPr>
  </w:style>
  <w:style w:type="paragraph" w:customStyle="1" w:styleId="434">
    <w:name w:val="_Style 5"/>
    <w:basedOn w:val="1"/>
    <w:autoRedefine/>
    <w:qFormat/>
    <w:uiPriority w:val="0"/>
    <w:pPr>
      <w:spacing w:line="360" w:lineRule="auto"/>
      <w:ind w:firstLine="200" w:firstLineChars="200"/>
    </w:pPr>
    <w:rPr>
      <w:sz w:val="24"/>
      <w:szCs w:val="20"/>
    </w:rPr>
  </w:style>
  <w:style w:type="paragraph" w:customStyle="1" w:styleId="435">
    <w:name w:val="样式 样式 正文首行缩进 + 首行缩进:  2 字符 + 首行缩进:  2 字符"/>
    <w:basedOn w:val="1"/>
    <w:autoRedefine/>
    <w:qFormat/>
    <w:uiPriority w:val="0"/>
    <w:pPr>
      <w:topLinePunct/>
      <w:adjustRightInd w:val="0"/>
      <w:snapToGrid w:val="0"/>
      <w:spacing w:line="360" w:lineRule="auto"/>
      <w:ind w:firstLine="480"/>
      <w:textAlignment w:val="baseline"/>
    </w:pPr>
    <w:rPr>
      <w:rFonts w:hAnsi="宋体" w:eastAsia="Times New Roman"/>
      <w:kern w:val="0"/>
      <w:sz w:val="24"/>
      <w:szCs w:val="20"/>
    </w:rPr>
  </w:style>
  <w:style w:type="paragraph" w:customStyle="1" w:styleId="436">
    <w:name w:val="正文 y"/>
    <w:autoRedefine/>
    <w:qFormat/>
    <w:uiPriority w:val="0"/>
    <w:pPr>
      <w:spacing w:line="480" w:lineRule="exact"/>
      <w:ind w:firstLine="200" w:firstLineChars="200"/>
    </w:pPr>
    <w:rPr>
      <w:rFonts w:ascii="Times New Roman" w:hAnsi="Times New Roman" w:eastAsia="宋体" w:cs="Times New Roman"/>
      <w:kern w:val="2"/>
      <w:sz w:val="24"/>
      <w:szCs w:val="24"/>
      <w:lang w:val="en-US" w:eastAsia="zh-CN" w:bidi="ar-SA"/>
    </w:rPr>
  </w:style>
  <w:style w:type="paragraph" w:customStyle="1" w:styleId="437">
    <w:name w:val="正文新 Char"/>
    <w:basedOn w:val="1"/>
    <w:autoRedefine/>
    <w:qFormat/>
    <w:uiPriority w:val="0"/>
    <w:pPr>
      <w:spacing w:line="360" w:lineRule="auto"/>
      <w:ind w:firstLine="480" w:firstLineChars="200"/>
    </w:pPr>
    <w:rPr>
      <w:sz w:val="24"/>
      <w:szCs w:val="20"/>
    </w:rPr>
  </w:style>
  <w:style w:type="paragraph" w:customStyle="1" w:styleId="438">
    <w:name w:val="本文正文"/>
    <w:basedOn w:val="1"/>
    <w:autoRedefine/>
    <w:qFormat/>
    <w:uiPriority w:val="99"/>
    <w:pPr>
      <w:spacing w:line="360" w:lineRule="auto"/>
      <w:ind w:firstLine="480" w:firstLineChars="200"/>
    </w:pPr>
    <w:rPr>
      <w:sz w:val="24"/>
      <w:szCs w:val="20"/>
    </w:rPr>
  </w:style>
  <w:style w:type="paragraph" w:customStyle="1" w:styleId="439">
    <w:name w:val="无间隔2"/>
    <w:autoRedefine/>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440">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41">
    <w:name w:val="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42">
    <w:name w:val="xl65"/>
    <w:basedOn w:val="1"/>
    <w:autoRedefine/>
    <w:qFormat/>
    <w:uiPriority w:val="0"/>
    <w:pPr>
      <w:widowControl/>
      <w:spacing w:before="100" w:beforeAutospacing="1" w:after="100" w:afterAutospacing="1"/>
      <w:jc w:val="center"/>
      <w:textAlignment w:val="center"/>
    </w:pPr>
    <w:rPr>
      <w:kern w:val="0"/>
      <w:sz w:val="24"/>
    </w:rPr>
  </w:style>
  <w:style w:type="paragraph" w:customStyle="1" w:styleId="443">
    <w:name w:val="正文6"/>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444">
    <w:name w:val="简单回函地址"/>
    <w:basedOn w:val="1"/>
    <w:autoRedefine/>
    <w:qFormat/>
    <w:uiPriority w:val="0"/>
    <w:rPr>
      <w:kern w:val="0"/>
      <w:sz w:val="24"/>
      <w:szCs w:val="20"/>
    </w:rPr>
  </w:style>
  <w:style w:type="paragraph" w:customStyle="1" w:styleId="445">
    <w:name w:val="1234"/>
    <w:basedOn w:val="4"/>
    <w:autoRedefine/>
    <w:qFormat/>
    <w:uiPriority w:val="0"/>
    <w:pPr>
      <w:keepLines/>
      <w:spacing w:line="360" w:lineRule="auto"/>
      <w:jc w:val="both"/>
    </w:pPr>
    <w:rPr>
      <w:rFonts w:eastAsia="仿宋_GB2312"/>
      <w:kern w:val="0"/>
      <w:sz w:val="28"/>
      <w:szCs w:val="28"/>
    </w:rPr>
  </w:style>
  <w:style w:type="paragraph" w:customStyle="1" w:styleId="446">
    <w:name w:val="段落 Char Char Char"/>
    <w:basedOn w:val="1"/>
    <w:autoRedefine/>
    <w:qFormat/>
    <w:uiPriority w:val="0"/>
    <w:pPr>
      <w:topLinePunct/>
      <w:snapToGrid w:val="0"/>
      <w:spacing w:line="360" w:lineRule="auto"/>
      <w:ind w:firstLine="200" w:firstLineChars="200"/>
    </w:pPr>
    <w:rPr>
      <w:sz w:val="24"/>
    </w:rPr>
  </w:style>
  <w:style w:type="paragraph" w:customStyle="1" w:styleId="447">
    <w:name w:val="Char1 Char Char Char"/>
    <w:basedOn w:val="1"/>
    <w:autoRedefine/>
    <w:qFormat/>
    <w:uiPriority w:val="0"/>
  </w:style>
  <w:style w:type="paragraph" w:customStyle="1" w:styleId="448">
    <w:name w:val="Char1"/>
    <w:basedOn w:val="1"/>
    <w:autoRedefine/>
    <w:qFormat/>
    <w:uiPriority w:val="0"/>
    <w:pPr>
      <w:spacing w:line="360" w:lineRule="auto"/>
      <w:ind w:firstLine="200" w:firstLineChars="200"/>
    </w:pPr>
    <w:rPr>
      <w:rFonts w:ascii="宋体" w:hAnsi="宋体" w:cs="宋体"/>
      <w:sz w:val="24"/>
    </w:rPr>
  </w:style>
  <w:style w:type="paragraph" w:customStyle="1" w:styleId="449">
    <w:name w:val="纯文本2"/>
    <w:basedOn w:val="1"/>
    <w:autoRedefine/>
    <w:qFormat/>
    <w:uiPriority w:val="0"/>
    <w:pPr>
      <w:adjustRightInd w:val="0"/>
      <w:textAlignment w:val="baseline"/>
    </w:pPr>
    <w:rPr>
      <w:rFonts w:ascii="宋体" w:hAnsi="Courier New"/>
      <w:szCs w:val="20"/>
    </w:rPr>
  </w:style>
  <w:style w:type="paragraph" w:customStyle="1" w:styleId="450">
    <w:name w:val="常用封面文本名称"/>
    <w:basedOn w:val="1"/>
    <w:next w:val="344"/>
    <w:autoRedefine/>
    <w:qFormat/>
    <w:uiPriority w:val="99"/>
    <w:pPr>
      <w:spacing w:before="240" w:beforeLines="100" w:after="240" w:afterLines="100" w:line="360" w:lineRule="auto"/>
      <w:jc w:val="center"/>
    </w:pPr>
    <w:rPr>
      <w:rFonts w:ascii="华文新魏" w:hAnsi="华文新魏" w:eastAsia="华文新魏" w:cs="华文新魏"/>
      <w:b/>
      <w:sz w:val="52"/>
      <w:szCs w:val="52"/>
    </w:rPr>
  </w:style>
  <w:style w:type="paragraph" w:customStyle="1" w:styleId="451">
    <w:name w:val="样式 小四 首行缩进:  24 磅 行距: 多倍行距 1.25 字行"/>
    <w:basedOn w:val="1"/>
    <w:autoRedefine/>
    <w:qFormat/>
    <w:uiPriority w:val="0"/>
    <w:pPr>
      <w:adjustRightInd w:val="0"/>
      <w:spacing w:line="440" w:lineRule="exact"/>
      <w:ind w:firstLine="480"/>
    </w:pPr>
    <w:rPr>
      <w:kern w:val="0"/>
      <w:sz w:val="24"/>
      <w:szCs w:val="20"/>
    </w:rPr>
  </w:style>
  <w:style w:type="paragraph" w:customStyle="1" w:styleId="452">
    <w:name w:val="样式 样式 正文1 + 段前: 0.1 行 + 段前: 0.1 行"/>
    <w:basedOn w:val="1"/>
    <w:autoRedefine/>
    <w:qFormat/>
    <w:uiPriority w:val="0"/>
    <w:pPr>
      <w:snapToGrid w:val="0"/>
      <w:spacing w:before="24" w:beforeLines="10" w:line="440" w:lineRule="atLeast"/>
      <w:ind w:firstLine="567"/>
    </w:pPr>
    <w:rPr>
      <w:rFonts w:cs="宋体"/>
      <w:sz w:val="24"/>
      <w:szCs w:val="20"/>
    </w:rPr>
  </w:style>
  <w:style w:type="paragraph" w:customStyle="1" w:styleId="453">
    <w:name w:val="Char Char Char1 Char Char Char Char"/>
    <w:basedOn w:val="1"/>
    <w:autoRedefine/>
    <w:qFormat/>
    <w:uiPriority w:val="0"/>
    <w:pPr>
      <w:tabs>
        <w:tab w:val="left" w:pos="794"/>
        <w:tab w:val="left" w:pos="1191"/>
        <w:tab w:val="left" w:pos="1588"/>
        <w:tab w:val="left" w:pos="1985"/>
      </w:tabs>
      <w:autoSpaceDE w:val="0"/>
      <w:autoSpaceDN w:val="0"/>
      <w:adjustRightInd w:val="0"/>
      <w:spacing w:before="136"/>
    </w:pPr>
    <w:rPr>
      <w:rFonts w:ascii="Tahoma" w:hAnsi="Tahoma"/>
      <w:sz w:val="24"/>
      <w:lang w:val="en-GB"/>
    </w:rPr>
  </w:style>
  <w:style w:type="paragraph" w:customStyle="1" w:styleId="454">
    <w:name w:val="p20"/>
    <w:basedOn w:val="1"/>
    <w:autoRedefine/>
    <w:qFormat/>
    <w:uiPriority w:val="99"/>
    <w:pPr>
      <w:widowControl/>
      <w:snapToGrid w:val="0"/>
      <w:spacing w:line="440" w:lineRule="atLeast"/>
      <w:ind w:firstLine="567"/>
    </w:pPr>
    <w:rPr>
      <w:kern w:val="0"/>
      <w:sz w:val="24"/>
    </w:rPr>
  </w:style>
  <w:style w:type="paragraph" w:customStyle="1" w:styleId="455">
    <w:name w:val="Char Char Char Char Char Char3 Char Char Char Char Char Char Char"/>
    <w:basedOn w:val="1"/>
    <w:next w:val="1"/>
    <w:autoRedefine/>
    <w:qFormat/>
    <w:uiPriority w:val="0"/>
    <w:rPr>
      <w:rFonts w:eastAsia="黑体"/>
      <w:sz w:val="28"/>
    </w:rPr>
  </w:style>
  <w:style w:type="paragraph" w:customStyle="1" w:styleId="456">
    <w:name w:val="p17"/>
    <w:basedOn w:val="1"/>
    <w:autoRedefine/>
    <w:qFormat/>
    <w:uiPriority w:val="99"/>
    <w:pPr>
      <w:widowControl/>
      <w:spacing w:after="120" w:line="480" w:lineRule="auto"/>
      <w:ind w:left="420"/>
    </w:pPr>
    <w:rPr>
      <w:kern w:val="0"/>
    </w:rPr>
  </w:style>
  <w:style w:type="paragraph" w:customStyle="1" w:styleId="457">
    <w:name w:val="样式 居中"/>
    <w:basedOn w:val="1"/>
    <w:autoRedefine/>
    <w:qFormat/>
    <w:uiPriority w:val="0"/>
    <w:pPr>
      <w:widowControl/>
      <w:jc w:val="center"/>
    </w:pPr>
    <w:rPr>
      <w:rFonts w:cs="宋体"/>
      <w:kern w:val="0"/>
      <w:sz w:val="24"/>
      <w:szCs w:val="20"/>
      <w:lang w:eastAsia="en-US" w:bidi="en-US"/>
    </w:rPr>
  </w:style>
  <w:style w:type="paragraph" w:customStyle="1" w:styleId="458">
    <w:name w:val="正文（首行缩进）"/>
    <w:basedOn w:val="23"/>
    <w:autoRedefine/>
    <w:qFormat/>
    <w:uiPriority w:val="0"/>
    <w:pPr>
      <w:widowControl w:val="0"/>
      <w:snapToGrid/>
      <w:spacing w:line="300" w:lineRule="auto"/>
      <w:ind w:firstLine="200" w:firstLineChars="200"/>
    </w:pPr>
    <w:rPr>
      <w:sz w:val="21"/>
      <w:szCs w:val="24"/>
    </w:rPr>
  </w:style>
  <w:style w:type="paragraph" w:customStyle="1" w:styleId="459">
    <w:name w:val="Char Char Char Char Char Char Char Char Char Char Char Char1 Char Char Char Char Char Char Char Char Char Char Char Char Char Char Char Char Char Char Char"/>
    <w:basedOn w:val="1"/>
    <w:autoRedefine/>
    <w:qFormat/>
    <w:uiPriority w:val="0"/>
    <w:pPr>
      <w:widowControl/>
      <w:spacing w:line="360" w:lineRule="auto"/>
      <w:ind w:firstLine="200" w:firstLineChars="200"/>
      <w:jc w:val="left"/>
    </w:pPr>
    <w:rPr>
      <w:rFonts w:ascii="宋体" w:hAnsi="宋体" w:cs="宋体"/>
      <w:sz w:val="24"/>
      <w:szCs w:val="20"/>
    </w:rPr>
  </w:style>
  <w:style w:type="paragraph" w:customStyle="1" w:styleId="460">
    <w:name w:val="日期1"/>
    <w:basedOn w:val="1"/>
    <w:next w:val="1"/>
    <w:autoRedefine/>
    <w:qFormat/>
    <w:uiPriority w:val="0"/>
    <w:rPr>
      <w:rFonts w:ascii="宋体" w:hAnsi="Courier New"/>
      <w:sz w:val="24"/>
      <w:szCs w:val="20"/>
    </w:rPr>
  </w:style>
  <w:style w:type="paragraph" w:customStyle="1" w:styleId="461">
    <w:name w:val="Char Char3 Char Char"/>
    <w:basedOn w:val="1"/>
    <w:autoRedefine/>
    <w:qFormat/>
    <w:uiPriority w:val="0"/>
    <w:rPr>
      <w:sz w:val="24"/>
    </w:rPr>
  </w:style>
  <w:style w:type="paragraph" w:customStyle="1" w:styleId="462">
    <w:name w:val="流程图文字"/>
    <w:basedOn w:val="1"/>
    <w:autoRedefine/>
    <w:qFormat/>
    <w:uiPriority w:val="0"/>
    <w:pPr>
      <w:spacing w:before="100" w:after="40"/>
      <w:jc w:val="center"/>
    </w:pPr>
    <w:rPr>
      <w:szCs w:val="20"/>
    </w:rPr>
  </w:style>
  <w:style w:type="paragraph" w:customStyle="1" w:styleId="463">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64">
    <w:name w:val="Char Char Char Char Char Char1 Char"/>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465">
    <w:name w:val="_Style 108"/>
    <w:basedOn w:val="1"/>
    <w:autoRedefine/>
    <w:qFormat/>
    <w:uiPriority w:val="0"/>
    <w:rPr>
      <w:rFonts w:eastAsia="仿宋_GB2312"/>
      <w:kern w:val="0"/>
    </w:rPr>
  </w:style>
  <w:style w:type="paragraph" w:customStyle="1" w:styleId="466">
    <w:name w:val="注"/>
    <w:basedOn w:val="1"/>
    <w:autoRedefine/>
    <w:qFormat/>
    <w:uiPriority w:val="0"/>
    <w:pPr>
      <w:jc w:val="left"/>
    </w:pPr>
    <w:rPr>
      <w:sz w:val="18"/>
    </w:rPr>
  </w:style>
  <w:style w:type="paragraph" w:customStyle="1" w:styleId="467">
    <w:name w:val="Char Char Char Char Char Char1 Char Char Char Char"/>
    <w:basedOn w:val="1"/>
    <w:autoRedefine/>
    <w:qFormat/>
    <w:uiPriority w:val="0"/>
    <w:pPr>
      <w:spacing w:line="360" w:lineRule="auto"/>
      <w:ind w:firstLine="200" w:firstLineChars="200"/>
    </w:pPr>
  </w:style>
  <w:style w:type="paragraph" w:customStyle="1" w:styleId="468">
    <w:name w:val="样式6"/>
    <w:basedOn w:val="1"/>
    <w:autoRedefine/>
    <w:qFormat/>
    <w:uiPriority w:val="0"/>
    <w:pPr>
      <w:spacing w:line="320" w:lineRule="atLeast"/>
      <w:jc w:val="center"/>
    </w:pPr>
    <w:rPr>
      <w:rFonts w:hAnsi="宋体"/>
      <w:kern w:val="0"/>
    </w:rPr>
  </w:style>
  <w:style w:type="paragraph" w:customStyle="1" w:styleId="469">
    <w:name w:val="Char Char Char Char Char Char Char Char Char Char Char Char Char Char Char Char Char Char Char Char Char Char Char Char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470">
    <w:name w:val="Char Char Char Char Char Char1 Char Char Char Char11"/>
    <w:basedOn w:val="1"/>
    <w:autoRedefine/>
    <w:qFormat/>
    <w:uiPriority w:val="0"/>
    <w:pPr>
      <w:spacing w:line="360" w:lineRule="auto"/>
      <w:ind w:firstLine="200" w:firstLineChars="200"/>
    </w:pPr>
  </w:style>
  <w:style w:type="paragraph" w:customStyle="1" w:styleId="471">
    <w:name w:val="T表格"/>
    <w:basedOn w:val="1"/>
    <w:next w:val="1"/>
    <w:autoRedefine/>
    <w:qFormat/>
    <w:uiPriority w:val="0"/>
    <w:pPr>
      <w:autoSpaceDE w:val="0"/>
      <w:autoSpaceDN w:val="0"/>
      <w:adjustRightInd w:val="0"/>
      <w:jc w:val="left"/>
    </w:pPr>
    <w:rPr>
      <w:rFonts w:ascii="宋体"/>
      <w:kern w:val="0"/>
      <w:sz w:val="20"/>
    </w:rPr>
  </w:style>
  <w:style w:type="paragraph" w:customStyle="1" w:styleId="472">
    <w:name w:val="正文文本缩进1"/>
    <w:basedOn w:val="1"/>
    <w:autoRedefine/>
    <w:qFormat/>
    <w:uiPriority w:val="0"/>
    <w:pPr>
      <w:ind w:left="-88" w:firstLine="516" w:firstLineChars="199"/>
    </w:pPr>
    <w:rPr>
      <w:sz w:val="24"/>
      <w:szCs w:val="20"/>
    </w:rPr>
  </w:style>
  <w:style w:type="paragraph" w:customStyle="1" w:styleId="473">
    <w:name w:val="xl24"/>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rPr>
  </w:style>
  <w:style w:type="paragraph" w:customStyle="1" w:styleId="474">
    <w:name w:val="图标"/>
    <w:basedOn w:val="1"/>
    <w:autoRedefine/>
    <w:qFormat/>
    <w:uiPriority w:val="0"/>
    <w:pPr>
      <w:spacing w:line="440" w:lineRule="exact"/>
      <w:jc w:val="center"/>
    </w:pPr>
    <w:rPr>
      <w:rFonts w:ascii="黑体" w:eastAsia="黑体"/>
      <w:sz w:val="28"/>
      <w:szCs w:val="20"/>
    </w:rPr>
  </w:style>
  <w:style w:type="paragraph" w:customStyle="1" w:styleId="475">
    <w:name w:val="样式 (中文) 仿宋_GB2312 四号 首行缩进:  0.98 厘米 行距: 固定值 22 磅"/>
    <w:basedOn w:val="1"/>
    <w:autoRedefine/>
    <w:qFormat/>
    <w:uiPriority w:val="0"/>
    <w:pPr>
      <w:spacing w:line="300" w:lineRule="auto"/>
      <w:ind w:firstLine="556"/>
    </w:pPr>
    <w:rPr>
      <w:rFonts w:eastAsia="仿宋_GB2312" w:cs="宋体"/>
      <w:spacing w:val="-2"/>
      <w:sz w:val="28"/>
      <w:szCs w:val="20"/>
    </w:rPr>
  </w:style>
  <w:style w:type="paragraph" w:customStyle="1" w:styleId="476">
    <w:name w:val="*表头"/>
    <w:basedOn w:val="1"/>
    <w:autoRedefine/>
    <w:qFormat/>
    <w:uiPriority w:val="0"/>
    <w:pPr>
      <w:spacing w:line="360" w:lineRule="auto"/>
      <w:jc w:val="center"/>
    </w:pPr>
    <w:rPr>
      <w:b/>
    </w:rPr>
  </w:style>
  <w:style w:type="paragraph" w:customStyle="1" w:styleId="477">
    <w:name w:val="Char11"/>
    <w:basedOn w:val="1"/>
    <w:autoRedefine/>
    <w:qFormat/>
    <w:uiPriority w:val="0"/>
    <w:pPr>
      <w:spacing w:line="360" w:lineRule="auto"/>
      <w:ind w:firstLine="200" w:firstLineChars="200"/>
    </w:pPr>
    <w:rPr>
      <w:rFonts w:ascii="宋体" w:hAnsi="宋体" w:cs="宋体"/>
      <w:sz w:val="24"/>
    </w:rPr>
  </w:style>
  <w:style w:type="paragraph" w:customStyle="1" w:styleId="478">
    <w:name w:val="常用封面编制单位"/>
    <w:basedOn w:val="344"/>
    <w:next w:val="344"/>
    <w:autoRedefine/>
    <w:qFormat/>
    <w:uiPriority w:val="99"/>
    <w:pPr>
      <w:ind w:firstLine="0"/>
      <w:jc w:val="center"/>
    </w:pPr>
    <w:rPr>
      <w:rFonts w:eastAsia="华文新魏"/>
      <w:b/>
      <w:sz w:val="32"/>
    </w:rPr>
  </w:style>
  <w:style w:type="paragraph" w:customStyle="1" w:styleId="479">
    <w:name w:val="表格式"/>
    <w:basedOn w:val="45"/>
    <w:autoRedefine/>
    <w:qFormat/>
    <w:uiPriority w:val="99"/>
    <w:pPr>
      <w:spacing w:before="60" w:after="100" w:line="320" w:lineRule="exact"/>
      <w:ind w:left="0" w:firstLine="0" w:firstLineChars="0"/>
      <w:jc w:val="center"/>
    </w:pPr>
    <w:rPr>
      <w:rFonts w:ascii="宋体" w:hAnsi="Brush Script MT"/>
      <w:kern w:val="2"/>
      <w:sz w:val="21"/>
    </w:rPr>
  </w:style>
  <w:style w:type="paragraph" w:customStyle="1" w:styleId="480">
    <w:name w:val="正文3"/>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481">
    <w:name w:val="列出段落2"/>
    <w:basedOn w:val="1"/>
    <w:autoRedefine/>
    <w:qFormat/>
    <w:uiPriority w:val="0"/>
    <w:pPr>
      <w:ind w:firstLine="420" w:firstLineChars="200"/>
    </w:pPr>
    <w:rPr>
      <w:rFonts w:ascii="Calibri" w:hAnsi="Calibri"/>
      <w:kern w:val="0"/>
      <w:sz w:val="24"/>
      <w:szCs w:val="22"/>
    </w:rPr>
  </w:style>
  <w:style w:type="paragraph" w:customStyle="1" w:styleId="482">
    <w:name w:val="Char Char1 Char Char Char Char Char Char Char Char Char Char Char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483">
    <w:name w:val="font6"/>
    <w:basedOn w:val="1"/>
    <w:autoRedefine/>
    <w:qFormat/>
    <w:uiPriority w:val="0"/>
    <w:pPr>
      <w:widowControl/>
      <w:spacing w:before="100" w:beforeAutospacing="1" w:after="100" w:afterAutospacing="1"/>
      <w:jc w:val="left"/>
    </w:pPr>
    <w:rPr>
      <w:kern w:val="0"/>
      <w:sz w:val="24"/>
    </w:rPr>
  </w:style>
  <w:style w:type="paragraph" w:customStyle="1" w:styleId="484">
    <w:name w:val="Char Char Char1 Char"/>
    <w:basedOn w:val="1"/>
    <w:autoRedefine/>
    <w:qFormat/>
    <w:uiPriority w:val="0"/>
    <w:rPr>
      <w:sz w:val="24"/>
    </w:rPr>
  </w:style>
  <w:style w:type="paragraph" w:customStyle="1" w:styleId="485">
    <w:name w:val="_Style 15"/>
    <w:basedOn w:val="1"/>
    <w:autoRedefine/>
    <w:qFormat/>
    <w:uiPriority w:val="0"/>
  </w:style>
  <w:style w:type="paragraph" w:customStyle="1" w:styleId="486">
    <w:name w:val="正文001 Char Char"/>
    <w:basedOn w:val="1"/>
    <w:autoRedefine/>
    <w:qFormat/>
    <w:uiPriority w:val="99"/>
    <w:pPr>
      <w:spacing w:before="60" w:line="420" w:lineRule="exact"/>
      <w:ind w:firstLine="482"/>
    </w:pPr>
    <w:rPr>
      <w:sz w:val="24"/>
      <w:szCs w:val="20"/>
    </w:rPr>
  </w:style>
  <w:style w:type="paragraph" w:customStyle="1" w:styleId="487">
    <w:name w:val="xl34"/>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color w:val="FF0000"/>
      <w:kern w:val="0"/>
      <w:sz w:val="18"/>
      <w:szCs w:val="18"/>
    </w:rPr>
  </w:style>
  <w:style w:type="paragraph" w:customStyle="1" w:styleId="488">
    <w:name w:val="contentarticle"/>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489">
    <w:name w:val="Char1 Char Char Char1"/>
    <w:basedOn w:val="1"/>
    <w:autoRedefine/>
    <w:qFormat/>
    <w:uiPriority w:val="0"/>
  </w:style>
  <w:style w:type="paragraph" w:customStyle="1" w:styleId="490">
    <w:name w:val="4级（小）标题-都"/>
    <w:basedOn w:val="117"/>
    <w:autoRedefine/>
    <w:qFormat/>
    <w:uiPriority w:val="0"/>
    <w:pPr>
      <w:ind w:firstLine="0" w:firstLineChars="0"/>
      <w:outlineLvl w:val="3"/>
    </w:pPr>
    <w:rPr>
      <w:b/>
      <w:kern w:val="2"/>
      <w:szCs w:val="24"/>
    </w:rPr>
  </w:style>
  <w:style w:type="paragraph" w:customStyle="1" w:styleId="491">
    <w:name w:val="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492">
    <w:name w:val="－列表2"/>
    <w:basedOn w:val="1"/>
    <w:autoRedefine/>
    <w:semiHidden/>
    <w:qFormat/>
    <w:uiPriority w:val="0"/>
    <w:pPr>
      <w:jc w:val="center"/>
    </w:pPr>
  </w:style>
  <w:style w:type="paragraph" w:customStyle="1" w:styleId="493">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94">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495">
    <w:name w:val="_Style 490"/>
    <w:autoRedefine/>
    <w:unhideWhenUsed/>
    <w:qFormat/>
    <w:uiPriority w:val="99"/>
    <w:rPr>
      <w:rFonts w:ascii="Times New Roman" w:hAnsi="Times New Roman" w:eastAsia="宋体" w:cs="Times New Roman"/>
      <w:kern w:val="2"/>
      <w:sz w:val="21"/>
      <w:szCs w:val="21"/>
      <w:lang w:val="en-US" w:eastAsia="zh-CN" w:bidi="ar-SA"/>
    </w:rPr>
  </w:style>
  <w:style w:type="paragraph" w:customStyle="1" w:styleId="496">
    <w:name w:val="表格后文"/>
    <w:basedOn w:val="143"/>
    <w:autoRedefine/>
    <w:qFormat/>
    <w:uiPriority w:val="0"/>
    <w:pPr>
      <w:spacing w:before="300" w:line="460" w:lineRule="exact"/>
      <w:ind w:firstLine="200" w:firstLineChars="200"/>
    </w:pPr>
    <w:rPr>
      <w:sz w:val="24"/>
      <w:szCs w:val="24"/>
    </w:rPr>
  </w:style>
  <w:style w:type="paragraph" w:customStyle="1" w:styleId="497">
    <w:name w:val="样式 样式 正文缩进 + 小四 首行缩进:  2 字符 + 首行缩进:  2 字符 + 首行缩进:  2 字符"/>
    <w:basedOn w:val="1"/>
    <w:autoRedefine/>
    <w:qFormat/>
    <w:uiPriority w:val="99"/>
    <w:pPr>
      <w:spacing w:line="324" w:lineRule="auto"/>
      <w:ind w:firstLine="200" w:firstLineChars="200"/>
    </w:pPr>
    <w:rPr>
      <w:sz w:val="24"/>
    </w:rPr>
  </w:style>
  <w:style w:type="paragraph" w:customStyle="1" w:styleId="498">
    <w:name w:val="样式 样式 纯文本 Char普通文字 Char普通文字 Char CharChar普通文字 Char Char Char C.....4"/>
    <w:basedOn w:val="1"/>
    <w:autoRedefine/>
    <w:qFormat/>
    <w:uiPriority w:val="0"/>
    <w:pPr>
      <w:spacing w:line="360" w:lineRule="auto"/>
      <w:ind w:firstLine="200" w:firstLineChars="200"/>
    </w:pPr>
    <w:rPr>
      <w:rFonts w:ascii="Arial" w:hAnsi="Arial" w:cs="宋体"/>
      <w:sz w:val="24"/>
      <w:szCs w:val="20"/>
    </w:rPr>
  </w:style>
  <w:style w:type="paragraph" w:customStyle="1" w:styleId="499">
    <w:name w:val="表1"/>
    <w:basedOn w:val="1"/>
    <w:next w:val="1"/>
    <w:autoRedefine/>
    <w:qFormat/>
    <w:uiPriority w:val="0"/>
    <w:pPr>
      <w:spacing w:line="300" w:lineRule="auto"/>
      <w:ind w:left="900" w:leftChars="200" w:hanging="480" w:hangingChars="200"/>
      <w:jc w:val="center"/>
    </w:pPr>
    <w:rPr>
      <w:sz w:val="24"/>
    </w:rPr>
  </w:style>
  <w:style w:type="paragraph" w:customStyle="1" w:styleId="500">
    <w:name w:val="font10"/>
    <w:basedOn w:val="1"/>
    <w:autoRedefine/>
    <w:qFormat/>
    <w:uiPriority w:val="0"/>
    <w:pPr>
      <w:widowControl/>
      <w:spacing w:before="100" w:beforeAutospacing="1" w:after="100" w:afterAutospacing="1"/>
      <w:jc w:val="left"/>
    </w:pPr>
    <w:rPr>
      <w:rFonts w:ascii="楷体_GB2312" w:hAnsi="宋体" w:eastAsia="楷体_GB2312" w:cs="宋体"/>
      <w:color w:val="000000"/>
      <w:kern w:val="0"/>
      <w:sz w:val="24"/>
    </w:rPr>
  </w:style>
  <w:style w:type="paragraph" w:customStyle="1" w:styleId="501">
    <w:name w:val="样式 标题 1 + (中文) 宋体 居中"/>
    <w:basedOn w:val="3"/>
    <w:autoRedefine/>
    <w:qFormat/>
    <w:uiPriority w:val="0"/>
    <w:pPr>
      <w:keepLines/>
      <w:overflowPunct/>
      <w:snapToGrid/>
      <w:spacing w:before="100" w:beforeAutospacing="1" w:after="100" w:afterAutospacing="1" w:line="360" w:lineRule="auto"/>
      <w:ind w:left="0" w:firstLine="0"/>
      <w:jc w:val="center"/>
    </w:pPr>
    <w:rPr>
      <w:rFonts w:eastAsia="宋体" w:cs="宋体"/>
      <w:color w:val="auto"/>
      <w:sz w:val="44"/>
      <w:szCs w:val="20"/>
    </w:rPr>
  </w:style>
  <w:style w:type="paragraph" w:customStyle="1" w:styleId="502">
    <w:name w:val="Char Char Char Char Char Char Char Char1"/>
    <w:basedOn w:val="1"/>
    <w:autoRedefine/>
    <w:qFormat/>
    <w:uiPriority w:val="0"/>
    <w:pPr>
      <w:widowControl/>
      <w:jc w:val="left"/>
    </w:pPr>
    <w:rPr>
      <w:rFonts w:ascii="Tahoma" w:hAnsi="Tahoma" w:cs="Tahoma"/>
      <w:color w:val="000000"/>
      <w:kern w:val="0"/>
      <w:sz w:val="24"/>
    </w:rPr>
  </w:style>
  <w:style w:type="paragraph" w:customStyle="1" w:styleId="503">
    <w:name w:val="默认段落字体 Para Char Char Char Char"/>
    <w:basedOn w:val="1"/>
    <w:autoRedefine/>
    <w:qFormat/>
    <w:uiPriority w:val="0"/>
    <w:rPr>
      <w:sz w:val="24"/>
    </w:rPr>
  </w:style>
  <w:style w:type="paragraph" w:customStyle="1" w:styleId="504">
    <w:name w:val="标1"/>
    <w:basedOn w:val="1"/>
    <w:autoRedefine/>
    <w:qFormat/>
    <w:uiPriority w:val="0"/>
    <w:pPr>
      <w:spacing w:before="60" w:line="460" w:lineRule="exact"/>
      <w:outlineLvl w:val="0"/>
    </w:pPr>
    <w:rPr>
      <w:b/>
      <w:sz w:val="32"/>
      <w:szCs w:val="20"/>
    </w:rPr>
  </w:style>
  <w:style w:type="paragraph" w:customStyle="1" w:styleId="505">
    <w:name w:val="Char Char Char Char Char Char Char Char Char Char Char Char Char Char11"/>
    <w:basedOn w:val="1"/>
    <w:autoRedefine/>
    <w:qFormat/>
    <w:uiPriority w:val="0"/>
  </w:style>
  <w:style w:type="paragraph" w:customStyle="1" w:styleId="506">
    <w:name w:val="标题111 Char Char Char Char"/>
    <w:basedOn w:val="1"/>
    <w:autoRedefine/>
    <w:qFormat/>
    <w:uiPriority w:val="0"/>
    <w:pPr>
      <w:spacing w:line="360" w:lineRule="auto"/>
      <w:ind w:firstLine="200" w:firstLineChars="200"/>
    </w:pPr>
    <w:rPr>
      <w:rFonts w:ascii="宋体" w:hAnsi="宋体" w:cs="宋体"/>
      <w:sz w:val="24"/>
    </w:rPr>
  </w:style>
  <w:style w:type="paragraph" w:customStyle="1" w:styleId="507">
    <w:name w:val="Char Char1 Char Char Char Char"/>
    <w:basedOn w:val="1"/>
    <w:autoRedefine/>
    <w:qFormat/>
    <w:uiPriority w:val="0"/>
    <w:pPr>
      <w:widowControl/>
      <w:spacing w:after="160" w:line="240" w:lineRule="exact"/>
      <w:jc w:val="left"/>
    </w:pPr>
    <w:rPr>
      <w:szCs w:val="20"/>
    </w:rPr>
  </w:style>
  <w:style w:type="paragraph" w:customStyle="1" w:styleId="508">
    <w:name w:val="样式 样式 样式 纯文本 Char普通文字 Char普通文字 Char CharChar普通文字 Char Char Char ..."/>
    <w:basedOn w:val="1"/>
    <w:autoRedefine/>
    <w:qFormat/>
    <w:uiPriority w:val="0"/>
    <w:pPr>
      <w:spacing w:line="360" w:lineRule="auto"/>
      <w:ind w:firstLine="480" w:firstLineChars="200"/>
    </w:pPr>
    <w:rPr>
      <w:rFonts w:ascii="Arial" w:hAnsi="Arial" w:cs="宋体"/>
      <w:sz w:val="24"/>
      <w:szCs w:val="20"/>
    </w:rPr>
  </w:style>
  <w:style w:type="paragraph" w:customStyle="1" w:styleId="509">
    <w:name w:val="MTDisplayEquation"/>
    <w:basedOn w:val="1"/>
    <w:next w:val="1"/>
    <w:autoRedefine/>
    <w:qFormat/>
    <w:uiPriority w:val="0"/>
    <w:pPr>
      <w:tabs>
        <w:tab w:val="center" w:pos="4160"/>
        <w:tab w:val="right" w:pos="8300"/>
      </w:tabs>
      <w:spacing w:line="440" w:lineRule="exact"/>
      <w:ind w:firstLine="200" w:firstLineChars="200"/>
    </w:pPr>
    <w:rPr>
      <w:rFonts w:eastAsia="仿宋_GB2312"/>
      <w:bCs/>
      <w:sz w:val="32"/>
    </w:rPr>
  </w:style>
  <w:style w:type="paragraph" w:customStyle="1" w:styleId="510">
    <w:name w:val="纯文本211"/>
    <w:basedOn w:val="1"/>
    <w:autoRedefine/>
    <w:qFormat/>
    <w:uiPriority w:val="0"/>
    <w:pPr>
      <w:adjustRightInd w:val="0"/>
      <w:textAlignment w:val="baseline"/>
    </w:pPr>
    <w:rPr>
      <w:rFonts w:ascii="宋体" w:hAnsi="Courier New"/>
      <w:szCs w:val="20"/>
    </w:rPr>
  </w:style>
  <w:style w:type="paragraph" w:customStyle="1" w:styleId="511">
    <w:name w:val="表内表"/>
    <w:basedOn w:val="1"/>
    <w:autoRedefine/>
    <w:qFormat/>
    <w:uiPriority w:val="0"/>
    <w:pPr>
      <w:jc w:val="center"/>
    </w:pPr>
    <w:rPr>
      <w:rFonts w:eastAsia="仿宋_GB2312"/>
      <w:kern w:val="0"/>
      <w:szCs w:val="20"/>
    </w:rPr>
  </w:style>
  <w:style w:type="paragraph" w:customStyle="1" w:styleId="512">
    <w:name w:val="Char21"/>
    <w:basedOn w:val="1"/>
    <w:autoRedefine/>
    <w:qFormat/>
    <w:uiPriority w:val="0"/>
    <w:pPr>
      <w:spacing w:line="360" w:lineRule="auto"/>
      <w:ind w:firstLine="200" w:firstLineChars="200"/>
    </w:pPr>
    <w:rPr>
      <w:rFonts w:ascii="宋体" w:hAnsi="宋体" w:cs="宋体"/>
      <w:sz w:val="24"/>
    </w:rPr>
  </w:style>
  <w:style w:type="paragraph" w:customStyle="1" w:styleId="513">
    <w:name w:val="正文 首行缩进:  2 字符"/>
    <w:basedOn w:val="1"/>
    <w:autoRedefine/>
    <w:qFormat/>
    <w:uiPriority w:val="0"/>
    <w:pPr>
      <w:spacing w:line="360" w:lineRule="auto"/>
      <w:ind w:firstLine="480" w:firstLineChars="200"/>
      <w:jc w:val="left"/>
    </w:pPr>
    <w:rPr>
      <w:sz w:val="24"/>
    </w:rPr>
  </w:style>
  <w:style w:type="paragraph" w:customStyle="1" w:styleId="514">
    <w:name w:val="Char Char Char Char Char Char Char Char Char Char Char Char Char"/>
    <w:basedOn w:val="1"/>
    <w:autoRedefine/>
    <w:qFormat/>
    <w:uiPriority w:val="0"/>
    <w:pPr>
      <w:tabs>
        <w:tab w:val="left" w:pos="432"/>
      </w:tabs>
      <w:ind w:left="432" w:hanging="432"/>
    </w:pPr>
    <w:rPr>
      <w:rFonts w:ascii="Tahoma" w:hAnsi="Tahoma"/>
      <w:sz w:val="24"/>
      <w:szCs w:val="20"/>
    </w:rPr>
  </w:style>
  <w:style w:type="paragraph" w:customStyle="1" w:styleId="515">
    <w:name w:val="样式4"/>
    <w:basedOn w:val="5"/>
    <w:autoRedefine/>
    <w:qFormat/>
    <w:uiPriority w:val="0"/>
    <w:pPr>
      <w:widowControl/>
      <w:spacing w:line="360" w:lineRule="auto"/>
      <w:ind w:firstLine="480" w:firstLineChars="200"/>
    </w:pPr>
    <w:rPr>
      <w:rFonts w:ascii="Arial" w:hAnsi="Arial"/>
      <w:kern w:val="0"/>
      <w:sz w:val="24"/>
      <w:szCs w:val="24"/>
    </w:rPr>
  </w:style>
  <w:style w:type="paragraph" w:customStyle="1" w:styleId="516">
    <w:name w:val="表格内文字"/>
    <w:basedOn w:val="1"/>
    <w:autoRedefine/>
    <w:qFormat/>
    <w:uiPriority w:val="0"/>
    <w:pPr>
      <w:spacing w:line="320" w:lineRule="exact"/>
      <w:jc w:val="center"/>
    </w:pPr>
  </w:style>
  <w:style w:type="paragraph" w:customStyle="1" w:styleId="517">
    <w:name w:val="ST20_1"/>
    <w:basedOn w:val="1"/>
    <w:autoRedefine/>
    <w:qFormat/>
    <w:uiPriority w:val="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518">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19">
    <w:name w:val="Char Char Char Char Char Char Char Char Char Char Char Char Char Char1"/>
    <w:basedOn w:val="1"/>
    <w:autoRedefine/>
    <w:qFormat/>
    <w:uiPriority w:val="0"/>
  </w:style>
  <w:style w:type="paragraph" w:customStyle="1" w:styleId="520">
    <w:name w:val="备注"/>
    <w:basedOn w:val="323"/>
    <w:autoRedefine/>
    <w:qFormat/>
    <w:uiPriority w:val="0"/>
    <w:pPr>
      <w:adjustRightInd/>
      <w:snapToGrid/>
      <w:spacing w:line="240" w:lineRule="auto"/>
      <w:ind w:firstLine="0" w:firstLineChars="0"/>
    </w:pPr>
    <w:rPr>
      <w:rFonts w:hAnsi="宋体" w:eastAsia="楷体_GB2312"/>
      <w:b/>
      <w:sz w:val="21"/>
    </w:rPr>
  </w:style>
  <w:style w:type="paragraph" w:customStyle="1" w:styleId="521">
    <w:name w:val="流程图"/>
    <w:basedOn w:val="1"/>
    <w:autoRedefine/>
    <w:qFormat/>
    <w:uiPriority w:val="0"/>
    <w:pPr>
      <w:tabs>
        <w:tab w:val="left" w:pos="0"/>
      </w:tabs>
      <w:autoSpaceDE w:val="0"/>
      <w:autoSpaceDN w:val="0"/>
      <w:adjustRightInd w:val="0"/>
      <w:spacing w:before="60" w:after="120"/>
      <w:textAlignment w:val="bottom"/>
    </w:pPr>
    <w:rPr>
      <w:rFonts w:ascii="宋体"/>
    </w:rPr>
  </w:style>
  <w:style w:type="paragraph" w:customStyle="1" w:styleId="522">
    <w:name w:val="Char2"/>
    <w:basedOn w:val="1"/>
    <w:autoRedefine/>
    <w:qFormat/>
    <w:uiPriority w:val="0"/>
    <w:pPr>
      <w:spacing w:line="360" w:lineRule="auto"/>
      <w:ind w:firstLine="200" w:firstLineChars="200"/>
    </w:pPr>
    <w:rPr>
      <w:rFonts w:ascii="宋体" w:hAnsi="宋体" w:cs="宋体"/>
      <w:sz w:val="24"/>
    </w:rPr>
  </w:style>
  <w:style w:type="paragraph" w:customStyle="1" w:styleId="523">
    <w:name w:val="默认段落字体 Para Char Char"/>
    <w:basedOn w:val="1"/>
    <w:autoRedefine/>
    <w:semiHidden/>
    <w:qFormat/>
    <w:uiPriority w:val="0"/>
  </w:style>
  <w:style w:type="paragraph" w:customStyle="1" w:styleId="524">
    <w:name w:val="p16"/>
    <w:basedOn w:val="1"/>
    <w:autoRedefine/>
    <w:qFormat/>
    <w:uiPriority w:val="99"/>
    <w:pPr>
      <w:widowControl/>
      <w:spacing w:after="120" w:line="480" w:lineRule="auto"/>
      <w:ind w:left="420"/>
    </w:pPr>
    <w:rPr>
      <w:kern w:val="0"/>
    </w:rPr>
  </w:style>
  <w:style w:type="paragraph" w:customStyle="1" w:styleId="525">
    <w:name w:val="Char Char1 Char Char Char Char Char Char Char Char Char Char Char Char Char Char Char Char Char Char Char Char1 Char"/>
    <w:basedOn w:val="1"/>
    <w:autoRedefine/>
    <w:qFormat/>
    <w:uiPriority w:val="0"/>
    <w:pPr>
      <w:spacing w:line="360" w:lineRule="auto"/>
      <w:ind w:firstLine="200" w:firstLineChars="200"/>
    </w:pPr>
    <w:rPr>
      <w:rFonts w:ascii="宋体" w:hAnsi="宋体" w:cs="宋体"/>
      <w:sz w:val="24"/>
    </w:rPr>
  </w:style>
  <w:style w:type="paragraph" w:customStyle="1" w:styleId="526">
    <w:name w:val="样式 样式 标题 3第二层条3H3h3Underrubrik2h31본문글1.1.1heading 3h32TH...1 + 段..."/>
    <w:basedOn w:val="1"/>
    <w:autoRedefine/>
    <w:qFormat/>
    <w:uiPriority w:val="0"/>
    <w:pPr>
      <w:keepNext/>
      <w:keepLines/>
      <w:tabs>
        <w:tab w:val="left" w:pos="1080"/>
      </w:tabs>
      <w:spacing w:before="50" w:beforeLines="50" w:after="50" w:afterLines="50" w:line="360" w:lineRule="auto"/>
      <w:ind w:left="709" w:hanging="709"/>
      <w:jc w:val="left"/>
      <w:outlineLvl w:val="2"/>
    </w:pPr>
    <w:rPr>
      <w:rFonts w:ascii="Arial" w:hAnsi="Arial" w:cs="宋体"/>
      <w:sz w:val="24"/>
      <w:szCs w:val="20"/>
    </w:rPr>
  </w:style>
  <w:style w:type="paragraph" w:customStyle="1" w:styleId="527">
    <w:name w:val="Char1 Char Char Char2"/>
    <w:basedOn w:val="1"/>
    <w:autoRedefine/>
    <w:qFormat/>
    <w:uiPriority w:val="0"/>
  </w:style>
  <w:style w:type="paragraph" w:customStyle="1" w:styleId="528">
    <w:name w:val="1.1.1"/>
    <w:basedOn w:val="1"/>
    <w:autoRedefine/>
    <w:qFormat/>
    <w:uiPriority w:val="0"/>
    <w:rPr>
      <w:rFonts w:ascii="黑体"/>
      <w:sz w:val="24"/>
    </w:rPr>
  </w:style>
  <w:style w:type="paragraph" w:customStyle="1" w:styleId="529">
    <w:name w:val="Char Char Char Char2"/>
    <w:basedOn w:val="1"/>
    <w:autoRedefine/>
    <w:qFormat/>
    <w:uiPriority w:val="0"/>
    <w:pPr>
      <w:spacing w:line="360" w:lineRule="auto"/>
      <w:ind w:firstLine="200" w:firstLineChars="200"/>
    </w:pPr>
    <w:rPr>
      <w:rFonts w:ascii="宋体" w:hAnsi="宋体" w:cs="宋体"/>
      <w:sz w:val="24"/>
    </w:rPr>
  </w:style>
  <w:style w:type="paragraph" w:customStyle="1" w:styleId="530">
    <w:name w:val="常用责任表"/>
    <w:basedOn w:val="344"/>
    <w:next w:val="344"/>
    <w:autoRedefine/>
    <w:qFormat/>
    <w:uiPriority w:val="0"/>
    <w:pPr>
      <w:ind w:firstLine="0"/>
      <w:jc w:val="center"/>
    </w:pPr>
    <w:rPr>
      <w:rFonts w:ascii="华文新魏" w:eastAsia="华文新魏" w:cs="宋体"/>
      <w:b/>
      <w:bCs/>
      <w:sz w:val="44"/>
      <w:szCs w:val="20"/>
    </w:rPr>
  </w:style>
  <w:style w:type="paragraph" w:customStyle="1" w:styleId="531">
    <w:name w:val="Char Char Char Char Char Char Char Char Char Char Char Char1 Char Char Char Char"/>
    <w:basedOn w:val="1"/>
    <w:autoRedefine/>
    <w:qFormat/>
    <w:uiPriority w:val="0"/>
    <w:pPr>
      <w:spacing w:line="360" w:lineRule="auto"/>
      <w:ind w:firstLine="200" w:firstLineChars="200"/>
    </w:pPr>
  </w:style>
  <w:style w:type="paragraph" w:customStyle="1" w:styleId="532">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33">
    <w:name w:val="Char Char1 Char Char Char Char Char Char Char Char Char Char Char Char Char Char Char Char Char Char Char Char1 Char1"/>
    <w:basedOn w:val="1"/>
    <w:autoRedefine/>
    <w:qFormat/>
    <w:uiPriority w:val="0"/>
    <w:pPr>
      <w:spacing w:line="360" w:lineRule="auto"/>
      <w:ind w:firstLine="200" w:firstLineChars="200"/>
    </w:pPr>
    <w:rPr>
      <w:rFonts w:ascii="宋体" w:hAnsi="宋体" w:cs="宋体"/>
      <w:sz w:val="24"/>
    </w:rPr>
  </w:style>
  <w:style w:type="paragraph" w:customStyle="1" w:styleId="534">
    <w:name w:val="表格文本"/>
    <w:basedOn w:val="1"/>
    <w:next w:val="1"/>
    <w:autoRedefine/>
    <w:qFormat/>
    <w:uiPriority w:val="0"/>
    <w:pPr>
      <w:spacing w:line="240" w:lineRule="exact"/>
      <w:jc w:val="center"/>
    </w:pPr>
    <w:rPr>
      <w:rFonts w:eastAsia="Times New Roman"/>
      <w:szCs w:val="20"/>
    </w:rPr>
  </w:style>
  <w:style w:type="paragraph" w:customStyle="1" w:styleId="535">
    <w:name w:val="样式 正文001 + 首行缩进:  2 字符"/>
    <w:basedOn w:val="181"/>
    <w:autoRedefine/>
    <w:qFormat/>
    <w:uiPriority w:val="0"/>
    <w:pPr>
      <w:spacing w:line="460" w:lineRule="atLeast"/>
      <w:ind w:firstLine="480" w:firstLineChars="200"/>
    </w:pPr>
  </w:style>
  <w:style w:type="paragraph" w:customStyle="1" w:styleId="536">
    <w:name w:val="p15"/>
    <w:basedOn w:val="1"/>
    <w:autoRedefine/>
    <w:qFormat/>
    <w:uiPriority w:val="99"/>
    <w:pPr>
      <w:widowControl/>
      <w:spacing w:line="360" w:lineRule="auto"/>
      <w:ind w:firstLine="420"/>
    </w:pPr>
    <w:rPr>
      <w:rFonts w:ascii="Arial" w:hAnsi="Arial" w:cs="Arial"/>
      <w:kern w:val="0"/>
      <w:sz w:val="24"/>
    </w:rPr>
  </w:style>
  <w:style w:type="paragraph" w:customStyle="1" w:styleId="537">
    <w:name w:val="普通(网站)1"/>
    <w:basedOn w:val="1"/>
    <w:autoRedefine/>
    <w:qFormat/>
    <w:uiPriority w:val="0"/>
    <w:pPr>
      <w:widowControl/>
      <w:spacing w:before="100" w:beforeAutospacing="1" w:after="100" w:afterAutospacing="1"/>
      <w:jc w:val="left"/>
    </w:pPr>
    <w:rPr>
      <w:rFonts w:hint="eastAsia" w:ascii="宋体" w:hAnsi="宋体"/>
      <w:sz w:val="24"/>
      <w:szCs w:val="20"/>
    </w:rPr>
  </w:style>
  <w:style w:type="paragraph" w:customStyle="1" w:styleId="538">
    <w:name w:val="xl37"/>
    <w:basedOn w:val="1"/>
    <w:autoRedefine/>
    <w:qFormat/>
    <w:uiPriority w:val="0"/>
    <w:pPr>
      <w:widowControl/>
      <w:spacing w:before="100" w:beforeAutospacing="1" w:after="100" w:afterAutospacing="1"/>
      <w:jc w:val="center"/>
    </w:pPr>
    <w:rPr>
      <w:rFonts w:ascii="宋体" w:hAnsi="宋体"/>
      <w:kern w:val="0"/>
      <w:sz w:val="24"/>
      <w:szCs w:val="20"/>
    </w:rPr>
  </w:style>
  <w:style w:type="paragraph" w:customStyle="1" w:styleId="539">
    <w:name w:val="Char Char Char Char Char Char3 Char Char Char Char Char Char Char1"/>
    <w:basedOn w:val="1"/>
    <w:next w:val="1"/>
    <w:autoRedefine/>
    <w:qFormat/>
    <w:uiPriority w:val="0"/>
    <w:rPr>
      <w:rFonts w:eastAsia="黑体"/>
      <w:sz w:val="28"/>
    </w:rPr>
  </w:style>
  <w:style w:type="paragraph" w:customStyle="1" w:styleId="540">
    <w:name w:val="zxz5"/>
    <w:next w:val="1"/>
    <w:autoRedefine/>
    <w:qFormat/>
    <w:uiPriority w:val="0"/>
    <w:pPr>
      <w:tabs>
        <w:tab w:val="left" w:pos="0"/>
      </w:tabs>
      <w:jc w:val="center"/>
    </w:pPr>
    <w:rPr>
      <w:rFonts w:ascii="宋体" w:hAnsi="宋体" w:eastAsia="Times New Roman" w:cs="Times New Roman"/>
      <w:kern w:val="2"/>
      <w:sz w:val="18"/>
      <w:lang w:val="en-US" w:eastAsia="zh-CN" w:bidi="ar-SA"/>
    </w:rPr>
  </w:style>
  <w:style w:type="paragraph" w:customStyle="1" w:styleId="541">
    <w:name w:val="List Paragraph1"/>
    <w:basedOn w:val="1"/>
    <w:autoRedefine/>
    <w:qFormat/>
    <w:uiPriority w:val="0"/>
    <w:pPr>
      <w:ind w:firstLine="420" w:firstLineChars="200"/>
    </w:pPr>
  </w:style>
  <w:style w:type="paragraph" w:customStyle="1" w:styleId="542">
    <w:name w:val="_Style 537"/>
    <w:basedOn w:val="3"/>
    <w:next w:val="1"/>
    <w:autoRedefine/>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543">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44">
    <w:name w:val="1 Char Char Char Char Char Char Char Char"/>
    <w:basedOn w:val="1"/>
    <w:autoRedefine/>
    <w:qFormat/>
    <w:uiPriority w:val="0"/>
    <w:rPr>
      <w:sz w:val="24"/>
    </w:rPr>
  </w:style>
  <w:style w:type="paragraph" w:customStyle="1" w:styleId="545">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546">
    <w:name w:val="正文五"/>
    <w:basedOn w:val="1"/>
    <w:autoRedefine/>
    <w:qFormat/>
    <w:uiPriority w:val="99"/>
    <w:pPr>
      <w:snapToGrid w:val="0"/>
      <w:jc w:val="center"/>
    </w:pPr>
    <w:rPr>
      <w:szCs w:val="28"/>
    </w:rPr>
  </w:style>
  <w:style w:type="paragraph" w:customStyle="1" w:styleId="547">
    <w:name w:val="Char Char1 Char Char Char Char1"/>
    <w:basedOn w:val="1"/>
    <w:autoRedefine/>
    <w:qFormat/>
    <w:uiPriority w:val="0"/>
    <w:pPr>
      <w:widowControl/>
      <w:spacing w:after="160" w:line="240" w:lineRule="exact"/>
      <w:jc w:val="left"/>
    </w:pPr>
    <w:rPr>
      <w:szCs w:val="20"/>
    </w:rPr>
  </w:style>
  <w:style w:type="paragraph" w:customStyle="1" w:styleId="548">
    <w:name w:val="Char3"/>
    <w:basedOn w:val="1"/>
    <w:autoRedefine/>
    <w:qFormat/>
    <w:uiPriority w:val="0"/>
    <w:pPr>
      <w:spacing w:line="360" w:lineRule="auto"/>
      <w:ind w:firstLine="200" w:firstLineChars="200"/>
    </w:pPr>
    <w:rPr>
      <w:rFonts w:ascii="宋体" w:hAnsi="宋体" w:cs="宋体"/>
      <w:sz w:val="24"/>
    </w:rPr>
  </w:style>
  <w:style w:type="paragraph" w:customStyle="1" w:styleId="549">
    <w:name w:val="样式 标题 4款标题1.1.1.1标题 4 Char Char标题 4 Char四表格1目H4H41L4Mi..."/>
    <w:basedOn w:val="6"/>
    <w:autoRedefine/>
    <w:qFormat/>
    <w:uiPriority w:val="0"/>
    <w:pPr>
      <w:tabs>
        <w:tab w:val="left" w:pos="851"/>
      </w:tabs>
      <w:adjustRightInd/>
      <w:spacing w:before="0" w:after="0"/>
      <w:ind w:left="1128" w:hanging="561"/>
      <w:jc w:val="center"/>
      <w:textAlignment w:val="auto"/>
    </w:pPr>
    <w:rPr>
      <w:rFonts w:eastAsia="仿宋_GB2312" w:cs="宋体"/>
      <w:b/>
      <w:bCs/>
    </w:rPr>
  </w:style>
  <w:style w:type="paragraph" w:customStyle="1" w:styleId="550">
    <w:name w:val="xl32"/>
    <w:basedOn w:val="1"/>
    <w:autoRedefine/>
    <w:qFormat/>
    <w:uiPriority w:val="0"/>
    <w:pPr>
      <w:widowControl/>
      <w:pBdr>
        <w:left w:val="single" w:color="auto" w:sz="4" w:space="0"/>
        <w:right w:val="single" w:color="auto" w:sz="4" w:space="0"/>
      </w:pBdr>
      <w:spacing w:before="100" w:beforeAutospacing="1" w:after="100" w:afterAutospacing="1"/>
    </w:pPr>
    <w:rPr>
      <w:rFonts w:ascii="宋体" w:hAnsi="宋体"/>
      <w:kern w:val="0"/>
      <w:sz w:val="24"/>
    </w:rPr>
  </w:style>
  <w:style w:type="paragraph" w:customStyle="1" w:styleId="551">
    <w:name w:val="Char Char Char Char Char Char Char Char"/>
    <w:basedOn w:val="1"/>
    <w:autoRedefine/>
    <w:qFormat/>
    <w:uiPriority w:val="0"/>
    <w:pPr>
      <w:widowControl/>
      <w:jc w:val="left"/>
    </w:pPr>
    <w:rPr>
      <w:rFonts w:ascii="Tahoma" w:hAnsi="Tahoma" w:cs="Tahoma"/>
      <w:color w:val="000000"/>
      <w:kern w:val="0"/>
      <w:sz w:val="24"/>
    </w:rPr>
  </w:style>
  <w:style w:type="paragraph" w:customStyle="1" w:styleId="552">
    <w:name w:val="gao"/>
    <w:basedOn w:val="1"/>
    <w:autoRedefine/>
    <w:qFormat/>
    <w:uiPriority w:val="0"/>
    <w:pPr>
      <w:autoSpaceDE w:val="0"/>
      <w:autoSpaceDN w:val="0"/>
      <w:adjustRightInd w:val="0"/>
      <w:spacing w:line="360" w:lineRule="auto"/>
    </w:pPr>
    <w:rPr>
      <w:rFonts w:hint="eastAsia" w:ascii="宋体"/>
      <w:kern w:val="0"/>
      <w:sz w:val="28"/>
      <w:szCs w:val="20"/>
    </w:rPr>
  </w:style>
  <w:style w:type="paragraph" w:customStyle="1" w:styleId="553">
    <w:name w:val="2级标题-都"/>
    <w:basedOn w:val="117"/>
    <w:autoRedefine/>
    <w:qFormat/>
    <w:uiPriority w:val="0"/>
    <w:pPr>
      <w:ind w:firstLine="0" w:firstLineChars="0"/>
      <w:outlineLvl w:val="1"/>
    </w:pPr>
    <w:rPr>
      <w:b/>
      <w:kern w:val="2"/>
      <w:sz w:val="28"/>
      <w:szCs w:val="21"/>
    </w:rPr>
  </w:style>
  <w:style w:type="paragraph" w:customStyle="1" w:styleId="554">
    <w:name w:val="表格头"/>
    <w:basedOn w:val="1"/>
    <w:autoRedefine/>
    <w:qFormat/>
    <w:uiPriority w:val="0"/>
    <w:pPr>
      <w:spacing w:line="360" w:lineRule="auto"/>
      <w:jc w:val="center"/>
    </w:pPr>
    <w:rPr>
      <w:b/>
      <w:bCs/>
      <w:szCs w:val="20"/>
    </w:rPr>
  </w:style>
  <w:style w:type="paragraph" w:customStyle="1" w:styleId="555">
    <w:name w:val="xl7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556">
    <w:name w:val="p21"/>
    <w:basedOn w:val="1"/>
    <w:autoRedefine/>
    <w:qFormat/>
    <w:uiPriority w:val="99"/>
    <w:pPr>
      <w:widowControl/>
      <w:spacing w:before="300" w:line="460" w:lineRule="atLeast"/>
    </w:pPr>
    <w:rPr>
      <w:b/>
      <w:bCs/>
      <w:kern w:val="0"/>
      <w:sz w:val="24"/>
    </w:rPr>
  </w:style>
  <w:style w:type="paragraph" w:customStyle="1" w:styleId="557">
    <w:name w:val="样式 表格样式1 + (西文) Arial (中文) 宋体 自动设置 两端对齐 行距: 单倍行距"/>
    <w:basedOn w:val="1"/>
    <w:autoRedefine/>
    <w:qFormat/>
    <w:uiPriority w:val="0"/>
    <w:pPr>
      <w:jc w:val="center"/>
    </w:pPr>
    <w:rPr>
      <w:rFonts w:ascii="Arial" w:hAnsi="Arial" w:cs="宋体"/>
      <w:kern w:val="0"/>
      <w:szCs w:val="20"/>
    </w:rPr>
  </w:style>
  <w:style w:type="paragraph" w:customStyle="1" w:styleId="558">
    <w:name w:val="1表格"/>
    <w:basedOn w:val="1"/>
    <w:autoRedefine/>
    <w:qFormat/>
    <w:uiPriority w:val="0"/>
    <w:pPr>
      <w:snapToGrid w:val="0"/>
      <w:jc w:val="center"/>
      <w:outlineLvl w:val="4"/>
    </w:pPr>
    <w:rPr>
      <w:spacing w:val="4"/>
    </w:rPr>
  </w:style>
  <w:style w:type="paragraph" w:customStyle="1" w:styleId="559">
    <w:name w:val="正文AAA"/>
    <w:basedOn w:val="1"/>
    <w:autoRedefine/>
    <w:qFormat/>
    <w:uiPriority w:val="99"/>
    <w:pPr>
      <w:spacing w:line="500" w:lineRule="exact"/>
      <w:ind w:firstLine="480" w:firstLineChars="200"/>
    </w:pPr>
    <w:rPr>
      <w:rFonts w:ascii="宋体" w:hAnsi="宋体" w:cs="宋体"/>
      <w:sz w:val="24"/>
      <w:szCs w:val="20"/>
    </w:rPr>
  </w:style>
  <w:style w:type="paragraph" w:customStyle="1" w:styleId="560">
    <w:name w:val="ZW"/>
    <w:basedOn w:val="1"/>
    <w:autoRedefine/>
    <w:qFormat/>
    <w:uiPriority w:val="0"/>
    <w:pPr>
      <w:spacing w:line="480" w:lineRule="exact"/>
      <w:ind w:firstLine="200" w:firstLineChars="200"/>
    </w:pPr>
    <w:rPr>
      <w:spacing w:val="10"/>
      <w:sz w:val="24"/>
    </w:rPr>
  </w:style>
  <w:style w:type="paragraph" w:customStyle="1" w:styleId="561">
    <w:name w:val="标题02"/>
    <w:basedOn w:val="1"/>
    <w:next w:val="1"/>
    <w:autoRedefine/>
    <w:qFormat/>
    <w:uiPriority w:val="0"/>
    <w:pPr>
      <w:snapToGrid w:val="0"/>
      <w:spacing w:line="440" w:lineRule="atLeast"/>
      <w:outlineLvl w:val="1"/>
    </w:pPr>
    <w:rPr>
      <w:b/>
      <w:sz w:val="24"/>
      <w:szCs w:val="20"/>
    </w:rPr>
  </w:style>
  <w:style w:type="paragraph" w:customStyle="1" w:styleId="562">
    <w:name w:val="Char2 Char Char Char Char Char Char4"/>
    <w:basedOn w:val="1"/>
    <w:autoRedefine/>
    <w:qFormat/>
    <w:uiPriority w:val="0"/>
  </w:style>
  <w:style w:type="paragraph" w:customStyle="1" w:styleId="563">
    <w:name w:val="表格文字（都）"/>
    <w:basedOn w:val="1"/>
    <w:autoRedefine/>
    <w:qFormat/>
    <w:uiPriority w:val="0"/>
    <w:pPr>
      <w:jc w:val="center"/>
    </w:pPr>
  </w:style>
  <w:style w:type="paragraph" w:customStyle="1" w:styleId="564">
    <w:name w:val="Char Char1 Char Char Char Char Char Char Char Char Char Char Char Char Char Char Char Char Char Char Char Char1 Char2"/>
    <w:basedOn w:val="1"/>
    <w:autoRedefine/>
    <w:qFormat/>
    <w:uiPriority w:val="0"/>
    <w:pPr>
      <w:spacing w:line="360" w:lineRule="auto"/>
      <w:ind w:firstLine="200" w:firstLineChars="200"/>
    </w:pPr>
    <w:rPr>
      <w:rFonts w:ascii="宋体" w:hAnsi="宋体" w:cs="宋体"/>
      <w:sz w:val="24"/>
    </w:rPr>
  </w:style>
  <w:style w:type="paragraph" w:customStyle="1" w:styleId="565">
    <w:name w:val="表格居中"/>
    <w:autoRedefine/>
    <w:qFormat/>
    <w:uiPriority w:val="0"/>
    <w:pPr>
      <w:jc w:val="center"/>
    </w:pPr>
    <w:rPr>
      <w:rFonts w:ascii="Times New Roman" w:hAnsi="Times New Roman" w:eastAsia="宋体" w:cs="Times New Roman"/>
      <w:kern w:val="2"/>
      <w:sz w:val="24"/>
      <w:szCs w:val="24"/>
      <w:lang w:val="en-US" w:eastAsia="zh-CN" w:bidi="ar-SA"/>
    </w:rPr>
  </w:style>
  <w:style w:type="paragraph" w:customStyle="1" w:styleId="566">
    <w:name w:val="样式33333333333333333333"/>
    <w:basedOn w:val="106"/>
    <w:autoRedefine/>
    <w:qFormat/>
    <w:uiPriority w:val="0"/>
    <w:pPr>
      <w:adjustRightInd/>
      <w:jc w:val="both"/>
      <w:outlineLvl w:val="2"/>
    </w:pPr>
    <w:rPr>
      <w:rFonts w:ascii="Times New Roman" w:eastAsia="黑体" w:cs="Times New Roman"/>
      <w:color w:val="auto"/>
    </w:rPr>
  </w:style>
  <w:style w:type="paragraph" w:customStyle="1" w:styleId="567">
    <w:name w:val="font8"/>
    <w:basedOn w:val="1"/>
    <w:autoRedefine/>
    <w:qFormat/>
    <w:uiPriority w:val="0"/>
    <w:pPr>
      <w:widowControl/>
      <w:spacing w:before="100" w:beforeAutospacing="1" w:after="100" w:afterAutospacing="1"/>
      <w:jc w:val="left"/>
    </w:pPr>
    <w:rPr>
      <w:color w:val="000000"/>
      <w:kern w:val="0"/>
      <w:sz w:val="24"/>
    </w:rPr>
  </w:style>
  <w:style w:type="paragraph" w:customStyle="1" w:styleId="568">
    <w:name w:val="生态表格正文"/>
    <w:basedOn w:val="1"/>
    <w:autoRedefine/>
    <w:qFormat/>
    <w:uiPriority w:val="0"/>
    <w:pPr>
      <w:widowControl/>
      <w:spacing w:line="400" w:lineRule="exact"/>
      <w:jc w:val="center"/>
    </w:pPr>
    <w:rPr>
      <w:rFonts w:ascii="宋体" w:eastAsia="仿宋_GB2312"/>
      <w:kern w:val="0"/>
      <w:sz w:val="24"/>
    </w:rPr>
  </w:style>
  <w:style w:type="paragraph" w:customStyle="1" w:styleId="569">
    <w:name w:val="xl44"/>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eastAsia="Arial Unicode MS"/>
      <w:color w:val="000000"/>
      <w:kern w:val="0"/>
    </w:rPr>
  </w:style>
  <w:style w:type="paragraph" w:customStyle="1" w:styleId="570">
    <w:name w:val="xl30"/>
    <w:basedOn w:val="1"/>
    <w:autoRedefine/>
    <w:qFormat/>
    <w:uiPriority w:val="0"/>
    <w:pPr>
      <w:widowControl/>
      <w:spacing w:before="100" w:beforeAutospacing="1" w:after="100" w:afterAutospacing="1"/>
      <w:jc w:val="center"/>
      <w:textAlignment w:val="center"/>
    </w:pPr>
    <w:rPr>
      <w:rFonts w:ascii="宋体" w:hAnsi="宋体"/>
      <w:kern w:val="0"/>
      <w:sz w:val="24"/>
    </w:rPr>
  </w:style>
  <w:style w:type="paragraph" w:customStyle="1" w:styleId="571">
    <w:name w:val="正文yh"/>
    <w:autoRedefine/>
    <w:qFormat/>
    <w:uiPriority w:val="0"/>
    <w:pPr>
      <w:spacing w:line="480" w:lineRule="exact"/>
      <w:ind w:firstLine="200" w:firstLineChars="200"/>
    </w:pPr>
    <w:rPr>
      <w:rFonts w:ascii="Times New Roman" w:hAnsi="Times New Roman" w:eastAsia="宋体" w:cs="Times New Roman"/>
      <w:color w:val="000000"/>
      <w:sz w:val="24"/>
      <w:szCs w:val="24"/>
      <w:lang w:val="en-US" w:eastAsia="zh-CN" w:bidi="en-US"/>
    </w:rPr>
  </w:style>
  <w:style w:type="paragraph" w:customStyle="1" w:styleId="572">
    <w:name w:val="五号"/>
    <w:basedOn w:val="1"/>
    <w:autoRedefine/>
    <w:qFormat/>
    <w:uiPriority w:val="0"/>
  </w:style>
  <w:style w:type="paragraph" w:customStyle="1" w:styleId="573">
    <w:name w:val="分区正文"/>
    <w:basedOn w:val="1"/>
    <w:autoRedefine/>
    <w:qFormat/>
    <w:uiPriority w:val="0"/>
    <w:pPr>
      <w:spacing w:line="480" w:lineRule="exact"/>
      <w:ind w:firstLine="200" w:firstLineChars="200"/>
    </w:pPr>
    <w:rPr>
      <w:rFonts w:ascii="宋体" w:hAnsi="宋体" w:cs="宋体"/>
      <w:sz w:val="24"/>
      <w:szCs w:val="20"/>
    </w:rPr>
  </w:style>
  <w:style w:type="paragraph" w:customStyle="1" w:styleId="574">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楷体_GB2312" w:hAnsi="宋体" w:eastAsia="楷体_GB2312" w:cs="宋体"/>
      <w:kern w:val="0"/>
      <w:sz w:val="24"/>
    </w:rPr>
  </w:style>
  <w:style w:type="paragraph" w:customStyle="1" w:styleId="575">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576">
    <w:name w:val="4"/>
    <w:basedOn w:val="1"/>
    <w:autoRedefine/>
    <w:qFormat/>
    <w:uiPriority w:val="39"/>
  </w:style>
  <w:style w:type="paragraph" w:customStyle="1" w:styleId="577">
    <w:name w:val="xl3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szCs w:val="22"/>
    </w:rPr>
  </w:style>
  <w:style w:type="paragraph" w:customStyle="1" w:styleId="578">
    <w:name w:val="Char"/>
    <w:basedOn w:val="1"/>
    <w:autoRedefine/>
    <w:qFormat/>
    <w:uiPriority w:val="0"/>
    <w:pPr>
      <w:spacing w:line="360" w:lineRule="auto"/>
      <w:ind w:firstLine="200" w:firstLineChars="200"/>
    </w:pPr>
    <w:rPr>
      <w:rFonts w:ascii="宋体" w:hAnsi="宋体" w:cs="宋体"/>
      <w:sz w:val="24"/>
    </w:rPr>
  </w:style>
  <w:style w:type="paragraph" w:customStyle="1" w:styleId="579">
    <w:name w:val="Char Char Char Char Char Char Char1 Char Char Char Char Char Char Char1"/>
    <w:basedOn w:val="1"/>
    <w:autoRedefine/>
    <w:qFormat/>
    <w:uiPriority w:val="0"/>
    <w:pPr>
      <w:tabs>
        <w:tab w:val="left" w:pos="432"/>
      </w:tabs>
      <w:ind w:left="432" w:hanging="432"/>
    </w:pPr>
    <w:rPr>
      <w:rFonts w:ascii="Tahoma" w:hAnsi="Tahoma"/>
      <w:sz w:val="24"/>
      <w:szCs w:val="20"/>
    </w:rPr>
  </w:style>
  <w:style w:type="paragraph" w:customStyle="1" w:styleId="580">
    <w:name w:val="无间隔1"/>
    <w:autoRedefine/>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581">
    <w:name w:val="Char Char Char Char Char Char Char"/>
    <w:basedOn w:val="1"/>
    <w:autoRedefine/>
    <w:qFormat/>
    <w:uiPriority w:val="0"/>
    <w:rPr>
      <w:sz w:val="24"/>
    </w:rPr>
  </w:style>
  <w:style w:type="paragraph" w:customStyle="1" w:styleId="582">
    <w:name w:val="正文2 Char Char Char Char Char Char Char Char Char Char Char Char1 Char Char Char Char Char Char Char Char1 Char Char Char Char Char Char"/>
    <w:basedOn w:val="1"/>
    <w:autoRedefine/>
    <w:qFormat/>
    <w:uiPriority w:val="0"/>
    <w:pPr>
      <w:widowControl/>
      <w:spacing w:line="400" w:lineRule="exact"/>
      <w:jc w:val="center"/>
    </w:pPr>
    <w:rPr>
      <w:rFonts w:ascii="Verdana" w:hAnsi="Verdana"/>
      <w:kern w:val="0"/>
      <w:szCs w:val="20"/>
      <w:lang w:eastAsia="en-US"/>
    </w:rPr>
  </w:style>
  <w:style w:type="paragraph" w:customStyle="1" w:styleId="583">
    <w:name w:val="1级标题"/>
    <w:basedOn w:val="1"/>
    <w:autoRedefine/>
    <w:qFormat/>
    <w:uiPriority w:val="0"/>
    <w:pPr>
      <w:spacing w:before="60" w:line="460" w:lineRule="exact"/>
      <w:outlineLvl w:val="0"/>
    </w:pPr>
    <w:rPr>
      <w:rFonts w:ascii="Arial" w:hAnsi="Arial"/>
      <w:b/>
      <w:bCs/>
      <w:sz w:val="32"/>
      <w:szCs w:val="28"/>
    </w:rPr>
  </w:style>
  <w:style w:type="paragraph" w:customStyle="1" w:styleId="584">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85">
    <w:name w:val="常用责任表文字"/>
    <w:basedOn w:val="344"/>
    <w:next w:val="344"/>
    <w:autoRedefine/>
    <w:qFormat/>
    <w:uiPriority w:val="99"/>
    <w:pPr>
      <w:spacing w:line="480" w:lineRule="auto"/>
      <w:ind w:firstLine="0"/>
    </w:pPr>
  </w:style>
  <w:style w:type="paragraph" w:customStyle="1" w:styleId="586">
    <w:name w:val="bt2"/>
    <w:basedOn w:val="1"/>
    <w:autoRedefine/>
    <w:qFormat/>
    <w:uiPriority w:val="0"/>
    <w:pPr>
      <w:autoSpaceDE w:val="0"/>
      <w:autoSpaceDN w:val="0"/>
      <w:adjustRightInd w:val="0"/>
      <w:spacing w:line="360" w:lineRule="auto"/>
    </w:pPr>
    <w:rPr>
      <w:rFonts w:ascii="宋体"/>
      <w:b/>
      <w:kern w:val="0"/>
      <w:sz w:val="28"/>
      <w:szCs w:val="20"/>
    </w:rPr>
  </w:style>
  <w:style w:type="paragraph" w:customStyle="1" w:styleId="587">
    <w:name w:val="Char Char1 Char Char Char Char Char Char Char Char Char Char Char Char Char Char Char Char Char Char1"/>
    <w:basedOn w:val="1"/>
    <w:autoRedefine/>
    <w:qFormat/>
    <w:uiPriority w:val="0"/>
    <w:pPr>
      <w:spacing w:line="360" w:lineRule="auto"/>
      <w:ind w:firstLine="200" w:firstLineChars="200"/>
    </w:pPr>
    <w:rPr>
      <w:rFonts w:ascii="宋体" w:hAnsi="宋体" w:cs="宋体"/>
      <w:sz w:val="24"/>
    </w:rPr>
  </w:style>
  <w:style w:type="paragraph" w:customStyle="1" w:styleId="588">
    <w:name w:val="Char Char Char Char"/>
    <w:basedOn w:val="1"/>
    <w:autoRedefine/>
    <w:qFormat/>
    <w:uiPriority w:val="0"/>
    <w:pPr>
      <w:spacing w:line="360" w:lineRule="auto"/>
      <w:ind w:firstLine="200" w:firstLineChars="200"/>
    </w:pPr>
    <w:rPr>
      <w:rFonts w:ascii="宋体" w:hAnsi="宋体" w:cs="宋体"/>
      <w:sz w:val="24"/>
    </w:rPr>
  </w:style>
  <w:style w:type="paragraph" w:customStyle="1" w:styleId="589">
    <w:name w:val="默认段落字体 Para Char Char Char Char Char Char Char Char Char Char"/>
    <w:basedOn w:val="2"/>
    <w:autoRedefine/>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590">
    <w:name w:val="样式2"/>
    <w:basedOn w:val="5"/>
    <w:autoRedefine/>
    <w:qFormat/>
    <w:uiPriority w:val="99"/>
    <w:pPr>
      <w:spacing w:line="360" w:lineRule="auto"/>
      <w:ind w:firstLine="480" w:firstLineChars="200"/>
    </w:pPr>
    <w:rPr>
      <w:rFonts w:ascii="Arial" w:hAnsi="Arial" w:cs="Arial"/>
      <w:kern w:val="0"/>
      <w:sz w:val="24"/>
      <w:szCs w:val="24"/>
    </w:rPr>
  </w:style>
  <w:style w:type="paragraph" w:customStyle="1" w:styleId="591">
    <w:name w:val="T正文"/>
    <w:autoRedefine/>
    <w:qFormat/>
    <w:uiPriority w:val="99"/>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592">
    <w:name w:val="正文样式1"/>
    <w:basedOn w:val="1"/>
    <w:autoRedefine/>
    <w:qFormat/>
    <w:uiPriority w:val="99"/>
    <w:pPr>
      <w:adjustRightInd w:val="0"/>
      <w:spacing w:line="288" w:lineRule="auto"/>
      <w:ind w:firstLine="360" w:firstLineChars="150"/>
      <w:textAlignment w:val="baseline"/>
    </w:pPr>
    <w:rPr>
      <w:kern w:val="0"/>
      <w:sz w:val="24"/>
      <w:szCs w:val="20"/>
    </w:rPr>
  </w:style>
  <w:style w:type="paragraph" w:customStyle="1" w:styleId="593">
    <w:name w:val="Char3 Char Char Char"/>
    <w:basedOn w:val="1"/>
    <w:autoRedefine/>
    <w:qFormat/>
    <w:uiPriority w:val="0"/>
    <w:pPr>
      <w:spacing w:line="360" w:lineRule="auto"/>
      <w:ind w:firstLine="200" w:firstLineChars="200"/>
    </w:pPr>
    <w:rPr>
      <w:rFonts w:ascii="宋体" w:hAnsi="宋体" w:cs="宋体"/>
      <w:sz w:val="24"/>
    </w:rPr>
  </w:style>
  <w:style w:type="paragraph" w:customStyle="1" w:styleId="594">
    <w:name w:val="Body Text 22"/>
    <w:basedOn w:val="1"/>
    <w:autoRedefine/>
    <w:qFormat/>
    <w:uiPriority w:val="0"/>
    <w:pPr>
      <w:adjustRightInd w:val="0"/>
      <w:spacing w:line="440" w:lineRule="atLeast"/>
      <w:ind w:firstLine="480"/>
      <w:textAlignment w:val="baseline"/>
    </w:pPr>
    <w:rPr>
      <w:rFonts w:eastAsia="仿宋_GB2312"/>
      <w:sz w:val="24"/>
      <w:szCs w:val="20"/>
    </w:rPr>
  </w:style>
  <w:style w:type="paragraph" w:customStyle="1" w:styleId="595">
    <w:name w:val="xl3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Arial Unicode MS" w:hAnsi="Arial Unicode MS"/>
      <w:kern w:val="0"/>
      <w:sz w:val="22"/>
      <w:szCs w:val="22"/>
    </w:rPr>
  </w:style>
  <w:style w:type="paragraph" w:customStyle="1" w:styleId="596">
    <w:name w:val="Char Char2 Char Char Char Char"/>
    <w:basedOn w:val="1"/>
    <w:autoRedefine/>
    <w:qFormat/>
    <w:uiPriority w:val="0"/>
    <w:rPr>
      <w:szCs w:val="20"/>
    </w:rPr>
  </w:style>
  <w:style w:type="paragraph" w:customStyle="1" w:styleId="597">
    <w:name w:val="五号表格"/>
    <w:basedOn w:val="1"/>
    <w:autoRedefine/>
    <w:qFormat/>
    <w:uiPriority w:val="0"/>
    <w:pPr>
      <w:spacing w:line="360" w:lineRule="auto"/>
      <w:jc w:val="center"/>
    </w:pPr>
    <w:rPr>
      <w:kern w:val="0"/>
      <w:sz w:val="24"/>
      <w:szCs w:val="20"/>
    </w:rPr>
  </w:style>
  <w:style w:type="paragraph" w:customStyle="1" w:styleId="598">
    <w:name w:val="表格2"/>
    <w:basedOn w:val="1"/>
    <w:autoRedefine/>
    <w:qFormat/>
    <w:uiPriority w:val="0"/>
    <w:pPr>
      <w:spacing w:line="360" w:lineRule="atLeast"/>
      <w:jc w:val="center"/>
    </w:pPr>
  </w:style>
  <w:style w:type="paragraph" w:customStyle="1" w:styleId="599">
    <w:name w:val="标题3本文 Char Char Char Char"/>
    <w:basedOn w:val="2"/>
    <w:next w:val="1"/>
    <w:autoRedefine/>
    <w:qFormat/>
    <w:uiPriority w:val="0"/>
    <w:pPr>
      <w:keepNext w:val="0"/>
      <w:tabs>
        <w:tab w:val="left" w:pos="709"/>
      </w:tabs>
      <w:spacing w:before="360" w:after="240" w:line="360" w:lineRule="auto"/>
    </w:pPr>
    <w:rPr>
      <w:rFonts w:cs="宋体"/>
      <w:b w:val="0"/>
      <w:bCs w:val="0"/>
      <w:sz w:val="24"/>
      <w:szCs w:val="24"/>
    </w:rPr>
  </w:style>
  <w:style w:type="paragraph" w:customStyle="1" w:styleId="600">
    <w:name w:val="xl22"/>
    <w:basedOn w:val="1"/>
    <w:autoRedefine/>
    <w:qFormat/>
    <w:uiPriority w:val="0"/>
    <w:pPr>
      <w:widowControl/>
      <w:spacing w:before="100" w:after="100"/>
      <w:jc w:val="center"/>
    </w:pPr>
    <w:rPr>
      <w:kern w:val="0"/>
      <w:sz w:val="24"/>
    </w:rPr>
  </w:style>
  <w:style w:type="paragraph" w:customStyle="1" w:styleId="601">
    <w:name w:val="表格文字"/>
    <w:basedOn w:val="36"/>
    <w:autoRedefine/>
    <w:qFormat/>
    <w:uiPriority w:val="0"/>
    <w:pPr>
      <w:spacing w:line="400" w:lineRule="exact"/>
    </w:pPr>
    <w:rPr>
      <w:rFonts w:ascii="宋体" w:hAnsi="宋体"/>
    </w:rPr>
  </w:style>
  <w:style w:type="paragraph" w:customStyle="1" w:styleId="602">
    <w:name w:val="Char Char Char Char Char Char Char1"/>
    <w:basedOn w:val="1"/>
    <w:autoRedefine/>
    <w:qFormat/>
    <w:uiPriority w:val="99"/>
    <w:rPr>
      <w:sz w:val="24"/>
    </w:rPr>
  </w:style>
  <w:style w:type="paragraph" w:customStyle="1" w:styleId="603">
    <w:name w:val="font9"/>
    <w:basedOn w:val="1"/>
    <w:autoRedefine/>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604">
    <w:name w:val="font7"/>
    <w:basedOn w:val="1"/>
    <w:autoRedefine/>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605">
    <w:name w:val="Char Char Char Char Char Char Char Char2"/>
    <w:basedOn w:val="1"/>
    <w:autoRedefine/>
    <w:qFormat/>
    <w:uiPriority w:val="0"/>
    <w:pPr>
      <w:widowControl/>
      <w:jc w:val="left"/>
    </w:pPr>
    <w:rPr>
      <w:rFonts w:ascii="Tahoma" w:hAnsi="Tahoma" w:cs="Tahoma"/>
      <w:color w:val="000000"/>
      <w:kern w:val="0"/>
      <w:sz w:val="24"/>
    </w:rPr>
  </w:style>
  <w:style w:type="paragraph" w:customStyle="1" w:styleId="606">
    <w:name w:val="正文段落"/>
    <w:basedOn w:val="1"/>
    <w:autoRedefine/>
    <w:qFormat/>
    <w:uiPriority w:val="0"/>
    <w:pPr>
      <w:spacing w:line="360" w:lineRule="auto"/>
    </w:pPr>
    <w:rPr>
      <w:spacing w:val="8"/>
      <w:sz w:val="24"/>
      <w:szCs w:val="20"/>
    </w:rPr>
  </w:style>
  <w:style w:type="paragraph" w:customStyle="1" w:styleId="607">
    <w:name w:val="opsom1"/>
    <w:basedOn w:val="17"/>
    <w:autoRedefine/>
    <w:qFormat/>
    <w:uiPriority w:val="0"/>
    <w:pPr>
      <w:widowControl/>
      <w:spacing w:line="360" w:lineRule="auto"/>
      <w:ind w:left="284" w:hanging="284"/>
      <w:jc w:val="left"/>
    </w:pPr>
    <w:rPr>
      <w:rFonts w:ascii="Arial" w:hAnsi="Arial" w:eastAsia="Times New Roman"/>
      <w:kern w:val="0"/>
      <w:sz w:val="22"/>
      <w:szCs w:val="20"/>
      <w:lang w:val="nl" w:eastAsia="en-US"/>
    </w:rPr>
  </w:style>
  <w:style w:type="paragraph" w:customStyle="1" w:styleId="608">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4"/>
    </w:rPr>
  </w:style>
  <w:style w:type="paragraph" w:customStyle="1" w:styleId="609">
    <w:name w:val="p18"/>
    <w:basedOn w:val="1"/>
    <w:autoRedefine/>
    <w:qFormat/>
    <w:uiPriority w:val="99"/>
    <w:pPr>
      <w:widowControl/>
      <w:spacing w:line="360" w:lineRule="atLeast"/>
      <w:jc w:val="center"/>
    </w:pPr>
    <w:rPr>
      <w:kern w:val="0"/>
    </w:rPr>
  </w:style>
  <w:style w:type="paragraph" w:customStyle="1" w:styleId="610">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611">
    <w:name w:val="小四"/>
    <w:basedOn w:val="1"/>
    <w:autoRedefine/>
    <w:qFormat/>
    <w:uiPriority w:val="0"/>
    <w:rPr>
      <w:sz w:val="24"/>
    </w:rPr>
  </w:style>
  <w:style w:type="paragraph" w:customStyle="1" w:styleId="612">
    <w:name w:val="Char Char Char Char Char Char Char Char Char Char1"/>
    <w:basedOn w:val="1"/>
    <w:autoRedefine/>
    <w:qFormat/>
    <w:uiPriority w:val="0"/>
    <w:pPr>
      <w:spacing w:line="360" w:lineRule="auto"/>
      <w:ind w:firstLine="200" w:firstLineChars="200"/>
    </w:pPr>
    <w:rPr>
      <w:rFonts w:ascii="宋体" w:hAnsi="宋体" w:cs="宋体"/>
      <w:sz w:val="24"/>
    </w:rPr>
  </w:style>
  <w:style w:type="paragraph" w:customStyle="1" w:styleId="613">
    <w:name w:val="样式 正文首行缩进 + 首行缩进:  2 字符1"/>
    <w:basedOn w:val="29"/>
    <w:autoRedefine/>
    <w:qFormat/>
    <w:uiPriority w:val="0"/>
    <w:pPr>
      <w:adjustRightInd/>
      <w:ind w:firstLine="480" w:firstLineChars="200"/>
      <w:textAlignment w:val="auto"/>
    </w:pPr>
    <w:rPr>
      <w:rFonts w:ascii="Times New Roman"/>
      <w:kern w:val="2"/>
      <w:szCs w:val="24"/>
    </w:rPr>
  </w:style>
  <w:style w:type="paragraph" w:customStyle="1" w:styleId="614">
    <w:name w:val="标题四 y"/>
    <w:autoRedefine/>
    <w:qFormat/>
    <w:uiPriority w:val="0"/>
    <w:pPr>
      <w:spacing w:line="480" w:lineRule="exact"/>
      <w:outlineLvl w:val="3"/>
    </w:pPr>
    <w:rPr>
      <w:rFonts w:ascii="Times New Roman" w:hAnsi="Times New Roman" w:eastAsia="宋体" w:cs="Times New Roman"/>
      <w:b/>
      <w:bCs/>
      <w:kern w:val="2"/>
      <w:sz w:val="24"/>
      <w:szCs w:val="24"/>
      <w:lang w:val="en-US" w:eastAsia="zh-CN" w:bidi="ar-SA"/>
    </w:rPr>
  </w:style>
  <w:style w:type="paragraph" w:customStyle="1" w:styleId="615">
    <w:name w:val="正文-1"/>
    <w:basedOn w:val="1"/>
    <w:autoRedefine/>
    <w:qFormat/>
    <w:uiPriority w:val="0"/>
    <w:pPr>
      <w:spacing w:line="560" w:lineRule="exact"/>
      <w:ind w:firstLine="200" w:firstLineChars="200"/>
    </w:pPr>
    <w:rPr>
      <w:rFonts w:eastAsia="仿宋_GB2312"/>
      <w:kern w:val="0"/>
      <w:sz w:val="32"/>
    </w:rPr>
  </w:style>
  <w:style w:type="paragraph" w:customStyle="1" w:styleId="616">
    <w:name w:val="Char Char Char Char Char Char Char Char Char Char Char Char Char1"/>
    <w:basedOn w:val="1"/>
    <w:autoRedefine/>
    <w:qFormat/>
    <w:uiPriority w:val="0"/>
    <w:pPr>
      <w:tabs>
        <w:tab w:val="left" w:pos="432"/>
      </w:tabs>
      <w:ind w:left="432" w:hanging="432"/>
    </w:pPr>
    <w:rPr>
      <w:rFonts w:ascii="Tahoma" w:hAnsi="Tahoma"/>
      <w:sz w:val="24"/>
      <w:szCs w:val="20"/>
    </w:rPr>
  </w:style>
  <w:style w:type="paragraph" w:customStyle="1" w:styleId="617">
    <w:name w:val="方程"/>
    <w:basedOn w:val="1"/>
    <w:autoRedefine/>
    <w:qFormat/>
    <w:uiPriority w:val="0"/>
    <w:pPr>
      <w:widowControl/>
      <w:overflowPunct w:val="0"/>
      <w:adjustRightInd w:val="0"/>
      <w:spacing w:before="60" w:after="60" w:line="440" w:lineRule="atLeast"/>
      <w:ind w:firstLine="482"/>
      <w:jc w:val="center"/>
      <w:textAlignment w:val="bottom"/>
    </w:pPr>
    <w:rPr>
      <w:rFonts w:ascii="CG Times (W1)" w:hAnsi="CG Times (W1)"/>
      <w:kern w:val="0"/>
      <w:sz w:val="28"/>
      <w:szCs w:val="20"/>
    </w:rPr>
  </w:style>
  <w:style w:type="paragraph" w:customStyle="1" w:styleId="618">
    <w:name w:val="pa-6"/>
    <w:basedOn w:val="1"/>
    <w:autoRedefine/>
    <w:qFormat/>
    <w:uiPriority w:val="0"/>
    <w:pPr>
      <w:widowControl/>
      <w:spacing w:before="150" w:after="150"/>
      <w:jc w:val="left"/>
    </w:pPr>
    <w:rPr>
      <w:rFonts w:ascii="宋体" w:hAnsi="宋体" w:cs="宋体"/>
      <w:kern w:val="0"/>
      <w:sz w:val="24"/>
    </w:rPr>
  </w:style>
  <w:style w:type="paragraph" w:customStyle="1" w:styleId="619">
    <w:name w:val="二级无标题条"/>
    <w:basedOn w:val="1"/>
    <w:autoRedefine/>
    <w:qFormat/>
    <w:uiPriority w:val="0"/>
  </w:style>
  <w:style w:type="paragraph" w:customStyle="1" w:styleId="620">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21">
    <w:name w:val="其他正文"/>
    <w:basedOn w:val="1"/>
    <w:autoRedefine/>
    <w:qFormat/>
    <w:uiPriority w:val="0"/>
    <w:pPr>
      <w:spacing w:line="440" w:lineRule="exact"/>
      <w:ind w:firstLine="200" w:firstLineChars="200"/>
    </w:pPr>
    <w:rPr>
      <w:rFonts w:ascii="Arial" w:hAnsi="Arial" w:cs="Arial"/>
      <w:kern w:val="0"/>
      <w:sz w:val="24"/>
      <w:szCs w:val="20"/>
    </w:rPr>
  </w:style>
  <w:style w:type="paragraph" w:customStyle="1" w:styleId="622">
    <w:name w:val="Char Char Char Char Char 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3">
    <w:name w:val="样式12"/>
    <w:basedOn w:val="1"/>
    <w:autoRedefine/>
    <w:qFormat/>
    <w:uiPriority w:val="99"/>
    <w:pPr>
      <w:spacing w:line="360" w:lineRule="auto"/>
    </w:pPr>
    <w:rPr>
      <w:rFonts w:ascii="Arial" w:hAnsi="Arial"/>
      <w:b/>
      <w:szCs w:val="20"/>
    </w:rPr>
  </w:style>
  <w:style w:type="paragraph" w:customStyle="1" w:styleId="624">
    <w:name w:val="Char Char"/>
    <w:basedOn w:val="1"/>
    <w:autoRedefine/>
    <w:semiHidden/>
    <w:qFormat/>
    <w:uiPriority w:val="0"/>
    <w:pPr>
      <w:tabs>
        <w:tab w:val="left" w:pos="426"/>
      </w:tabs>
      <w:ind w:left="426" w:hanging="420"/>
    </w:pPr>
    <w:rPr>
      <w:sz w:val="24"/>
    </w:rPr>
  </w:style>
  <w:style w:type="paragraph" w:customStyle="1" w:styleId="625">
    <w:name w:val="普通(网站)21"/>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26">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62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628">
    <w:name w:val="表头 y"/>
    <w:autoRedefine/>
    <w:qFormat/>
    <w:uiPriority w:val="0"/>
    <w:pPr>
      <w:spacing w:line="440" w:lineRule="exact"/>
      <w:ind w:firstLine="200" w:firstLineChars="200"/>
      <w:jc w:val="center"/>
    </w:pPr>
    <w:rPr>
      <w:rFonts w:ascii="Times New Roman" w:hAnsi="Times New Roman" w:eastAsia="宋体" w:cs="Times New Roman"/>
      <w:b/>
      <w:kern w:val="2"/>
      <w:sz w:val="21"/>
      <w:szCs w:val="21"/>
      <w:lang w:val="en-US" w:eastAsia="zh-CN" w:bidi="ar-SA"/>
    </w:rPr>
  </w:style>
  <w:style w:type="paragraph" w:customStyle="1" w:styleId="629">
    <w:name w:val="编号1"/>
    <w:basedOn w:val="1"/>
    <w:autoRedefine/>
    <w:qFormat/>
    <w:uiPriority w:val="0"/>
    <w:pPr>
      <w:tabs>
        <w:tab w:val="left" w:pos="900"/>
      </w:tabs>
      <w:ind w:left="900" w:hanging="360"/>
    </w:pPr>
    <w:rPr>
      <w:szCs w:val="20"/>
    </w:rPr>
  </w:style>
  <w:style w:type="paragraph" w:customStyle="1" w:styleId="630">
    <w:name w:val="表格001"/>
    <w:basedOn w:val="1"/>
    <w:autoRedefine/>
    <w:qFormat/>
    <w:uiPriority w:val="0"/>
    <w:pPr>
      <w:jc w:val="center"/>
    </w:pPr>
    <w:rPr>
      <w:kern w:val="0"/>
      <w:sz w:val="20"/>
    </w:rPr>
  </w:style>
  <w:style w:type="paragraph" w:customStyle="1" w:styleId="631">
    <w:name w:val="样式 正文01 + Times New Roman 首行缩进:  2 字符"/>
    <w:basedOn w:val="143"/>
    <w:autoRedefine/>
    <w:qFormat/>
    <w:uiPriority w:val="0"/>
    <w:pPr>
      <w:spacing w:line="460" w:lineRule="exact"/>
      <w:ind w:firstLine="200" w:firstLineChars="200"/>
    </w:pPr>
    <w:rPr>
      <w:rFonts w:cs="宋体"/>
      <w:sz w:val="24"/>
      <w:szCs w:val="24"/>
    </w:rPr>
  </w:style>
  <w:style w:type="paragraph" w:customStyle="1" w:styleId="632">
    <w:name w:val="1正文段落"/>
    <w:basedOn w:val="1"/>
    <w:autoRedefine/>
    <w:qFormat/>
    <w:uiPriority w:val="99"/>
    <w:pPr>
      <w:spacing w:line="360" w:lineRule="auto"/>
      <w:ind w:firstLine="480" w:firstLineChars="200"/>
      <w:jc w:val="left"/>
    </w:pPr>
    <w:rPr>
      <w:kern w:val="0"/>
      <w:sz w:val="24"/>
    </w:rPr>
  </w:style>
  <w:style w:type="paragraph" w:customStyle="1" w:styleId="633">
    <w:name w:val="2级标题"/>
    <w:basedOn w:val="1"/>
    <w:autoRedefine/>
    <w:qFormat/>
    <w:uiPriority w:val="0"/>
    <w:pPr>
      <w:spacing w:before="60" w:line="460" w:lineRule="exact"/>
      <w:outlineLvl w:val="1"/>
    </w:pPr>
    <w:rPr>
      <w:rFonts w:ascii="Arial" w:hAnsi="Arial"/>
      <w:b/>
      <w:sz w:val="28"/>
      <w:szCs w:val="20"/>
    </w:rPr>
  </w:style>
  <w:style w:type="paragraph" w:customStyle="1" w:styleId="634">
    <w:name w:val="样式 正文（首行缩进两字） + 行距: 固定值 20 磅"/>
    <w:basedOn w:val="5"/>
    <w:autoRedefine/>
    <w:qFormat/>
    <w:uiPriority w:val="0"/>
    <w:pPr>
      <w:spacing w:after="62" w:afterLines="20" w:line="400" w:lineRule="exact"/>
      <w:ind w:firstLine="480" w:firstLineChars="200"/>
    </w:pPr>
    <w:rPr>
      <w:sz w:val="24"/>
    </w:rPr>
  </w:style>
  <w:style w:type="paragraph" w:customStyle="1" w:styleId="635">
    <w:name w:val="Table Paragraph"/>
    <w:basedOn w:val="1"/>
    <w:next w:val="1"/>
    <w:autoRedefine/>
    <w:qFormat/>
    <w:uiPriority w:val="1"/>
    <w:pPr>
      <w:widowControl/>
      <w:jc w:val="left"/>
    </w:pPr>
    <w:rPr>
      <w:rFonts w:ascii="Calibri" w:hAnsi="Calibri"/>
      <w:kern w:val="0"/>
      <w:sz w:val="22"/>
      <w:szCs w:val="22"/>
    </w:rPr>
  </w:style>
  <w:style w:type="paragraph" w:customStyle="1" w:styleId="636">
    <w:name w:val="font0"/>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637">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rFonts w:hint="eastAsia" w:ascii="仿宋_GB2312" w:hAnsi="Arial Unicode MS"/>
      <w:kern w:val="0"/>
      <w:szCs w:val="20"/>
    </w:rPr>
  </w:style>
  <w:style w:type="paragraph" w:customStyle="1" w:styleId="638">
    <w:name w:val="xl55"/>
    <w:basedOn w:val="1"/>
    <w:autoRedefine/>
    <w:qFormat/>
    <w:uiPriority w:val="0"/>
    <w:pPr>
      <w:widowControl/>
      <w:pBdr>
        <w:bottom w:val="single" w:color="auto" w:sz="4" w:space="0"/>
      </w:pBdr>
      <w:spacing w:before="100" w:beforeAutospacing="1" w:after="100" w:afterAutospacing="1"/>
      <w:jc w:val="left"/>
    </w:pPr>
    <w:rPr>
      <w:rFonts w:ascii="宋体" w:hAnsi="宋体"/>
      <w:kern w:val="0"/>
      <w:sz w:val="24"/>
    </w:rPr>
  </w:style>
  <w:style w:type="paragraph" w:customStyle="1" w:styleId="639">
    <w:name w:val="Char Char Char Char1"/>
    <w:basedOn w:val="1"/>
    <w:autoRedefine/>
    <w:qFormat/>
    <w:uiPriority w:val="0"/>
    <w:pPr>
      <w:spacing w:line="360" w:lineRule="auto"/>
      <w:ind w:firstLine="200" w:firstLineChars="200"/>
    </w:pPr>
    <w:rPr>
      <w:rFonts w:ascii="宋体" w:hAnsi="宋体" w:cs="宋体"/>
      <w:sz w:val="24"/>
    </w:rPr>
  </w:style>
  <w:style w:type="paragraph" w:customStyle="1" w:styleId="640">
    <w:name w:val="xl7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641">
    <w:name w:val="Char4"/>
    <w:basedOn w:val="1"/>
    <w:autoRedefine/>
    <w:qFormat/>
    <w:uiPriority w:val="0"/>
    <w:pPr>
      <w:spacing w:line="360" w:lineRule="auto"/>
      <w:ind w:firstLine="200" w:firstLineChars="200"/>
    </w:pPr>
    <w:rPr>
      <w:rFonts w:ascii="宋体" w:hAnsi="宋体" w:cs="宋体"/>
      <w:sz w:val="24"/>
    </w:rPr>
  </w:style>
  <w:style w:type="paragraph" w:customStyle="1" w:styleId="642">
    <w:name w:val="纯文本21"/>
    <w:basedOn w:val="1"/>
    <w:autoRedefine/>
    <w:qFormat/>
    <w:uiPriority w:val="0"/>
    <w:pPr>
      <w:adjustRightInd w:val="0"/>
      <w:textAlignment w:val="baseline"/>
    </w:pPr>
    <w:rPr>
      <w:rFonts w:ascii="宋体" w:hAnsi="Courier New"/>
      <w:szCs w:val="20"/>
    </w:rPr>
  </w:style>
  <w:style w:type="paragraph" w:customStyle="1" w:styleId="643">
    <w:name w:val="表后正文"/>
    <w:basedOn w:val="36"/>
    <w:autoRedefine/>
    <w:qFormat/>
    <w:uiPriority w:val="0"/>
    <w:pPr>
      <w:adjustRightInd w:val="0"/>
      <w:spacing w:before="156" w:beforeLines="50"/>
      <w:ind w:firstLine="560"/>
      <w:jc w:val="both"/>
      <w:textAlignment w:val="baseline"/>
    </w:pPr>
    <w:rPr>
      <w:rFonts w:eastAsia="楷体_GB2312"/>
      <w:color w:val="000000"/>
      <w:sz w:val="28"/>
      <w:szCs w:val="20"/>
    </w:rPr>
  </w:style>
  <w:style w:type="paragraph" w:customStyle="1" w:styleId="644">
    <w:name w:val="表题"/>
    <w:basedOn w:val="1"/>
    <w:autoRedefine/>
    <w:qFormat/>
    <w:uiPriority w:val="0"/>
    <w:pPr>
      <w:snapToGrid w:val="0"/>
      <w:jc w:val="center"/>
    </w:pPr>
    <w:rPr>
      <w:rFonts w:eastAsia="黑体"/>
      <w:sz w:val="24"/>
      <w:szCs w:val="20"/>
    </w:rPr>
  </w:style>
  <w:style w:type="paragraph" w:customStyle="1" w:styleId="645">
    <w:name w:val="Char22"/>
    <w:basedOn w:val="1"/>
    <w:autoRedefine/>
    <w:qFormat/>
    <w:uiPriority w:val="0"/>
    <w:pPr>
      <w:spacing w:line="360" w:lineRule="auto"/>
      <w:ind w:firstLine="200" w:firstLineChars="200"/>
    </w:pPr>
    <w:rPr>
      <w:rFonts w:ascii="宋体" w:hAnsi="宋体" w:cs="宋体"/>
      <w:sz w:val="24"/>
    </w:rPr>
  </w:style>
  <w:style w:type="paragraph" w:customStyle="1" w:styleId="646">
    <w:name w:val="样式 样式 标题 2 + Times New Roman + 段前: 0.5 行 段后: 0.5 行1"/>
    <w:basedOn w:val="1"/>
    <w:autoRedefine/>
    <w:qFormat/>
    <w:uiPriority w:val="99"/>
    <w:pPr>
      <w:keepNext/>
      <w:keepLines/>
      <w:spacing w:line="360" w:lineRule="auto"/>
      <w:outlineLvl w:val="1"/>
    </w:pPr>
    <w:rPr>
      <w:rFonts w:cs="宋体"/>
      <w:b/>
      <w:bCs/>
      <w:sz w:val="28"/>
      <w:szCs w:val="20"/>
    </w:rPr>
  </w:style>
  <w:style w:type="paragraph" w:customStyle="1" w:styleId="647">
    <w:name w:val="阿缩进"/>
    <w:basedOn w:val="1"/>
    <w:next w:val="1"/>
    <w:autoRedefine/>
    <w:qFormat/>
    <w:uiPriority w:val="0"/>
    <w:pPr>
      <w:spacing w:line="360" w:lineRule="auto"/>
      <w:ind w:firstLine="880" w:firstLineChars="200"/>
    </w:pPr>
    <w:rPr>
      <w:sz w:val="22"/>
      <w:szCs w:val="20"/>
    </w:rPr>
  </w:style>
  <w:style w:type="paragraph" w:customStyle="1" w:styleId="648">
    <w:name w:val="表格下方正文"/>
    <w:basedOn w:val="1"/>
    <w:autoRedefine/>
    <w:qFormat/>
    <w:uiPriority w:val="0"/>
    <w:pPr>
      <w:spacing w:before="400" w:line="460" w:lineRule="exact"/>
      <w:ind w:firstLine="200" w:firstLineChars="200"/>
    </w:pPr>
    <w:rPr>
      <w:rFonts w:eastAsia="仿宋_GB2312"/>
      <w:sz w:val="24"/>
      <w:szCs w:val="20"/>
    </w:rPr>
  </w:style>
  <w:style w:type="paragraph" w:customStyle="1" w:styleId="649">
    <w:name w:val="表4.6-1"/>
    <w:autoRedefine/>
    <w:qFormat/>
    <w:uiPriority w:val="0"/>
    <w:pPr>
      <w:numPr>
        <w:ilvl w:val="0"/>
        <w:numId w:val="4"/>
      </w:numPr>
      <w:spacing w:line="320" w:lineRule="exact"/>
      <w:ind w:left="0" w:firstLine="0"/>
      <w:jc w:val="center"/>
      <w:outlineLvl w:val="4"/>
    </w:pPr>
    <w:rPr>
      <w:rFonts w:ascii="Arial" w:hAnsi="Arial" w:eastAsia="宋体" w:cs="Times New Roman"/>
      <w:kern w:val="2"/>
      <w:sz w:val="24"/>
      <w:szCs w:val="21"/>
      <w:lang w:val="en-US" w:eastAsia="zh-CN" w:bidi="ar-SA"/>
    </w:rPr>
  </w:style>
  <w:style w:type="paragraph" w:customStyle="1" w:styleId="650">
    <w:name w:val="样式13"/>
    <w:basedOn w:val="1"/>
    <w:autoRedefine/>
    <w:qFormat/>
    <w:uiPriority w:val="99"/>
    <w:pPr>
      <w:spacing w:line="360" w:lineRule="auto"/>
      <w:ind w:firstLine="480" w:firstLineChars="200"/>
    </w:pPr>
    <w:rPr>
      <w:rFonts w:ascii="Arial" w:hAnsi="Arial" w:cs="Arial"/>
      <w:sz w:val="24"/>
    </w:rPr>
  </w:style>
  <w:style w:type="paragraph" w:customStyle="1" w:styleId="651">
    <w:name w:val="Char Char Char Char Char Char1 Char2"/>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652">
    <w:name w:val="xl26"/>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653">
    <w:name w:val="表格标题-都"/>
    <w:basedOn w:val="516"/>
    <w:autoRedefine/>
    <w:qFormat/>
    <w:uiPriority w:val="0"/>
    <w:pPr>
      <w:widowControl/>
      <w:tabs>
        <w:tab w:val="left" w:pos="0"/>
      </w:tabs>
      <w:snapToGrid w:val="0"/>
      <w:spacing w:line="440" w:lineRule="exact"/>
    </w:pPr>
    <w:rPr>
      <w:rFonts w:eastAsia="黑体" w:cs="宋体"/>
      <w:b/>
      <w:kern w:val="0"/>
      <w:szCs w:val="24"/>
    </w:rPr>
  </w:style>
  <w:style w:type="paragraph" w:customStyle="1" w:styleId="654">
    <w:name w:val="Char Char1"/>
    <w:basedOn w:val="1"/>
    <w:autoRedefine/>
    <w:qFormat/>
    <w:uiPriority w:val="0"/>
    <w:pPr>
      <w:spacing w:line="360" w:lineRule="auto"/>
      <w:ind w:firstLine="200" w:firstLineChars="200"/>
    </w:pPr>
    <w:rPr>
      <w:rFonts w:ascii="宋体" w:hAnsi="宋体" w:cs="宋体"/>
      <w:sz w:val="24"/>
    </w:rPr>
  </w:style>
  <w:style w:type="paragraph" w:customStyle="1" w:styleId="655">
    <w:name w:val="xl49"/>
    <w:basedOn w:val="1"/>
    <w:autoRedefine/>
    <w:qFormat/>
    <w:uiPriority w:val="0"/>
    <w:pPr>
      <w:widowControl/>
      <w:pBdr>
        <w:bottom w:val="single" w:color="auto" w:sz="8" w:space="0"/>
      </w:pBdr>
      <w:spacing w:before="100" w:beforeAutospacing="1" w:after="100" w:afterAutospacing="1"/>
      <w:jc w:val="center"/>
    </w:pPr>
    <w:rPr>
      <w:rFonts w:ascii="宋体" w:hAnsi="宋体"/>
      <w:kern w:val="0"/>
      <w:sz w:val="24"/>
    </w:rPr>
  </w:style>
  <w:style w:type="paragraph" w:customStyle="1" w:styleId="656">
    <w:name w:val="表文"/>
    <w:basedOn w:val="23"/>
    <w:next w:val="5"/>
    <w:autoRedefine/>
    <w:qFormat/>
    <w:uiPriority w:val="99"/>
    <w:pPr>
      <w:widowControl w:val="0"/>
      <w:snapToGrid/>
      <w:spacing w:line="240" w:lineRule="auto"/>
      <w:jc w:val="center"/>
    </w:pPr>
    <w:rPr>
      <w:rFonts w:eastAsia="仿宋_GB2312"/>
      <w:kern w:val="2"/>
      <w:sz w:val="28"/>
      <w:szCs w:val="28"/>
    </w:rPr>
  </w:style>
  <w:style w:type="paragraph" w:customStyle="1" w:styleId="657">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rPr>
  </w:style>
  <w:style w:type="paragraph" w:customStyle="1" w:styleId="658">
    <w:name w:val="图文框"/>
    <w:basedOn w:val="1"/>
    <w:autoRedefine/>
    <w:qFormat/>
    <w:uiPriority w:val="99"/>
    <w:pPr>
      <w:jc w:val="center"/>
    </w:pPr>
  </w:style>
  <w:style w:type="paragraph" w:customStyle="1" w:styleId="659">
    <w:name w:val="尾注M01"/>
    <w:basedOn w:val="1"/>
    <w:autoRedefine/>
    <w:qFormat/>
    <w:uiPriority w:val="0"/>
    <w:pPr>
      <w:jc w:val="left"/>
    </w:pPr>
    <w:rPr>
      <w:rFonts w:eastAsia="黑体" w:cs="Arial"/>
      <w:kern w:val="0"/>
      <w:sz w:val="20"/>
      <w:szCs w:val="20"/>
    </w:rPr>
  </w:style>
  <w:style w:type="paragraph" w:customStyle="1" w:styleId="660">
    <w:name w:val="注释"/>
    <w:basedOn w:val="1"/>
    <w:autoRedefine/>
    <w:qFormat/>
    <w:uiPriority w:val="0"/>
    <w:pPr>
      <w:adjustRightInd w:val="0"/>
      <w:snapToGrid w:val="0"/>
      <w:spacing w:line="360" w:lineRule="exact"/>
    </w:pPr>
  </w:style>
  <w:style w:type="paragraph" w:customStyle="1" w:styleId="661">
    <w:name w:val="报告表文字1"/>
    <w:basedOn w:val="1"/>
    <w:autoRedefine/>
    <w:qFormat/>
    <w:uiPriority w:val="0"/>
    <w:pPr>
      <w:jc w:val="center"/>
    </w:pPr>
    <w:rPr>
      <w:rFonts w:ascii="宋体" w:hAnsi="宋体"/>
      <w:sz w:val="24"/>
    </w:rPr>
  </w:style>
  <w:style w:type="paragraph" w:customStyle="1" w:styleId="662">
    <w:name w:val="xl75"/>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663">
    <w:name w:val="表标题"/>
    <w:basedOn w:val="1"/>
    <w:autoRedefine/>
    <w:qFormat/>
    <w:uiPriority w:val="0"/>
    <w:pPr>
      <w:adjustRightInd w:val="0"/>
      <w:snapToGrid w:val="0"/>
      <w:spacing w:line="320" w:lineRule="exact"/>
      <w:jc w:val="center"/>
    </w:pPr>
    <w:rPr>
      <w:b/>
      <w:bCs/>
    </w:rPr>
  </w:style>
  <w:style w:type="paragraph" w:customStyle="1" w:styleId="664">
    <w:name w:val="1111111111"/>
    <w:basedOn w:val="1"/>
    <w:autoRedefine/>
    <w:qFormat/>
    <w:uiPriority w:val="0"/>
    <w:pPr>
      <w:spacing w:line="360" w:lineRule="auto"/>
      <w:ind w:firstLine="560" w:firstLineChars="200"/>
    </w:pPr>
    <w:rPr>
      <w:kern w:val="0"/>
      <w:sz w:val="28"/>
      <w:szCs w:val="20"/>
    </w:rPr>
  </w:style>
  <w:style w:type="paragraph" w:customStyle="1" w:styleId="665">
    <w:name w:val="图题i"/>
    <w:basedOn w:val="1"/>
    <w:autoRedefine/>
    <w:qFormat/>
    <w:uiPriority w:val="99"/>
    <w:rPr>
      <w:rFonts w:eastAsia="黑体"/>
      <w:sz w:val="28"/>
    </w:rPr>
  </w:style>
  <w:style w:type="paragraph" w:customStyle="1" w:styleId="666">
    <w:name w:val="样式 标题 3 + 首行缩进:  2 字符"/>
    <w:basedOn w:val="2"/>
    <w:autoRedefine/>
    <w:qFormat/>
    <w:uiPriority w:val="0"/>
    <w:pPr>
      <w:spacing w:before="30" w:after="30" w:line="500" w:lineRule="exact"/>
    </w:pPr>
    <w:rPr>
      <w:bCs w:val="0"/>
      <w:sz w:val="30"/>
      <w:szCs w:val="20"/>
    </w:rPr>
  </w:style>
  <w:style w:type="paragraph" w:customStyle="1" w:styleId="667">
    <w:name w:val="Char Char Char Char Char Char1 Char Char Char Char1"/>
    <w:basedOn w:val="1"/>
    <w:autoRedefine/>
    <w:qFormat/>
    <w:uiPriority w:val="0"/>
    <w:pPr>
      <w:spacing w:line="360" w:lineRule="auto"/>
      <w:ind w:firstLine="200" w:firstLineChars="200"/>
    </w:pPr>
  </w:style>
  <w:style w:type="table" w:customStyle="1" w:styleId="668">
    <w:name w:val="表格样式2"/>
    <w:basedOn w:val="59"/>
    <w:autoRedefine/>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669">
    <w:name w:val="表格样式1"/>
    <w:basedOn w:val="59"/>
    <w:autoRedefine/>
    <w:qFormat/>
    <w:uiPriority w:val="0"/>
    <w:pPr>
      <w:widowControl w:val="0"/>
      <w:jc w:val="center"/>
    </w:pPr>
    <w:rPr>
      <w:rFonts w:ascii="Arial" w:hAnsi="Arial"/>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tblStylePr w:type="firstRow">
      <w:pPr>
        <w:jc w:val="center"/>
      </w:pPr>
      <w:rPr>
        <w:rFonts w:ascii="time" w:hAnsi="time" w:eastAsia="TimesNewRomanPSMT"/>
        <w:sz w:val="24"/>
      </w:rPr>
      <w:tblPr/>
      <w:trPr>
        <w:tblHeader/>
      </w:trPr>
      <w:tcPr>
        <w:tcBorders>
          <w:top w:val="nil"/>
          <w:left w:val="single" w:color="auto" w:sz="12" w:space="0"/>
          <w:bottom w:val="nil"/>
          <w:right w:val="nil"/>
          <w:insideH w:val="nil"/>
          <w:insideV w:val="nil"/>
          <w:tl2br w:val="nil"/>
          <w:tr2bl w:val="nil"/>
        </w:tcBorders>
      </w:tcPr>
    </w:tblStylePr>
    <w:tblStylePr w:type="lastRow">
      <w:rPr>
        <w:rFonts w:ascii="time" w:hAnsi="time" w:eastAsia="TimesNewRomanPSMT"/>
        <w:sz w:val="24"/>
      </w:rPr>
    </w:tblStylePr>
    <w:tblStylePr w:type="firstCol">
      <w:rPr>
        <w:rFonts w:ascii="time" w:hAnsi="time" w:eastAsia="TimesNewRomanPSMT"/>
        <w:sz w:val="24"/>
      </w:rPr>
    </w:tblStylePr>
    <w:tblStylePr w:type="lastCol">
      <w:rPr>
        <w:rFonts w:ascii="time" w:hAnsi="time" w:eastAsia="TimesNewRomanPSMT"/>
        <w:sz w:val="24"/>
      </w:rPr>
    </w:tblStylePr>
  </w:style>
  <w:style w:type="table" w:customStyle="1" w:styleId="670">
    <w:name w:val="网格型（pxg）1"/>
    <w:basedOn w:val="5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1">
    <w:name w:val="浅色列表1"/>
    <w:autoRedefine/>
    <w:qFormat/>
    <w:uiPriority w:val="99"/>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style>
  <w:style w:type="table" w:customStyle="1" w:styleId="672">
    <w:name w:val="Table Normal"/>
    <w:autoRedefine/>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673">
    <w:name w:val="报告书表格"/>
    <w:basedOn w:val="1"/>
    <w:autoRedefine/>
    <w:qFormat/>
    <w:uiPriority w:val="0"/>
    <w:pPr>
      <w:adjustRightInd w:val="0"/>
      <w:spacing w:line="400" w:lineRule="exact"/>
      <w:jc w:val="center"/>
      <w:textAlignment w:val="baseline"/>
    </w:pPr>
    <w:rPr>
      <w:rFonts w:eastAsia="仿宋_GB2312"/>
      <w:kern w:val="0"/>
      <w:sz w:val="24"/>
      <w:szCs w:val="20"/>
    </w:rPr>
  </w:style>
  <w:style w:type="paragraph" w:customStyle="1" w:styleId="674">
    <w:name w:val="Default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75">
    <w:name w:val="样式5"/>
    <w:basedOn w:val="676"/>
    <w:next w:val="1"/>
    <w:autoRedefine/>
    <w:qFormat/>
    <w:uiPriority w:val="0"/>
    <w:pPr>
      <w:tabs>
        <w:tab w:val="left" w:pos="420"/>
        <w:tab w:val="left" w:pos="1260"/>
      </w:tabs>
      <w:ind w:left="420" w:hanging="420"/>
    </w:pPr>
    <w:rPr>
      <w:sz w:val="20"/>
      <w:lang w:val="zh-CN"/>
    </w:rPr>
  </w:style>
  <w:style w:type="paragraph" w:customStyle="1" w:styleId="676">
    <w:name w:val="样式3"/>
    <w:basedOn w:val="35"/>
    <w:autoRedefine/>
    <w:qFormat/>
    <w:uiPriority w:val="0"/>
    <w:pPr>
      <w:keepLines/>
      <w:spacing w:line="360" w:lineRule="auto"/>
      <w:ind w:firstLine="425"/>
    </w:pPr>
    <w:rPr>
      <w:rFonts w:ascii="宋体"/>
      <w:b/>
    </w:rPr>
  </w:style>
  <w:style w:type="paragraph" w:customStyle="1" w:styleId="677">
    <w:name w:val="WPSOffice手动目录 1"/>
    <w:autoRedefine/>
    <w:qFormat/>
    <w:uiPriority w:val="0"/>
    <w:rPr>
      <w:rFonts w:ascii="Times New Roman" w:hAnsi="Times New Roman" w:eastAsia="宋体" w:cs="Times New Roman"/>
      <w:lang w:val="en-US" w:eastAsia="zh-CN" w:bidi="ar-SA"/>
    </w:rPr>
  </w:style>
  <w:style w:type="paragraph" w:customStyle="1" w:styleId="678">
    <w:name w:val="A环评n的黑体"/>
    <w:basedOn w:val="1"/>
    <w:autoRedefine/>
    <w:qFormat/>
    <w:uiPriority w:val="0"/>
    <w:pPr>
      <w:spacing w:line="360" w:lineRule="auto"/>
      <w:ind w:firstLine="200" w:firstLineChars="200"/>
    </w:pPr>
    <w:rPr>
      <w:b/>
      <w:snapToGrid/>
      <w:sz w:val="24"/>
    </w:rPr>
  </w:style>
  <w:style w:type="paragraph" w:customStyle="1" w:styleId="679">
    <w:name w:val="A环评n"/>
    <w:basedOn w:val="1"/>
    <w:link w:val="680"/>
    <w:autoRedefine/>
    <w:qFormat/>
    <w:uiPriority w:val="0"/>
    <w:pPr>
      <w:spacing w:line="360" w:lineRule="auto"/>
      <w:ind w:firstLine="200" w:firstLineChars="200"/>
    </w:pPr>
    <w:rPr>
      <w:snapToGrid/>
      <w:sz w:val="24"/>
    </w:rPr>
  </w:style>
  <w:style w:type="character" w:customStyle="1" w:styleId="680">
    <w:name w:val="A环评n 字符"/>
    <w:link w:val="679"/>
    <w:autoRedefine/>
    <w:qFormat/>
    <w:uiPriority w:val="0"/>
    <w:rPr>
      <w:kern w:val="2"/>
      <w:sz w:val="24"/>
      <w:szCs w:val="21"/>
    </w:rPr>
  </w:style>
  <w:style w:type="character" w:customStyle="1" w:styleId="681">
    <w:name w:val="font61"/>
    <w:autoRedefine/>
    <w:qFormat/>
    <w:uiPriority w:val="0"/>
    <w:rPr>
      <w:rFonts w:hint="eastAsia" w:ascii="等线" w:hAnsi="等线" w:eastAsia="等线" w:cs="等线"/>
      <w:color w:val="000000"/>
      <w:sz w:val="22"/>
      <w:szCs w:val="22"/>
      <w:u w:val="none"/>
    </w:rPr>
  </w:style>
  <w:style w:type="character" w:customStyle="1" w:styleId="682">
    <w:name w:val="font71"/>
    <w:autoRedefine/>
    <w:qFormat/>
    <w:uiPriority w:val="0"/>
    <w:rPr>
      <w:rFonts w:hint="eastAsia" w:ascii="等线" w:hAnsi="等线" w:eastAsia="等线" w:cs="等线"/>
      <w:color w:val="000000"/>
      <w:sz w:val="22"/>
      <w:szCs w:val="22"/>
      <w:u w:val="none"/>
    </w:rPr>
  </w:style>
  <w:style w:type="character" w:customStyle="1" w:styleId="683">
    <w:name w:val="font81"/>
    <w:autoRedefine/>
    <w:qFormat/>
    <w:uiPriority w:val="0"/>
    <w:rPr>
      <w:rFonts w:hint="eastAsia" w:ascii="宋体" w:hAnsi="宋体" w:eastAsia="宋体" w:cs="宋体"/>
      <w:color w:val="FF0000"/>
      <w:sz w:val="21"/>
      <w:szCs w:val="21"/>
      <w:u w:val="none"/>
    </w:rPr>
  </w:style>
  <w:style w:type="character" w:customStyle="1" w:styleId="684">
    <w:name w:val="font91"/>
    <w:autoRedefine/>
    <w:qFormat/>
    <w:uiPriority w:val="0"/>
    <w:rPr>
      <w:rFonts w:hint="eastAsia" w:ascii="等线" w:hAnsi="等线" w:eastAsia="等线" w:cs="等线"/>
      <w:color w:val="000000"/>
      <w:sz w:val="21"/>
      <w:szCs w:val="21"/>
      <w:u w:val="none"/>
    </w:rPr>
  </w:style>
  <w:style w:type="paragraph" w:customStyle="1" w:styleId="685">
    <w:name w:val="修订1"/>
    <w:autoRedefine/>
    <w:hidden/>
    <w:unhideWhenUsed/>
    <w:qFormat/>
    <w:uiPriority w:val="99"/>
    <w:rPr>
      <w:rFonts w:ascii="Times New Roman" w:hAnsi="Times New Roman" w:eastAsia="宋体" w:cs="Times New Roman"/>
      <w:snapToGrid w:val="0"/>
      <w:kern w:val="2"/>
      <w:sz w:val="21"/>
      <w:szCs w:val="21"/>
      <w:lang w:val="en-US" w:eastAsia="zh-CN" w:bidi="ar-SA"/>
    </w:rPr>
  </w:style>
  <w:style w:type="paragraph" w:customStyle="1" w:styleId="686">
    <w:name w:val="修订2"/>
    <w:autoRedefine/>
    <w:hidden/>
    <w:unhideWhenUsed/>
    <w:qFormat/>
    <w:uiPriority w:val="99"/>
    <w:rPr>
      <w:rFonts w:ascii="Times New Roman" w:hAnsi="Times New Roman" w:eastAsia="宋体" w:cs="Times New Roman"/>
      <w:snapToGrid w:val="0"/>
      <w:kern w:val="2"/>
      <w:sz w:val="21"/>
      <w:szCs w:val="21"/>
      <w:lang w:val="en-US" w:eastAsia="zh-CN" w:bidi="ar-SA"/>
    </w:rPr>
  </w:style>
  <w:style w:type="paragraph" w:customStyle="1" w:styleId="687">
    <w:name w:val="Table Text"/>
    <w:basedOn w:val="1"/>
    <w:autoRedefine/>
    <w:semiHidden/>
    <w:qFormat/>
    <w:uiPriority w:val="0"/>
    <w:rPr>
      <w:rFonts w:eastAsia="Times New Roman"/>
      <w:lang w:eastAsia="en-US"/>
    </w:rPr>
  </w:style>
  <w:style w:type="paragraph" w:customStyle="1" w:styleId="688">
    <w:name w:val="表表文字"/>
    <w:basedOn w:val="1"/>
    <w:autoRedefine/>
    <w:qFormat/>
    <w:uiPriority w:val="99"/>
    <w:pPr>
      <w:wordWrap w:val="0"/>
      <w:adjustRightInd w:val="0"/>
      <w:snapToGrid w:val="0"/>
      <w:jc w:val="center"/>
    </w:pPr>
    <w:rPr>
      <w:rFonts w:ascii="Calibri" w:hAnsi="Calibri"/>
      <w:kern w:val="0"/>
      <w:sz w:val="20"/>
    </w:rPr>
  </w:style>
  <w:style w:type="paragraph" w:customStyle="1" w:styleId="689">
    <w:name w:val="修订3"/>
    <w:autoRedefine/>
    <w:hidden/>
    <w:unhideWhenUsed/>
    <w:qFormat/>
    <w:uiPriority w:val="99"/>
    <w:rPr>
      <w:rFonts w:ascii="Times New Roman" w:hAnsi="Times New Roman" w:eastAsia="宋体" w:cs="Times New Roman"/>
      <w:snapToGrid w:val="0"/>
      <w:kern w:val="2"/>
      <w:sz w:val="21"/>
      <w:szCs w:val="21"/>
      <w:lang w:val="en-US" w:eastAsia="zh-CN" w:bidi="ar-SA"/>
    </w:rPr>
  </w:style>
  <w:style w:type="paragraph" w:customStyle="1" w:styleId="690">
    <w:name w:val="A环评表中表"/>
    <w:autoRedefine/>
    <w:unhideWhenUsed/>
    <w:qFormat/>
    <w:uiPriority w:val="0"/>
    <w:pPr>
      <w:jc w:val="center"/>
    </w:pPr>
    <w:rPr>
      <w:rFonts w:ascii="Times New Roman" w:hAnsi="Times New Roman" w:eastAsia="宋体" w:cs="Times New Roman"/>
      <w:sz w:val="24"/>
      <w:szCs w:val="24"/>
      <w:lang w:val="en-US" w:eastAsia="zh-CN" w:bidi="ar-SA"/>
    </w:rPr>
  </w:style>
  <w:style w:type="paragraph" w:customStyle="1" w:styleId="691">
    <w:name w:val="修订4"/>
    <w:autoRedefine/>
    <w:hidden/>
    <w:unhideWhenUsed/>
    <w:qFormat/>
    <w:uiPriority w:val="99"/>
    <w:rPr>
      <w:rFonts w:ascii="Times New Roman" w:hAnsi="Times New Roman" w:eastAsia="宋体" w:cs="Times New Roman"/>
      <w:snapToGrid w:val="0"/>
      <w:kern w:val="2"/>
      <w:sz w:val="21"/>
      <w:szCs w:val="21"/>
      <w:lang w:val="en-US" w:eastAsia="zh-CN" w:bidi="ar-SA"/>
    </w:rPr>
  </w:style>
  <w:style w:type="paragraph" w:customStyle="1" w:styleId="692">
    <w:name w:val="表格标题1"/>
    <w:basedOn w:val="1"/>
    <w:autoRedefine/>
    <w:qFormat/>
    <w:uiPriority w:val="0"/>
    <w:pPr>
      <w:spacing w:line="360" w:lineRule="auto"/>
      <w:jc w:val="center"/>
    </w:pPr>
    <w:rPr>
      <w:b/>
    </w:rPr>
  </w:style>
  <w:style w:type="paragraph" w:customStyle="1" w:styleId="693">
    <w:name w:val="表格首行"/>
    <w:basedOn w:val="1"/>
    <w:autoRedefine/>
    <w:qFormat/>
    <w:uiPriority w:val="0"/>
    <w:pPr>
      <w:jc w:val="center"/>
    </w:pPr>
    <w:rPr>
      <w:rFonts w:eastAsia="仿宋_GB2312"/>
      <w:b/>
    </w:rPr>
  </w:style>
  <w:style w:type="paragraph" w:customStyle="1" w:styleId="694">
    <w:name w:val="表格 普通文字"/>
    <w:autoRedefine/>
    <w:qFormat/>
    <w:uiPriority w:val="99"/>
    <w:pPr>
      <w:jc w:val="center"/>
    </w:pPr>
    <w:rPr>
      <w:rFonts w:ascii="Times New Roman" w:hAnsi="Times New Roman" w:eastAsia="仿宋_GB2312" w:cs="Times New Roman"/>
      <w:kern w:val="2"/>
      <w:sz w:val="21"/>
      <w:szCs w:val="21"/>
      <w:lang w:val="en-US" w:eastAsia="zh-CN" w:bidi="ar-SA"/>
    </w:rPr>
  </w:style>
  <w:style w:type="paragraph" w:customStyle="1" w:styleId="695">
    <w:name w:val="表格内"/>
    <w:basedOn w:val="1"/>
    <w:autoRedefine/>
    <w:qFormat/>
    <w:uiPriority w:val="0"/>
    <w:pPr>
      <w:adjustRightInd w:val="0"/>
      <w:spacing w:line="240" w:lineRule="atLeast"/>
      <w:jc w:val="center"/>
      <w:textAlignment w:val="baseline"/>
    </w:pPr>
    <w:rPr>
      <w:rFonts w:ascii="宋体"/>
      <w:kern w:val="0"/>
      <w:szCs w:val="20"/>
    </w:rPr>
  </w:style>
  <w:style w:type="paragraph" w:customStyle="1" w:styleId="696">
    <w:name w:val="表格中文字"/>
    <w:basedOn w:val="1"/>
    <w:autoRedefine/>
    <w:qFormat/>
    <w:uiPriority w:val="0"/>
    <w:pPr>
      <w:adjustRightInd w:val="0"/>
      <w:snapToGrid w:val="0"/>
      <w:jc w:val="center"/>
    </w:pPr>
    <w:rPr>
      <w:kern w:val="18"/>
    </w:rPr>
  </w:style>
  <w:style w:type="paragraph" w:customStyle="1" w:styleId="697">
    <w:name w:val="报告表正文"/>
    <w:basedOn w:val="239"/>
    <w:autoRedefine/>
    <w:qFormat/>
    <w:uiPriority w:val="0"/>
    <w:pPr>
      <w:ind w:firstLine="200" w:firstLineChars="200"/>
      <w:jc w:val="left"/>
    </w:pPr>
    <w:rPr>
      <w:rFonts w:ascii="Times New Roman" w:hAnsi="Times New Roman"/>
      <w:szCs w:val="24"/>
    </w:rPr>
  </w:style>
  <w:style w:type="paragraph" w:customStyle="1" w:styleId="698">
    <w:name w:val="表格普通"/>
    <w:basedOn w:val="1"/>
    <w:autoRedefine/>
    <w:qFormat/>
    <w:uiPriority w:val="0"/>
    <w:pPr>
      <w:jc w:val="center"/>
    </w:pPr>
    <w:rPr>
      <w:rFonts w:eastAsia="仿宋_GB2312"/>
    </w:rPr>
  </w:style>
  <w:style w:type="paragraph" w:customStyle="1" w:styleId="699">
    <w:name w:val="图表 标题"/>
    <w:autoRedefine/>
    <w:qFormat/>
    <w:uiPriority w:val="0"/>
    <w:pPr>
      <w:widowControl w:val="0"/>
      <w:spacing w:beforeLines="20" w:afterLines="20"/>
      <w:jc w:val="center"/>
    </w:pPr>
    <w:rPr>
      <w:rFonts w:ascii="Times New Roman" w:hAnsi="Times New Roman" w:eastAsia="仿宋_GB2312" w:cs="Times New Roman"/>
      <w:b/>
      <w:kern w:val="2"/>
      <w:sz w:val="24"/>
      <w:szCs w:val="24"/>
      <w:lang w:val="en-US" w:eastAsia="zh-CN" w:bidi="ar-SA"/>
    </w:rPr>
  </w:style>
  <w:style w:type="paragraph" w:customStyle="1" w:styleId="700">
    <w:name w:val="表格 首行文字"/>
    <w:autoRedefine/>
    <w:qFormat/>
    <w:uiPriority w:val="0"/>
    <w:pPr>
      <w:adjustRightInd w:val="0"/>
      <w:snapToGrid w:val="0"/>
      <w:jc w:val="center"/>
    </w:pPr>
    <w:rPr>
      <w:rFonts w:ascii="Times New Roman" w:hAnsi="Times New Roman" w:eastAsia="仿宋_GB2312" w:cs="Times New Roman"/>
      <w:b/>
      <w:kern w:val="2"/>
      <w:sz w:val="21"/>
      <w:szCs w:val="22"/>
      <w:lang w:val="en-US" w:eastAsia="zh-CN" w:bidi="ar-SA"/>
    </w:rPr>
  </w:style>
  <w:style w:type="paragraph" w:customStyle="1" w:styleId="701">
    <w:name w:val="0000"/>
    <w:basedOn w:val="1"/>
    <w:autoRedefine/>
    <w:qFormat/>
    <w:uiPriority w:val="0"/>
    <w:pPr>
      <w:adjustRightInd w:val="0"/>
      <w:snapToGrid w:val="0"/>
    </w:pPr>
    <w:rPr>
      <w:rFonts w:hint="eastAsia"/>
      <w:sz w:val="24"/>
      <w:lang w:val="zh-TW"/>
    </w:rPr>
  </w:style>
  <w:style w:type="paragraph" w:customStyle="1" w:styleId="702">
    <w:name w:val="环正文"/>
    <w:basedOn w:val="1"/>
    <w:autoRedefine/>
    <w:qFormat/>
    <w:uiPriority w:val="0"/>
    <w:pPr>
      <w:widowControl/>
      <w:tabs>
        <w:tab w:val="left" w:pos="5094"/>
      </w:tabs>
      <w:adjustRightInd w:val="0"/>
      <w:snapToGrid w:val="0"/>
      <w:spacing w:line="500" w:lineRule="exact"/>
      <w:ind w:firstLine="562"/>
      <w:textAlignment w:val="baseline"/>
    </w:pPr>
    <w:rPr>
      <w:rFonts w:eastAsia="仿宋_GB2312"/>
      <w:b/>
      <w:kern w:val="24"/>
      <w:sz w:val="28"/>
      <w:szCs w:val="28"/>
    </w:rPr>
  </w:style>
  <w:style w:type="paragraph" w:customStyle="1" w:styleId="703">
    <w:name w:val="第一、五章 表格正文"/>
    <w:basedOn w:val="20"/>
    <w:autoRedefine/>
    <w:qFormat/>
    <w:uiPriority w:val="0"/>
    <w:pPr>
      <w:jc w:val="center"/>
    </w:pPr>
    <w:rPr>
      <w:rFonts w:eastAsia="仿宋_GB2312"/>
    </w:rPr>
  </w:style>
  <w:style w:type="paragraph" w:customStyle="1" w:styleId="704">
    <w:name w:val="图表"/>
    <w:basedOn w:val="1"/>
    <w:autoRedefine/>
    <w:qFormat/>
    <w:uiPriority w:val="0"/>
    <w:pPr>
      <w:adjustRightInd w:val="0"/>
      <w:snapToGrid w:val="0"/>
      <w:jc w:val="center"/>
    </w:pPr>
    <w:rPr>
      <w:color w:val="000000"/>
      <w:szCs w:val="22"/>
      <w:lang w:val="zh-CN"/>
    </w:rPr>
  </w:style>
  <w:style w:type="paragraph" w:customStyle="1" w:styleId="705">
    <w:name w:val="正本文字"/>
    <w:basedOn w:val="1"/>
    <w:autoRedefine/>
    <w:qFormat/>
    <w:uiPriority w:val="0"/>
    <w:pPr>
      <w:adjustRightInd w:val="0"/>
      <w:snapToGrid w:val="0"/>
      <w:spacing w:line="360" w:lineRule="auto"/>
      <w:ind w:firstLine="200" w:firstLineChars="200"/>
      <w:jc w:val="left"/>
    </w:pPr>
    <w:rPr>
      <w:kern w:val="18"/>
      <w:sz w:val="24"/>
    </w:rPr>
  </w:style>
  <w:style w:type="paragraph" w:customStyle="1" w:styleId="706">
    <w:name w:val="正文加粗"/>
    <w:basedOn w:val="697"/>
    <w:autoRedefine/>
    <w:qFormat/>
    <w:uiPriority w:val="0"/>
    <w:pPr>
      <w:ind w:firstLine="482"/>
    </w:pPr>
    <w:rPr>
      <w:b/>
    </w:rPr>
  </w:style>
  <w:style w:type="paragraph" w:customStyle="1" w:styleId="707">
    <w:name w:val="Char2 Char Char Char1"/>
    <w:basedOn w:val="1"/>
    <w:autoRedefine/>
    <w:qFormat/>
    <w:uiPriority w:val="0"/>
    <w:rPr>
      <w:rFonts w:ascii="宋体"/>
      <w:kern w:val="0"/>
      <w:sz w:val="24"/>
      <w:szCs w:val="20"/>
    </w:rPr>
  </w:style>
  <w:style w:type="paragraph" w:customStyle="1" w:styleId="708">
    <w:name w:val="Char Char24 Char Char Char Char Char Char Char Char Char Char Char Char3"/>
    <w:basedOn w:val="1"/>
    <w:autoRedefine/>
    <w:qFormat/>
    <w:uiPriority w:val="0"/>
    <w:pPr>
      <w:spacing w:line="360" w:lineRule="auto"/>
      <w:ind w:firstLine="200" w:firstLineChars="200"/>
    </w:pPr>
    <w:rPr>
      <w:sz w:val="24"/>
    </w:rPr>
  </w:style>
  <w:style w:type="paragraph" w:customStyle="1" w:styleId="709">
    <w:name w:val="111正文"/>
    <w:basedOn w:val="1"/>
    <w:autoRedefine/>
    <w:qFormat/>
    <w:uiPriority w:val="0"/>
    <w:pPr>
      <w:tabs>
        <w:tab w:val="left" w:pos="600"/>
      </w:tabs>
      <w:spacing w:line="360" w:lineRule="auto"/>
      <w:ind w:firstLine="200" w:firstLineChars="200"/>
    </w:pPr>
    <w:rPr>
      <w:kern w:val="0"/>
      <w:sz w:val="24"/>
      <w:szCs w:val="22"/>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numbering" Target="numbering.xml"/><Relationship Id="rId9" Type="http://schemas.openxmlformats.org/officeDocument/2006/relationships/image" Target="media/image2.png"/><Relationship Id="rId89" Type="http://schemas.openxmlformats.org/officeDocument/2006/relationships/customXml" Target="../customXml/item1.xml"/><Relationship Id="rId88" Type="http://schemas.openxmlformats.org/officeDocument/2006/relationships/image" Target="media/image47.png"/><Relationship Id="rId87" Type="http://schemas.openxmlformats.org/officeDocument/2006/relationships/image" Target="media/image46.wmf"/><Relationship Id="rId86" Type="http://schemas.openxmlformats.org/officeDocument/2006/relationships/oleObject" Target="embeddings/oleObject34.bin"/><Relationship Id="rId85" Type="http://schemas.openxmlformats.org/officeDocument/2006/relationships/image" Target="media/image45.wmf"/><Relationship Id="rId84" Type="http://schemas.openxmlformats.org/officeDocument/2006/relationships/oleObject" Target="embeddings/oleObject33.bin"/><Relationship Id="rId83" Type="http://schemas.openxmlformats.org/officeDocument/2006/relationships/image" Target="media/image44.png"/><Relationship Id="rId82" Type="http://schemas.openxmlformats.org/officeDocument/2006/relationships/image" Target="media/image43.png"/><Relationship Id="rId81" Type="http://schemas.openxmlformats.org/officeDocument/2006/relationships/image" Target="media/image42.png"/><Relationship Id="rId80" Type="http://schemas.openxmlformats.org/officeDocument/2006/relationships/image" Target="media/image41.png"/><Relationship Id="rId8" Type="http://schemas.openxmlformats.org/officeDocument/2006/relationships/image" Target="media/image1.jpeg"/><Relationship Id="rId79" Type="http://schemas.openxmlformats.org/officeDocument/2006/relationships/image" Target="media/image40.png"/><Relationship Id="rId78" Type="http://schemas.openxmlformats.org/officeDocument/2006/relationships/image" Target="media/image39.png"/><Relationship Id="rId77" Type="http://schemas.openxmlformats.org/officeDocument/2006/relationships/image" Target="media/image38.png"/><Relationship Id="rId76" Type="http://schemas.openxmlformats.org/officeDocument/2006/relationships/image" Target="media/image37.png"/><Relationship Id="rId75" Type="http://schemas.openxmlformats.org/officeDocument/2006/relationships/image" Target="media/image36.wmf"/><Relationship Id="rId74" Type="http://schemas.openxmlformats.org/officeDocument/2006/relationships/oleObject" Target="embeddings/oleObject32.bin"/><Relationship Id="rId73" Type="http://schemas.openxmlformats.org/officeDocument/2006/relationships/image" Target="media/image35.emf"/><Relationship Id="rId72" Type="http://schemas.openxmlformats.org/officeDocument/2006/relationships/oleObject" Target="embeddings/oleObject31.bin"/><Relationship Id="rId71" Type="http://schemas.openxmlformats.org/officeDocument/2006/relationships/image" Target="media/image34.png"/><Relationship Id="rId70" Type="http://schemas.openxmlformats.org/officeDocument/2006/relationships/image" Target="media/image33.png"/><Relationship Id="rId7" Type="http://schemas.openxmlformats.org/officeDocument/2006/relationships/theme" Target="theme/theme1.xml"/><Relationship Id="rId69" Type="http://schemas.openxmlformats.org/officeDocument/2006/relationships/image" Target="media/image32.emf"/><Relationship Id="rId68" Type="http://schemas.openxmlformats.org/officeDocument/2006/relationships/oleObject" Target="embeddings/oleObject30.bin"/><Relationship Id="rId67" Type="http://schemas.openxmlformats.org/officeDocument/2006/relationships/image" Target="media/image31.emf"/><Relationship Id="rId66" Type="http://schemas.openxmlformats.org/officeDocument/2006/relationships/oleObject" Target="embeddings/oleObject29.bin"/><Relationship Id="rId65" Type="http://schemas.openxmlformats.org/officeDocument/2006/relationships/image" Target="media/image30.emf"/><Relationship Id="rId64" Type="http://schemas.openxmlformats.org/officeDocument/2006/relationships/oleObject" Target="embeddings/oleObject28.bin"/><Relationship Id="rId63" Type="http://schemas.openxmlformats.org/officeDocument/2006/relationships/image" Target="media/image29.emf"/><Relationship Id="rId62" Type="http://schemas.openxmlformats.org/officeDocument/2006/relationships/oleObject" Target="embeddings/oleObject27.bin"/><Relationship Id="rId61" Type="http://schemas.openxmlformats.org/officeDocument/2006/relationships/image" Target="media/image28.emf"/><Relationship Id="rId60" Type="http://schemas.openxmlformats.org/officeDocument/2006/relationships/oleObject" Target="embeddings/oleObject26.bin"/><Relationship Id="rId6" Type="http://schemas.openxmlformats.org/officeDocument/2006/relationships/footer" Target="footer4.xml"/><Relationship Id="rId59" Type="http://schemas.openxmlformats.org/officeDocument/2006/relationships/image" Target="media/image27.emf"/><Relationship Id="rId58" Type="http://schemas.openxmlformats.org/officeDocument/2006/relationships/oleObject" Target="embeddings/oleObject25.bin"/><Relationship Id="rId57" Type="http://schemas.openxmlformats.org/officeDocument/2006/relationships/image" Target="media/image26.emf"/><Relationship Id="rId56" Type="http://schemas.openxmlformats.org/officeDocument/2006/relationships/oleObject" Target="embeddings/oleObject24.bin"/><Relationship Id="rId55" Type="http://schemas.openxmlformats.org/officeDocument/2006/relationships/image" Target="media/image25.emf"/><Relationship Id="rId54" Type="http://schemas.openxmlformats.org/officeDocument/2006/relationships/oleObject" Target="embeddings/oleObject23.bin"/><Relationship Id="rId53" Type="http://schemas.openxmlformats.org/officeDocument/2006/relationships/image" Target="media/image24.emf"/><Relationship Id="rId52" Type="http://schemas.openxmlformats.org/officeDocument/2006/relationships/oleObject" Target="embeddings/oleObject22.bin"/><Relationship Id="rId51" Type="http://schemas.openxmlformats.org/officeDocument/2006/relationships/image" Target="media/image23.emf"/><Relationship Id="rId50" Type="http://schemas.openxmlformats.org/officeDocument/2006/relationships/oleObject" Target="embeddings/oleObject21.bin"/><Relationship Id="rId5" Type="http://schemas.openxmlformats.org/officeDocument/2006/relationships/footer" Target="footer3.xml"/><Relationship Id="rId49" Type="http://schemas.openxmlformats.org/officeDocument/2006/relationships/image" Target="media/image22.emf"/><Relationship Id="rId48" Type="http://schemas.openxmlformats.org/officeDocument/2006/relationships/oleObject" Target="embeddings/oleObject20.bin"/><Relationship Id="rId47" Type="http://schemas.openxmlformats.org/officeDocument/2006/relationships/image" Target="media/image21.emf"/><Relationship Id="rId46" Type="http://schemas.openxmlformats.org/officeDocument/2006/relationships/oleObject" Target="embeddings/oleObject19.bin"/><Relationship Id="rId45" Type="http://schemas.openxmlformats.org/officeDocument/2006/relationships/image" Target="media/image20.emf"/><Relationship Id="rId44" Type="http://schemas.openxmlformats.org/officeDocument/2006/relationships/oleObject" Target="embeddings/oleObject18.bin"/><Relationship Id="rId43" Type="http://schemas.openxmlformats.org/officeDocument/2006/relationships/image" Target="media/image19.emf"/><Relationship Id="rId42" Type="http://schemas.openxmlformats.org/officeDocument/2006/relationships/oleObject" Target="embeddings/oleObject17.bin"/><Relationship Id="rId41" Type="http://schemas.openxmlformats.org/officeDocument/2006/relationships/image" Target="media/image18.emf"/><Relationship Id="rId40" Type="http://schemas.openxmlformats.org/officeDocument/2006/relationships/oleObject" Target="embeddings/oleObject16.bin"/><Relationship Id="rId4" Type="http://schemas.openxmlformats.org/officeDocument/2006/relationships/footer" Target="footer2.xml"/><Relationship Id="rId39" Type="http://schemas.openxmlformats.org/officeDocument/2006/relationships/image" Target="media/image17.emf"/><Relationship Id="rId38" Type="http://schemas.openxmlformats.org/officeDocument/2006/relationships/oleObject" Target="embeddings/oleObject15.bin"/><Relationship Id="rId37" Type="http://schemas.openxmlformats.org/officeDocument/2006/relationships/image" Target="media/image16.emf"/><Relationship Id="rId36" Type="http://schemas.openxmlformats.org/officeDocument/2006/relationships/oleObject" Target="embeddings/oleObject14.bin"/><Relationship Id="rId35" Type="http://schemas.openxmlformats.org/officeDocument/2006/relationships/image" Target="media/image15.emf"/><Relationship Id="rId34" Type="http://schemas.openxmlformats.org/officeDocument/2006/relationships/oleObject" Target="embeddings/oleObject13.bin"/><Relationship Id="rId33" Type="http://schemas.openxmlformats.org/officeDocument/2006/relationships/image" Target="media/image14.emf"/><Relationship Id="rId32" Type="http://schemas.openxmlformats.org/officeDocument/2006/relationships/oleObject" Target="embeddings/oleObject12.bin"/><Relationship Id="rId31" Type="http://schemas.openxmlformats.org/officeDocument/2006/relationships/image" Target="media/image13.emf"/><Relationship Id="rId30" Type="http://schemas.openxmlformats.org/officeDocument/2006/relationships/oleObject" Target="embeddings/oleObject11.bin"/><Relationship Id="rId3" Type="http://schemas.openxmlformats.org/officeDocument/2006/relationships/footer" Target="footer1.xml"/><Relationship Id="rId29" Type="http://schemas.openxmlformats.org/officeDocument/2006/relationships/image" Target="media/image12.emf"/><Relationship Id="rId28" Type="http://schemas.openxmlformats.org/officeDocument/2006/relationships/oleObject" Target="embeddings/oleObject10.bin"/><Relationship Id="rId27" Type="http://schemas.openxmlformats.org/officeDocument/2006/relationships/image" Target="media/image11.emf"/><Relationship Id="rId26" Type="http://schemas.openxmlformats.org/officeDocument/2006/relationships/oleObject" Target="embeddings/oleObject9.bin"/><Relationship Id="rId25" Type="http://schemas.openxmlformats.org/officeDocument/2006/relationships/image" Target="media/image10.emf"/><Relationship Id="rId24" Type="http://schemas.openxmlformats.org/officeDocument/2006/relationships/oleObject" Target="embeddings/oleObject8.bin"/><Relationship Id="rId23" Type="http://schemas.openxmlformats.org/officeDocument/2006/relationships/image" Target="media/image9.emf"/><Relationship Id="rId22" Type="http://schemas.openxmlformats.org/officeDocument/2006/relationships/oleObject" Target="embeddings/oleObject7.bin"/><Relationship Id="rId21" Type="http://schemas.openxmlformats.org/officeDocument/2006/relationships/image" Target="media/image8.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5.bin"/><Relationship Id="rId17" Type="http://schemas.openxmlformats.org/officeDocument/2006/relationships/image" Target="media/image6.emf"/><Relationship Id="rId16" Type="http://schemas.openxmlformats.org/officeDocument/2006/relationships/oleObject" Target="embeddings/oleObject4.bin"/><Relationship Id="rId15" Type="http://schemas.openxmlformats.org/officeDocument/2006/relationships/image" Target="media/image5.emf"/><Relationship Id="rId14" Type="http://schemas.openxmlformats.org/officeDocument/2006/relationships/oleObject" Target="embeddings/oleObject3.bin"/><Relationship Id="rId13" Type="http://schemas.openxmlformats.org/officeDocument/2006/relationships/image" Target="media/image4.emf"/><Relationship Id="rId12" Type="http://schemas.openxmlformats.org/officeDocument/2006/relationships/oleObject" Target="embeddings/oleObject2.bin"/><Relationship Id="rId11" Type="http://schemas.openxmlformats.org/officeDocument/2006/relationships/image" Target="media/image3.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149</Pages>
  <Words>25951</Words>
  <Characters>27158</Characters>
  <Lines>530</Lines>
  <Paragraphs>149</Paragraphs>
  <TotalTime>18</TotalTime>
  <ScaleCrop>false</ScaleCrop>
  <LinksUpToDate>false</LinksUpToDate>
  <CharactersWithSpaces>27223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2022-01-07T05:11:00Z</dcterms:created>
  <dc:creator>China</dc:creator>
  <cp:lastModifiedBy>球球</cp:lastModifiedBy>
  <cp:lastPrinted>2022-08-02T03:49:00Z</cp:lastPrinted>
  <dcterms:modified xsi:type="dcterms:W3CDTF">2025-03-24T01:41:45Z</dcterms:modified>
  <dc:title>附件2</dc:title>
  <cp:revision>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8D762CF95EED414F9FB7D3367D1DE1AF_13</vt:lpwstr>
  </property>
  <property fmtid="{D5CDD505-2E9C-101B-9397-08002B2CF9AE}" pid="4" name="KSOTemplateDocerSaveRecord">
    <vt:lpwstr>eyJoZGlkIjoiYWZhMzA0MTE2MGQ3ODcwOTgyMWY3NzY0ZDhkYzQxODciLCJ1c2VySWQiOiIzODk2NzQyOTcifQ==</vt:lpwstr>
  </property>
</Properties>
</file>