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D421E">
      <w:pPr>
        <w:jc w:val="left"/>
        <w:rPr>
          <w:rFonts w:ascii="Times New Roman" w:hAnsi="Times New Roman" w:eastAsia="方正仿宋_GBK"/>
          <w:sz w:val="32"/>
          <w:szCs w:val="32"/>
        </w:rPr>
      </w:pPr>
      <w:r>
        <w:rPr>
          <w:rFonts w:ascii="Times New Roman" w:hAnsi="方正仿宋_GBK" w:eastAsia="方正仿宋_GBK"/>
          <w:sz w:val="32"/>
          <w:szCs w:val="32"/>
        </w:rPr>
        <w:t>附件</w:t>
      </w:r>
      <w:r>
        <w:rPr>
          <w:rFonts w:ascii="Times New Roman" w:hAnsi="Times New Roman" w:eastAsia="方正仿宋_GBK"/>
          <w:sz w:val="32"/>
          <w:szCs w:val="32"/>
        </w:rPr>
        <w:t>3</w:t>
      </w:r>
    </w:p>
    <w:p w14:paraId="2CF30DD8">
      <w:pPr>
        <w:jc w:val="center"/>
        <w:rPr>
          <w:rFonts w:ascii="Times New Roman" w:hAnsi="Times New Roman" w:eastAsia="黑体"/>
          <w:sz w:val="52"/>
        </w:rPr>
      </w:pPr>
    </w:p>
    <w:p w14:paraId="0D02F17B">
      <w:pPr>
        <w:jc w:val="center"/>
        <w:rPr>
          <w:rFonts w:ascii="Times New Roman" w:hAnsi="Times New Roman" w:eastAsia="黑体"/>
          <w:sz w:val="52"/>
        </w:rPr>
      </w:pPr>
    </w:p>
    <w:p w14:paraId="4843226E">
      <w:pPr>
        <w:jc w:val="center"/>
        <w:rPr>
          <w:rFonts w:ascii="Times New Roman" w:hAnsi="Times New Roman" w:eastAsia="方正小标宋_GBK"/>
          <w:b/>
          <w:sz w:val="52"/>
          <w:szCs w:val="52"/>
        </w:rPr>
      </w:pPr>
    </w:p>
    <w:p w14:paraId="4D2454BB">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21EBFD4C">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1F45408A">
      <w:pPr>
        <w:jc w:val="center"/>
        <w:rPr>
          <w:rFonts w:ascii="Times New Roman" w:hAnsi="Times New Roman"/>
          <w:sz w:val="52"/>
        </w:rPr>
      </w:pPr>
    </w:p>
    <w:p w14:paraId="3FD3E1F7">
      <w:pPr>
        <w:jc w:val="center"/>
        <w:rPr>
          <w:rFonts w:ascii="Times New Roman" w:hAnsi="Times New Roman"/>
          <w:sz w:val="52"/>
        </w:rPr>
      </w:pPr>
    </w:p>
    <w:p w14:paraId="727D9793">
      <w:pPr>
        <w:jc w:val="center"/>
        <w:rPr>
          <w:rFonts w:ascii="Times New Roman" w:hAnsi="Times New Roman"/>
        </w:rPr>
      </w:pPr>
    </w:p>
    <w:p w14:paraId="109FE4BF">
      <w:pPr>
        <w:rPr>
          <w:rFonts w:ascii="Times New Roman" w:hAnsi="Times New Roman"/>
        </w:rPr>
      </w:pPr>
    </w:p>
    <w:p w14:paraId="678487AD">
      <w:pPr>
        <w:rPr>
          <w:rFonts w:ascii="Times New Roman" w:hAnsi="Times New Roman"/>
        </w:rPr>
      </w:pPr>
    </w:p>
    <w:p w14:paraId="36324A6D">
      <w:pPr>
        <w:rPr>
          <w:rFonts w:ascii="Times New Roman" w:hAnsi="Times New Roman"/>
        </w:rPr>
      </w:pPr>
    </w:p>
    <w:p w14:paraId="7A7F3512">
      <w:pPr>
        <w:rPr>
          <w:rFonts w:ascii="Times New Roman" w:hAnsi="Times New Roman"/>
        </w:rPr>
      </w:pPr>
    </w:p>
    <w:p w14:paraId="2162BD59">
      <w:pPr>
        <w:rPr>
          <w:rFonts w:ascii="Times New Roman" w:hAnsi="Times New Roman"/>
        </w:rPr>
      </w:pPr>
    </w:p>
    <w:p w14:paraId="29F80028">
      <w:pPr>
        <w:rPr>
          <w:rFonts w:ascii="Times New Roman" w:hAnsi="Times New Roman"/>
        </w:rPr>
      </w:pPr>
    </w:p>
    <w:p w14:paraId="60D985B1">
      <w:pPr>
        <w:rPr>
          <w:rFonts w:ascii="Times New Roman" w:hAnsi="Times New Roman"/>
        </w:rPr>
      </w:pPr>
    </w:p>
    <w:p w14:paraId="25AA9A5E">
      <w:pPr>
        <w:pStyle w:val="5"/>
        <w:tabs>
          <w:tab w:val="left" w:pos="5940"/>
        </w:tabs>
        <w:snapToGrid w:val="0"/>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hint="eastAsia" w:ascii="Times New Roman" w:hAnsi="Times New Roman"/>
          <w:b/>
          <w:sz w:val="32"/>
          <w:u w:val="single"/>
        </w:rPr>
        <w:t>上海新金桥环保有限公司</w:t>
      </w:r>
      <w:r>
        <w:rPr>
          <w:rFonts w:ascii="Times New Roman" w:hAnsi="Times New Roman"/>
          <w:b/>
          <w:sz w:val="32"/>
          <w:u w:val="single"/>
        </w:rPr>
        <w:t xml:space="preserve">  </w:t>
      </w:r>
      <w:r>
        <w:rPr>
          <w:rFonts w:ascii="Times New Roman" w:hAnsi="宋体"/>
          <w:b/>
          <w:sz w:val="32"/>
        </w:rPr>
        <w:t>（公章）</w:t>
      </w:r>
    </w:p>
    <w:p w14:paraId="1FB1FF4F">
      <w:pPr>
        <w:tabs>
          <w:tab w:val="left" w:pos="5940"/>
        </w:tabs>
        <w:snapToGrid w:val="0"/>
        <w:rPr>
          <w:rFonts w:ascii="Times New Roman" w:hAnsi="Times New Roman"/>
          <w:b/>
          <w:sz w:val="32"/>
        </w:rPr>
      </w:pPr>
    </w:p>
    <w:p w14:paraId="166EF6DE">
      <w:pPr>
        <w:tabs>
          <w:tab w:val="left" w:pos="5940"/>
        </w:tabs>
        <w:snapToGrid w:val="0"/>
        <w:rPr>
          <w:rFonts w:ascii="Times New Roman" w:hAnsi="Times New Roman"/>
          <w:b/>
          <w:sz w:val="32"/>
        </w:rPr>
      </w:pPr>
    </w:p>
    <w:p w14:paraId="47082ACD">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rPr>
        <w:t>202</w:t>
      </w:r>
      <w:r>
        <w:rPr>
          <w:rFonts w:hint="eastAsia" w:ascii="Times New Roman" w:hAnsi="Times New Roman"/>
          <w:b/>
          <w:sz w:val="32"/>
          <w:u w:val="single"/>
          <w:lang w:val="en-US" w:eastAsia="zh-CN"/>
        </w:rPr>
        <w:t>4</w:t>
      </w:r>
      <w:r>
        <w:rPr>
          <w:rFonts w:hint="eastAsia" w:ascii="Times New Roman" w:hAnsi="Times New Roman"/>
          <w:b/>
          <w:sz w:val="32"/>
          <w:u w:val="single"/>
        </w:rPr>
        <w:t>年</w:t>
      </w:r>
      <w:r>
        <w:rPr>
          <w:rFonts w:hint="eastAsia" w:ascii="Times New Roman" w:hAnsi="Times New Roman"/>
          <w:b/>
          <w:sz w:val="32"/>
          <w:u w:val="single"/>
          <w:lang w:val="en-US" w:eastAsia="zh-CN"/>
        </w:rPr>
        <w:t>11</w:t>
      </w:r>
      <w:r>
        <w:rPr>
          <w:rFonts w:hint="eastAsia" w:ascii="Times New Roman" w:hAnsi="Times New Roman"/>
          <w:b/>
          <w:sz w:val="32"/>
          <w:u w:val="single"/>
        </w:rPr>
        <w:t>月</w:t>
      </w:r>
      <w:r>
        <w:rPr>
          <w:rFonts w:hint="eastAsia" w:ascii="Times New Roman" w:hAnsi="Times New Roman"/>
          <w:b/>
          <w:sz w:val="32"/>
          <w:u w:val="single"/>
          <w:lang w:val="en-US" w:eastAsia="zh-CN"/>
        </w:rPr>
        <w:t>26</w:t>
      </w:r>
      <w:r>
        <w:rPr>
          <w:rFonts w:hint="eastAsia" w:ascii="Times New Roman" w:hAnsi="Times New Roman"/>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5E4B1F0E">
      <w:pPr>
        <w:tabs>
          <w:tab w:val="left" w:pos="5940"/>
        </w:tabs>
        <w:snapToGrid w:val="0"/>
        <w:spacing w:line="400" w:lineRule="exact"/>
        <w:rPr>
          <w:rFonts w:ascii="Times New Roman" w:hAnsi="Times New Roman"/>
          <w:b/>
          <w:sz w:val="24"/>
        </w:rPr>
      </w:pPr>
    </w:p>
    <w:p w14:paraId="2ABAB2A0">
      <w:pPr>
        <w:tabs>
          <w:tab w:val="left" w:pos="5940"/>
        </w:tabs>
        <w:snapToGrid w:val="0"/>
        <w:spacing w:line="400" w:lineRule="exact"/>
        <w:rPr>
          <w:rFonts w:ascii="Times New Roman" w:hAnsi="Times New Roman" w:eastAsia="楷体_GB2312"/>
          <w:spacing w:val="20"/>
          <w:sz w:val="30"/>
        </w:rPr>
      </w:pPr>
    </w:p>
    <w:p w14:paraId="2AAC0167">
      <w:pPr>
        <w:tabs>
          <w:tab w:val="left" w:pos="5940"/>
        </w:tabs>
        <w:snapToGrid w:val="0"/>
        <w:spacing w:line="400" w:lineRule="exact"/>
        <w:rPr>
          <w:rFonts w:ascii="Times New Roman" w:hAnsi="Times New Roman"/>
          <w:b/>
          <w:sz w:val="24"/>
        </w:rPr>
      </w:pPr>
    </w:p>
    <w:p w14:paraId="78D41517">
      <w:pPr>
        <w:tabs>
          <w:tab w:val="left" w:pos="5940"/>
        </w:tabs>
        <w:snapToGrid w:val="0"/>
        <w:spacing w:line="400" w:lineRule="exact"/>
        <w:rPr>
          <w:rFonts w:ascii="Times New Roman" w:hAnsi="Times New Roman"/>
          <w:b/>
          <w:sz w:val="24"/>
        </w:rPr>
      </w:pPr>
    </w:p>
    <w:p w14:paraId="0BCC911A">
      <w:pPr>
        <w:tabs>
          <w:tab w:val="left" w:pos="5940"/>
        </w:tabs>
        <w:snapToGrid w:val="0"/>
        <w:spacing w:line="400" w:lineRule="exact"/>
        <w:rPr>
          <w:rFonts w:ascii="Times New Roman" w:hAnsi="Times New Roman"/>
          <w:b/>
          <w:sz w:val="24"/>
        </w:rPr>
      </w:pPr>
    </w:p>
    <w:p w14:paraId="21CFD6FD">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14:paraId="25A724B8">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8CDE8DC">
      <w:pPr>
        <w:ind w:right="-758" w:rightChars="-361"/>
        <w:jc w:val="center"/>
        <w:rPr>
          <w:rFonts w:ascii="Times New Roman" w:hAnsi="Times New Roman" w:eastAsia="方正小标宋_GBK"/>
          <w:b/>
          <w:sz w:val="44"/>
          <w:szCs w:val="44"/>
        </w:rPr>
      </w:pPr>
    </w:p>
    <w:p w14:paraId="68376487">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96BB218">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71101AD4">
      <w:pPr>
        <w:ind w:left="-210" w:leftChars="-100" w:right="-210" w:rightChars="-100" w:firstLine="1264"/>
        <w:rPr>
          <w:rFonts w:ascii="Times New Roman" w:hAnsi="Times New Roman" w:eastAsia="方正仿宋_GBK"/>
          <w:sz w:val="36"/>
          <w:szCs w:val="36"/>
        </w:rPr>
      </w:pPr>
    </w:p>
    <w:p w14:paraId="6CA2AB8F">
      <w:pPr>
        <w:ind w:left="-210" w:leftChars="-100" w:right="-210" w:rightChars="-100" w:firstLine="1264"/>
        <w:rPr>
          <w:rFonts w:ascii="Times New Roman" w:hAnsi="Times New Roman" w:eastAsia="方正仿宋_GBK"/>
          <w:sz w:val="36"/>
          <w:szCs w:val="36"/>
        </w:rPr>
      </w:pPr>
    </w:p>
    <w:p w14:paraId="46C69DD3">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AF3CC8C">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69725D41">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方正仿宋_GBK" w:eastAsia="方正仿宋_GBK"/>
          <w:sz w:val="32"/>
          <w:szCs w:val="32"/>
        </w:rPr>
        <w:t>年</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ascii="Times New Roman" w:hAnsi="Times New Roman" w:eastAsia="方正仿宋_GBK"/>
          <w:sz w:val="32"/>
          <w:szCs w:val="32"/>
        </w:rPr>
        <w:t xml:space="preserve">  </w:t>
      </w:r>
      <w:r>
        <w:rPr>
          <w:rFonts w:ascii="Times New Roman" w:hAnsi="方正仿宋_GBK" w:eastAsia="方正仿宋_GBK"/>
          <w:sz w:val="32"/>
          <w:szCs w:val="32"/>
        </w:rPr>
        <w:t>日</w:t>
      </w:r>
    </w:p>
    <w:p w14:paraId="754D8893">
      <w:pPr>
        <w:ind w:left="-210" w:leftChars="-100" w:right="-210" w:rightChars="-100" w:firstLine="1264"/>
        <w:jc w:val="center"/>
        <w:rPr>
          <w:rFonts w:ascii="Times New Roman" w:hAnsi="Times New Roman"/>
          <w:sz w:val="36"/>
          <w:szCs w:val="36"/>
        </w:rPr>
      </w:pPr>
    </w:p>
    <w:p w14:paraId="15985487">
      <w:pPr>
        <w:ind w:left="-708" w:leftChars="-337" w:right="-758" w:rightChars="-361" w:firstLine="1264"/>
        <w:rPr>
          <w:rFonts w:ascii="Times New Roman" w:hAnsi="Times New Roman"/>
          <w:sz w:val="36"/>
          <w:szCs w:val="36"/>
        </w:rPr>
      </w:pPr>
    </w:p>
    <w:p w14:paraId="5A3340AF">
      <w:pPr>
        <w:ind w:left="-708" w:leftChars="-337" w:right="-758" w:rightChars="-361" w:firstLine="1264"/>
        <w:rPr>
          <w:rFonts w:ascii="Times New Roman" w:hAnsi="Times New Roman"/>
          <w:sz w:val="36"/>
          <w:szCs w:val="36"/>
        </w:rPr>
      </w:pPr>
    </w:p>
    <w:p w14:paraId="1A1579D7">
      <w:pPr>
        <w:ind w:left="-708" w:leftChars="-337" w:right="-758" w:rightChars="-361" w:firstLine="1264"/>
        <w:rPr>
          <w:rFonts w:ascii="Times New Roman" w:hAnsi="Times New Roman"/>
          <w:sz w:val="36"/>
          <w:szCs w:val="36"/>
        </w:rPr>
      </w:pPr>
    </w:p>
    <w:p w14:paraId="795E6582">
      <w:pPr>
        <w:ind w:left="-708" w:leftChars="-337" w:right="-758" w:rightChars="-361" w:firstLine="1264"/>
        <w:rPr>
          <w:rFonts w:ascii="Times New Roman" w:hAnsi="Times New Roman"/>
          <w:sz w:val="28"/>
        </w:rPr>
      </w:pPr>
    </w:p>
    <w:p w14:paraId="0159B446">
      <w:pPr>
        <w:ind w:right="-758" w:rightChars="-361"/>
        <w:rPr>
          <w:rFonts w:ascii="Times New Roman" w:hAnsi="Times New Roman"/>
          <w:sz w:val="28"/>
        </w:rPr>
      </w:pPr>
    </w:p>
    <w:p w14:paraId="690AEDA6">
      <w:pPr>
        <w:ind w:left="-708" w:leftChars="-337" w:right="-758" w:rightChars="-361" w:firstLine="1264"/>
        <w:rPr>
          <w:rFonts w:ascii="Times New Roman" w:hAnsi="Times New Roman"/>
          <w:sz w:val="28"/>
        </w:rPr>
      </w:pPr>
    </w:p>
    <w:p w14:paraId="39341730">
      <w:pPr>
        <w:ind w:left="-708" w:leftChars="-337" w:right="-758" w:rightChars="-361" w:firstLine="1264"/>
        <w:rPr>
          <w:rFonts w:ascii="Times New Roman" w:hAnsi="Times New Roman"/>
          <w:sz w:val="28"/>
        </w:rPr>
      </w:pPr>
    </w:p>
    <w:p w14:paraId="2FBED623">
      <w:pPr>
        <w:ind w:left="-708" w:leftChars="-337" w:right="-758" w:rightChars="-361" w:firstLine="1264"/>
        <w:rPr>
          <w:rFonts w:ascii="Times New Roman" w:hAnsi="Times New Roman"/>
          <w:sz w:val="28"/>
        </w:rPr>
      </w:pPr>
    </w:p>
    <w:p w14:paraId="3AAC4A2F">
      <w:pPr>
        <w:rPr>
          <w:rFonts w:ascii="Times New Roman" w:hAnsi="Times New Roman" w:eastAsia="黑体"/>
          <w:sz w:val="28"/>
          <w:szCs w:val="28"/>
        </w:rPr>
      </w:pPr>
      <w:r>
        <w:rPr>
          <w:rFonts w:ascii="Times New Roman" w:eastAsia="黑体"/>
          <w:sz w:val="28"/>
          <w:szCs w:val="28"/>
        </w:rPr>
        <w:t>第一部分：拟转移废物基本情况</w:t>
      </w:r>
    </w:p>
    <w:tbl>
      <w:tblPr>
        <w:tblStyle w:val="9"/>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62"/>
        <w:gridCol w:w="906"/>
        <w:gridCol w:w="436"/>
        <w:gridCol w:w="545"/>
        <w:gridCol w:w="928"/>
        <w:gridCol w:w="1595"/>
        <w:gridCol w:w="205"/>
        <w:gridCol w:w="1475"/>
      </w:tblGrid>
      <w:tr w14:paraId="075C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9"/>
          </w:tcPr>
          <w:p w14:paraId="485302DA">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569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trPr>
        <w:tc>
          <w:tcPr>
            <w:tcW w:w="9135" w:type="dxa"/>
            <w:gridSpan w:val="9"/>
          </w:tcPr>
          <w:p w14:paraId="534316C4">
            <w:pPr>
              <w:spacing w:line="300" w:lineRule="exact"/>
              <w:rPr>
                <w:rFonts w:ascii="Times New Roman"/>
                <w:szCs w:val="21"/>
                <w:highlight w:val="none"/>
              </w:rPr>
            </w:pPr>
            <w:r>
              <w:rPr>
                <w:rFonts w:ascii="Times New Roman"/>
                <w:szCs w:val="21"/>
                <w:highlight w:val="none"/>
              </w:rPr>
              <w:t>废物产生企业概况（企业投产时间、主要经营范围及规模）</w:t>
            </w:r>
          </w:p>
          <w:p w14:paraId="04E46133">
            <w:pPr>
              <w:spacing w:line="300" w:lineRule="exact"/>
              <w:rPr>
                <w:highlight w:val="none"/>
              </w:rPr>
            </w:pPr>
            <w:r>
              <w:rPr>
                <w:rFonts w:hint="eastAsia" w:ascii="Times New Roman"/>
                <w:szCs w:val="21"/>
                <w:highlight w:val="none"/>
              </w:rPr>
              <w:t>本公司位于上海市浦东新区敬业路870号，成立于 2000年，目前主要从事工业废弃物收集、运输、贮存、处理、处置和再循环利用一体化，是具备《上海市危险废物经营许可证》的工业废弃物收集处置单位，年危险废弃物收集量约8000吨；2017年，经上海环保局发文通知，本公司列为上海市回收汽修店、汽车4S店废油等危废收集、暂存企业之一，收集、分类、暂存汽车生产和维修过程中产生的危险废物HW08废矿物油</w:t>
            </w:r>
            <w:r>
              <w:rPr>
                <w:rFonts w:hint="eastAsia" w:ascii="Times New Roman"/>
                <w:szCs w:val="21"/>
                <w:highlight w:val="none"/>
                <w:lang w:val="en-US" w:eastAsia="zh-CN"/>
              </w:rPr>
              <w:t>、废矿物油（自产）、润滑油，</w:t>
            </w:r>
            <w:r>
              <w:rPr>
                <w:rFonts w:hint="eastAsia" w:ascii="Times New Roman"/>
                <w:szCs w:val="21"/>
                <w:highlight w:val="none"/>
              </w:rPr>
              <w:t>预计202</w:t>
            </w:r>
            <w:r>
              <w:rPr>
                <w:rFonts w:hint="eastAsia" w:ascii="Times New Roman"/>
                <w:szCs w:val="21"/>
                <w:highlight w:val="none"/>
                <w:lang w:val="en-US" w:eastAsia="zh-CN"/>
              </w:rPr>
              <w:t>5</w:t>
            </w:r>
            <w:r>
              <w:rPr>
                <w:rFonts w:hint="eastAsia" w:ascii="Times New Roman"/>
                <w:szCs w:val="21"/>
                <w:highlight w:val="none"/>
              </w:rPr>
              <w:t>年可回收HW08废矿物油</w:t>
            </w:r>
            <w:r>
              <w:rPr>
                <w:rFonts w:hint="eastAsia" w:ascii="Times New Roman"/>
                <w:szCs w:val="21"/>
                <w:highlight w:val="none"/>
                <w:lang w:val="en-US" w:eastAsia="zh-CN"/>
              </w:rPr>
              <w:t>20</w:t>
            </w:r>
            <w:r>
              <w:rPr>
                <w:rFonts w:hint="eastAsia" w:ascii="Times New Roman"/>
                <w:szCs w:val="21"/>
                <w:highlight w:val="none"/>
              </w:rPr>
              <w:t>00吨，现拟委托常州菲纳斯能源科技有限公司处置。</w:t>
            </w:r>
          </w:p>
        </w:tc>
      </w:tr>
      <w:tr w14:paraId="655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9"/>
            <w:vAlign w:val="center"/>
          </w:tcPr>
          <w:p w14:paraId="0D4B57BB">
            <w:pPr>
              <w:spacing w:line="300" w:lineRule="exact"/>
              <w:rPr>
                <w:rFonts w:ascii="Times New Roman" w:hAnsi="Times New Roman"/>
                <w:szCs w:val="21"/>
                <w:highlight w:val="none"/>
              </w:rPr>
            </w:pPr>
            <w:r>
              <w:rPr>
                <w:rFonts w:ascii="Times New Roman"/>
                <w:szCs w:val="21"/>
                <w:highlight w:val="none"/>
              </w:rPr>
              <w:t>产品及产废情况</w:t>
            </w:r>
          </w:p>
        </w:tc>
      </w:tr>
      <w:tr w14:paraId="4DF3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32" w:type="dxa"/>
            <w:gridSpan w:val="5"/>
            <w:vAlign w:val="center"/>
          </w:tcPr>
          <w:p w14:paraId="2D2B99A4">
            <w:pPr>
              <w:spacing w:line="300" w:lineRule="exact"/>
              <w:jc w:val="center"/>
              <w:rPr>
                <w:rFonts w:ascii="Times New Roman" w:hAnsi="Times New Roman"/>
                <w:szCs w:val="21"/>
                <w:highlight w:val="none"/>
              </w:rPr>
            </w:pPr>
            <w:r>
              <w:rPr>
                <w:rFonts w:ascii="Times New Roman"/>
                <w:szCs w:val="21"/>
                <w:highlight w:val="none"/>
              </w:rPr>
              <w:t>产品情况</w:t>
            </w:r>
          </w:p>
        </w:tc>
        <w:tc>
          <w:tcPr>
            <w:tcW w:w="4203" w:type="dxa"/>
            <w:gridSpan w:val="4"/>
            <w:vAlign w:val="center"/>
          </w:tcPr>
          <w:p w14:paraId="5E9EA298">
            <w:pPr>
              <w:spacing w:line="300" w:lineRule="exact"/>
              <w:jc w:val="center"/>
              <w:rPr>
                <w:rFonts w:ascii="Times New Roman" w:hAnsi="Times New Roman"/>
                <w:szCs w:val="21"/>
                <w:highlight w:val="none"/>
              </w:rPr>
            </w:pPr>
            <w:r>
              <w:rPr>
                <w:rFonts w:ascii="Times New Roman"/>
                <w:szCs w:val="21"/>
                <w:highlight w:val="none"/>
              </w:rPr>
              <w:t>产生危险废物情况</w:t>
            </w:r>
          </w:p>
        </w:tc>
      </w:tr>
      <w:tr w14:paraId="6CA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3" w:type="dxa"/>
            <w:vAlign w:val="center"/>
          </w:tcPr>
          <w:p w14:paraId="7F280D2F">
            <w:pPr>
              <w:spacing w:line="300" w:lineRule="exact"/>
              <w:jc w:val="center"/>
              <w:rPr>
                <w:rFonts w:ascii="Times New Roman" w:hAnsi="Times New Roman"/>
                <w:szCs w:val="21"/>
                <w:highlight w:val="none"/>
              </w:rPr>
            </w:pPr>
            <w:r>
              <w:rPr>
                <w:rFonts w:ascii="Times New Roman"/>
                <w:szCs w:val="21"/>
                <w:highlight w:val="none"/>
              </w:rPr>
              <w:t>产品名称</w:t>
            </w:r>
          </w:p>
        </w:tc>
        <w:tc>
          <w:tcPr>
            <w:tcW w:w="1168" w:type="dxa"/>
            <w:gridSpan w:val="2"/>
            <w:vAlign w:val="center"/>
          </w:tcPr>
          <w:p w14:paraId="31AAAA7E">
            <w:pPr>
              <w:spacing w:line="300" w:lineRule="exact"/>
              <w:jc w:val="center"/>
              <w:rPr>
                <w:rFonts w:ascii="Times New Roman" w:hAnsi="Times New Roman"/>
                <w:szCs w:val="21"/>
                <w:highlight w:val="none"/>
              </w:rPr>
            </w:pPr>
            <w:r>
              <w:rPr>
                <w:rFonts w:ascii="Times New Roman"/>
                <w:szCs w:val="21"/>
                <w:highlight w:val="none"/>
              </w:rPr>
              <w:t>主要成分化学名</w:t>
            </w:r>
          </w:p>
        </w:tc>
        <w:tc>
          <w:tcPr>
            <w:tcW w:w="981" w:type="dxa"/>
            <w:gridSpan w:val="2"/>
            <w:vAlign w:val="center"/>
          </w:tcPr>
          <w:p w14:paraId="2E8006E9">
            <w:pPr>
              <w:spacing w:line="300" w:lineRule="exact"/>
              <w:jc w:val="center"/>
              <w:rPr>
                <w:rFonts w:ascii="Times New Roman" w:hAnsi="Times New Roman"/>
                <w:szCs w:val="21"/>
                <w:highlight w:val="none"/>
              </w:rPr>
            </w:pPr>
            <w:r>
              <w:rPr>
                <w:rFonts w:ascii="Times New Roman"/>
                <w:szCs w:val="21"/>
                <w:highlight w:val="none"/>
              </w:rPr>
              <w:t>年产量</w:t>
            </w:r>
          </w:p>
        </w:tc>
        <w:tc>
          <w:tcPr>
            <w:tcW w:w="2728" w:type="dxa"/>
            <w:gridSpan w:val="3"/>
            <w:vAlign w:val="center"/>
          </w:tcPr>
          <w:p w14:paraId="42180FDC">
            <w:pPr>
              <w:spacing w:line="300" w:lineRule="exact"/>
              <w:jc w:val="center"/>
              <w:rPr>
                <w:rFonts w:ascii="Times New Roman" w:hAnsi="Times New Roman"/>
                <w:szCs w:val="21"/>
                <w:highlight w:val="none"/>
              </w:rPr>
            </w:pPr>
            <w:r>
              <w:rPr>
                <w:rFonts w:ascii="Times New Roman"/>
                <w:szCs w:val="21"/>
                <w:highlight w:val="none"/>
              </w:rPr>
              <w:t>废物名称</w:t>
            </w:r>
          </w:p>
        </w:tc>
        <w:tc>
          <w:tcPr>
            <w:tcW w:w="1475" w:type="dxa"/>
            <w:vAlign w:val="center"/>
          </w:tcPr>
          <w:p w14:paraId="7F643161">
            <w:pPr>
              <w:spacing w:line="300" w:lineRule="exact"/>
              <w:jc w:val="center"/>
              <w:rPr>
                <w:rFonts w:ascii="Times New Roman" w:hAnsi="Times New Roman"/>
                <w:szCs w:val="21"/>
                <w:highlight w:val="none"/>
              </w:rPr>
            </w:pPr>
            <w:r>
              <w:rPr>
                <w:rFonts w:ascii="Times New Roman"/>
                <w:szCs w:val="21"/>
                <w:highlight w:val="none"/>
              </w:rPr>
              <w:t>年产生量</w:t>
            </w:r>
          </w:p>
        </w:tc>
      </w:tr>
      <w:tr w14:paraId="363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783" w:type="dxa"/>
            <w:vAlign w:val="center"/>
          </w:tcPr>
          <w:p w14:paraId="072C3F7D">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润滑油900-209-08</w:t>
            </w:r>
          </w:p>
          <w:p w14:paraId="1D507A30">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废矿物油（自产）900-249-08</w:t>
            </w:r>
          </w:p>
          <w:p w14:paraId="1747DFE1">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废矿物油900-209-08、</w:t>
            </w:r>
          </w:p>
          <w:p w14:paraId="01599FD1">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废矿物油900-249-08、</w:t>
            </w:r>
          </w:p>
          <w:p w14:paraId="656AC79F">
            <w:pPr>
              <w:spacing w:line="300" w:lineRule="exact"/>
              <w:jc w:val="center"/>
              <w:rPr>
                <w:rFonts w:hint="default" w:ascii="Times New Roman"/>
                <w:szCs w:val="21"/>
                <w:highlight w:val="none"/>
                <w:lang w:val="en-US" w:eastAsia="zh-CN"/>
              </w:rPr>
            </w:pPr>
            <w:r>
              <w:rPr>
                <w:rFonts w:hint="eastAsia" w:ascii="Times New Roman"/>
                <w:szCs w:val="21"/>
                <w:highlight w:val="none"/>
                <w:lang w:val="en-US" w:eastAsia="zh-CN"/>
              </w:rPr>
              <w:t>废矿物油900-214-08</w:t>
            </w:r>
          </w:p>
        </w:tc>
        <w:tc>
          <w:tcPr>
            <w:tcW w:w="1168" w:type="dxa"/>
            <w:gridSpan w:val="2"/>
            <w:vAlign w:val="center"/>
          </w:tcPr>
          <w:p w14:paraId="53A97B39">
            <w:pPr>
              <w:spacing w:line="300" w:lineRule="exact"/>
              <w:jc w:val="center"/>
              <w:rPr>
                <w:highlight w:val="none"/>
              </w:rPr>
            </w:pPr>
            <w:r>
              <w:rPr>
                <w:rFonts w:hint="eastAsia" w:ascii="仿宋" w:hAnsi="仿宋" w:eastAsia="仿宋"/>
                <w:highlight w:val="none"/>
              </w:rPr>
              <w:t>烯烃</w:t>
            </w:r>
            <w:r>
              <w:rPr>
                <w:rFonts w:hint="eastAsia"/>
                <w:highlight w:val="none"/>
              </w:rPr>
              <w:t>/</w:t>
            </w:r>
            <w:r>
              <w:rPr>
                <w:rFonts w:hint="eastAsia" w:ascii="仿宋" w:hAnsi="仿宋" w:eastAsia="仿宋"/>
                <w:highlight w:val="none"/>
              </w:rPr>
              <w:t>防锈剂</w:t>
            </w:r>
            <w:r>
              <w:rPr>
                <w:rFonts w:hint="eastAsia"/>
                <w:highlight w:val="none"/>
              </w:rPr>
              <w:t>/</w:t>
            </w:r>
            <w:r>
              <w:rPr>
                <w:rFonts w:hint="eastAsia" w:ascii="仿宋" w:hAnsi="仿宋" w:eastAsia="仿宋"/>
                <w:highlight w:val="none"/>
              </w:rPr>
              <w:t>清净剂</w:t>
            </w:r>
          </w:p>
        </w:tc>
        <w:tc>
          <w:tcPr>
            <w:tcW w:w="981" w:type="dxa"/>
            <w:gridSpan w:val="2"/>
            <w:vAlign w:val="center"/>
          </w:tcPr>
          <w:p w14:paraId="7E335025">
            <w:pPr>
              <w:spacing w:line="300" w:lineRule="exact"/>
              <w:jc w:val="center"/>
              <w:rPr>
                <w:highlight w:val="none"/>
              </w:rPr>
            </w:pPr>
            <w:r>
              <w:rPr>
                <w:rFonts w:hint="eastAsia"/>
                <w:highlight w:val="none"/>
                <w:lang w:val="en-US" w:eastAsia="zh-CN"/>
              </w:rPr>
              <w:t>20</w:t>
            </w:r>
            <w:r>
              <w:rPr>
                <w:highlight w:val="none"/>
              </w:rPr>
              <w:t>00</w:t>
            </w:r>
            <w:r>
              <w:rPr>
                <w:rFonts w:hint="eastAsia"/>
                <w:highlight w:val="none"/>
              </w:rPr>
              <w:t>吨/年</w:t>
            </w:r>
          </w:p>
        </w:tc>
        <w:tc>
          <w:tcPr>
            <w:tcW w:w="2728" w:type="dxa"/>
            <w:gridSpan w:val="3"/>
            <w:vAlign w:val="center"/>
          </w:tcPr>
          <w:p w14:paraId="2BF5FA4B">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润滑油900-209-08</w:t>
            </w:r>
          </w:p>
          <w:p w14:paraId="4EF53EE2">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废矿物油（自产）900-249-08</w:t>
            </w:r>
          </w:p>
          <w:p w14:paraId="519D7320">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废矿物油900-209-08、</w:t>
            </w:r>
          </w:p>
          <w:p w14:paraId="1ADE34BF">
            <w:pPr>
              <w:spacing w:line="300" w:lineRule="exact"/>
              <w:jc w:val="center"/>
              <w:rPr>
                <w:rFonts w:hint="eastAsia" w:ascii="Times New Roman"/>
                <w:szCs w:val="21"/>
                <w:highlight w:val="none"/>
                <w:lang w:val="en-US" w:eastAsia="zh-CN"/>
              </w:rPr>
            </w:pPr>
            <w:r>
              <w:rPr>
                <w:rFonts w:hint="eastAsia" w:ascii="Times New Roman"/>
                <w:szCs w:val="21"/>
                <w:highlight w:val="none"/>
                <w:lang w:val="en-US" w:eastAsia="zh-CN"/>
              </w:rPr>
              <w:t>废矿物油900-249-08、</w:t>
            </w:r>
          </w:p>
          <w:p w14:paraId="6CE2B23F">
            <w:pPr>
              <w:spacing w:line="300" w:lineRule="exact"/>
              <w:jc w:val="center"/>
              <w:rPr>
                <w:highlight w:val="none"/>
              </w:rPr>
            </w:pPr>
            <w:r>
              <w:rPr>
                <w:rFonts w:hint="eastAsia" w:ascii="Times New Roman"/>
                <w:szCs w:val="21"/>
                <w:highlight w:val="none"/>
                <w:lang w:val="en-US" w:eastAsia="zh-CN"/>
              </w:rPr>
              <w:t>废矿物油900-214-08</w:t>
            </w:r>
          </w:p>
        </w:tc>
        <w:tc>
          <w:tcPr>
            <w:tcW w:w="1475" w:type="dxa"/>
            <w:vAlign w:val="center"/>
          </w:tcPr>
          <w:p w14:paraId="2426C92B">
            <w:pPr>
              <w:spacing w:line="300" w:lineRule="exact"/>
              <w:jc w:val="center"/>
              <w:rPr>
                <w:highlight w:val="none"/>
              </w:rPr>
            </w:pPr>
            <w:r>
              <w:rPr>
                <w:rFonts w:hint="eastAsia"/>
                <w:highlight w:val="none"/>
                <w:lang w:val="en-US" w:eastAsia="zh-CN"/>
              </w:rPr>
              <w:t>200</w:t>
            </w:r>
            <w:r>
              <w:rPr>
                <w:rFonts w:hint="eastAsia"/>
                <w:highlight w:val="none"/>
              </w:rPr>
              <w:t>0吨</w:t>
            </w:r>
          </w:p>
        </w:tc>
      </w:tr>
      <w:tr w14:paraId="247B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9"/>
            <w:vAlign w:val="center"/>
          </w:tcPr>
          <w:p w14:paraId="59207F42">
            <w:pPr>
              <w:spacing w:line="300" w:lineRule="exact"/>
              <w:rPr>
                <w:rFonts w:ascii="Times New Roman" w:hAnsi="Times New Roman"/>
                <w:sz w:val="24"/>
                <w:szCs w:val="24"/>
                <w:highlight w:val="none"/>
              </w:rPr>
            </w:pPr>
            <w:r>
              <w:rPr>
                <w:rFonts w:ascii="Times New Roman" w:eastAsia="黑体"/>
                <w:sz w:val="24"/>
                <w:szCs w:val="24"/>
                <w:highlight w:val="none"/>
              </w:rPr>
              <w:t>表</w:t>
            </w:r>
            <w:r>
              <w:rPr>
                <w:rFonts w:ascii="Times New Roman" w:hAnsi="Times New Roman" w:eastAsia="黑体"/>
                <w:sz w:val="24"/>
                <w:szCs w:val="24"/>
                <w:highlight w:val="none"/>
              </w:rPr>
              <w:t xml:space="preserve">2 </w:t>
            </w:r>
            <w:r>
              <w:rPr>
                <w:rFonts w:ascii="Times New Roman" w:eastAsia="黑体"/>
                <w:sz w:val="24"/>
                <w:szCs w:val="24"/>
                <w:highlight w:val="none"/>
              </w:rPr>
              <w:t>与申请转移废物相关的生产工艺</w:t>
            </w:r>
          </w:p>
        </w:tc>
      </w:tr>
      <w:tr w14:paraId="09DF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4" w:hRule="atLeast"/>
        </w:trPr>
        <w:tc>
          <w:tcPr>
            <w:tcW w:w="9135" w:type="dxa"/>
            <w:gridSpan w:val="9"/>
          </w:tcPr>
          <w:p w14:paraId="6163ACB0">
            <w:pPr>
              <w:spacing w:line="300" w:lineRule="exact"/>
              <w:rPr>
                <w:rFonts w:ascii="Times New Roman" w:hAnsi="Times New Roman"/>
                <w:szCs w:val="24"/>
                <w:highlight w:val="none"/>
              </w:rPr>
            </w:pPr>
            <w:r>
              <w:rPr>
                <w:rFonts w:ascii="Times New Roman"/>
                <w:szCs w:val="24"/>
                <w:highlight w:val="none"/>
              </w:rPr>
              <w:t>文字描述及工艺流程图</w:t>
            </w:r>
          </w:p>
          <w:p w14:paraId="56135C34">
            <w:pPr>
              <w:spacing w:line="300" w:lineRule="exact"/>
              <w:ind w:firstLine="480" w:firstLineChars="200"/>
              <w:rPr>
                <w:rFonts w:ascii="仿宋" w:hAnsi="仿宋" w:eastAsia="仿宋"/>
                <w:sz w:val="24"/>
                <w:highlight w:val="none"/>
              </w:rPr>
            </w:pPr>
            <w:r>
              <w:rPr>
                <w:rFonts w:hint="eastAsia" w:ascii="仿宋" w:hAnsi="仿宋" w:eastAsia="仿宋"/>
                <w:sz w:val="24"/>
                <w:highlight w:val="none"/>
              </w:rPr>
              <w:t>上海新金桥环保有限公司具有《上海市危险废物经营许可证》（编号：073），专业收集上海市金桥经济技术开发区内各企业的产生的危险废物，新金桥环保公司清运收集后在公司的危废仓库里进行分类、整理、包装后，交由常州菲纳斯能源科技有限公司进行环保处置再利用。</w:t>
            </w:r>
          </w:p>
          <w:p w14:paraId="3B8E47E9">
            <w:pPr>
              <w:spacing w:line="300" w:lineRule="exact"/>
              <w:rPr>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171450</wp:posOffset>
                      </wp:positionH>
                      <wp:positionV relativeFrom="paragraph">
                        <wp:posOffset>146050</wp:posOffset>
                      </wp:positionV>
                      <wp:extent cx="5341620" cy="379095"/>
                      <wp:effectExtent l="4445" t="5080" r="18415" b="12065"/>
                      <wp:wrapNone/>
                      <wp:docPr id="1" name="组合 1"/>
                      <wp:cNvGraphicFramePr/>
                      <a:graphic xmlns:a="http://schemas.openxmlformats.org/drawingml/2006/main">
                        <a:graphicData uri="http://schemas.microsoft.com/office/word/2010/wordprocessingGroup">
                          <wpg:wgp>
                            <wpg:cNvGrpSpPr/>
                            <wpg:grpSpPr>
                              <a:xfrm>
                                <a:off x="0" y="0"/>
                                <a:ext cx="5341620" cy="379309"/>
                                <a:chOff x="76200" y="0"/>
                                <a:chExt cx="5341620" cy="379095"/>
                              </a:xfrm>
                            </wpg:grpSpPr>
                            <wps:wsp>
                              <wps:cNvPr id="3" name="矩形 4"/>
                              <wps:cNvSpPr>
                                <a:spLocks noChangeArrowheads="1"/>
                              </wps:cNvSpPr>
                              <wps:spPr bwMode="auto">
                                <a:xfrm>
                                  <a:off x="1209675" y="0"/>
                                  <a:ext cx="352425" cy="379095"/>
                                </a:xfrm>
                                <a:prstGeom prst="rect">
                                  <a:avLst/>
                                </a:prstGeom>
                                <a:noFill/>
                                <a:ln w="9525">
                                  <a:solidFill>
                                    <a:srgbClr val="000000"/>
                                  </a:solidFill>
                                  <a:miter lim="800000"/>
                                </a:ln>
                              </wps:spPr>
                              <wps:txbx>
                                <w:txbxContent>
                                  <w:p w14:paraId="412C9D1C">
                                    <w:pPr>
                                      <w:jc w:val="center"/>
                                      <w:rPr>
                                        <w:rFonts w:ascii="仿宋" w:hAnsi="仿宋" w:eastAsia="仿宋"/>
                                        <w:sz w:val="24"/>
                                      </w:rPr>
                                    </w:pPr>
                                    <w:r>
                                      <w:rPr>
                                        <w:rFonts w:hint="eastAsia" w:ascii="仿宋" w:hAnsi="仿宋" w:eastAsia="仿宋"/>
                                        <w:sz w:val="24"/>
                                      </w:rPr>
                                      <w:t>收集</w:t>
                                    </w:r>
                                  </w:p>
                                </w:txbxContent>
                              </wps:txbx>
                              <wps:bodyPr rot="0" vert="horz" wrap="square" lIns="3600" tIns="3600" rIns="3600" bIns="3600" anchor="t" anchorCtr="0" upright="1">
                                <a:spAutoFit/>
                              </wps:bodyPr>
                            </wps:wsp>
                            <wps:wsp>
                              <wps:cNvPr id="4" name="矩形 3"/>
                              <wps:cNvSpPr>
                                <a:spLocks noChangeArrowheads="1"/>
                              </wps:cNvSpPr>
                              <wps:spPr bwMode="auto">
                                <a:xfrm>
                                  <a:off x="76200" y="0"/>
                                  <a:ext cx="626745" cy="379095"/>
                                </a:xfrm>
                                <a:prstGeom prst="rect">
                                  <a:avLst/>
                                </a:prstGeom>
                                <a:noFill/>
                                <a:ln w="9525">
                                  <a:solidFill>
                                    <a:srgbClr val="000000"/>
                                  </a:solidFill>
                                  <a:miter lim="800000"/>
                                </a:ln>
                              </wps:spPr>
                              <wps:txbx>
                                <w:txbxContent>
                                  <w:p w14:paraId="67E78508">
                                    <w:pPr>
                                      <w:jc w:val="center"/>
                                      <w:rPr>
                                        <w:rFonts w:ascii="仿宋" w:hAnsi="仿宋" w:eastAsia="仿宋"/>
                                        <w:sz w:val="24"/>
                                      </w:rPr>
                                    </w:pPr>
                                    <w:r>
                                      <w:rPr>
                                        <w:rFonts w:hint="eastAsia" w:ascii="仿宋" w:hAnsi="仿宋" w:eastAsia="仿宋"/>
                                        <w:sz w:val="24"/>
                                      </w:rPr>
                                      <w:t>危险废物</w:t>
                                    </w:r>
                                  </w:p>
                                </w:txbxContent>
                              </wps:txbx>
                              <wps:bodyPr rot="0" vert="horz" wrap="none" lIns="3600" tIns="3600" rIns="3600" bIns="3600" anchor="t" anchorCtr="0" upright="1">
                                <a:spAutoFit/>
                              </wps:bodyPr>
                            </wps:wsp>
                            <wps:wsp>
                              <wps:cNvPr id="5" name="矩形 7"/>
                              <wps:cNvSpPr>
                                <a:spLocks noChangeArrowheads="1"/>
                              </wps:cNvSpPr>
                              <wps:spPr bwMode="auto">
                                <a:xfrm>
                                  <a:off x="3333750" y="0"/>
                                  <a:ext cx="352425" cy="379095"/>
                                </a:xfrm>
                                <a:prstGeom prst="rect">
                                  <a:avLst/>
                                </a:prstGeom>
                                <a:noFill/>
                                <a:ln w="9525">
                                  <a:solidFill>
                                    <a:srgbClr val="000000"/>
                                  </a:solidFill>
                                  <a:miter lim="800000"/>
                                </a:ln>
                              </wps:spPr>
                              <wps:txbx>
                                <w:txbxContent>
                                  <w:p w14:paraId="54743E88">
                                    <w:pPr>
                                      <w:jc w:val="center"/>
                                      <w:rPr>
                                        <w:rFonts w:ascii="仿宋" w:hAnsi="仿宋" w:eastAsia="仿宋"/>
                                        <w:sz w:val="24"/>
                                      </w:rPr>
                                    </w:pPr>
                                    <w:r>
                                      <w:rPr>
                                        <w:rFonts w:hint="eastAsia" w:ascii="仿宋" w:hAnsi="仿宋" w:eastAsia="仿宋"/>
                                        <w:sz w:val="24"/>
                                      </w:rPr>
                                      <w:t>暂存</w:t>
                                    </w:r>
                                  </w:p>
                                </w:txbxContent>
                              </wps:txbx>
                              <wps:bodyPr rot="0" vert="horz" wrap="square" lIns="3600" tIns="3600" rIns="3600" bIns="3600" anchor="t" anchorCtr="0" upright="1">
                                <a:spAutoFit/>
                              </wps:bodyPr>
                            </wps:wsp>
                            <wps:wsp>
                              <wps:cNvPr id="6" name="矩形 6"/>
                              <wps:cNvSpPr>
                                <a:spLocks noChangeArrowheads="1"/>
                              </wps:cNvSpPr>
                              <wps:spPr bwMode="auto">
                                <a:xfrm>
                                  <a:off x="2619375" y="0"/>
                                  <a:ext cx="371475" cy="379095"/>
                                </a:xfrm>
                                <a:prstGeom prst="rect">
                                  <a:avLst/>
                                </a:prstGeom>
                                <a:noFill/>
                                <a:ln w="9525">
                                  <a:solidFill>
                                    <a:srgbClr val="000000"/>
                                  </a:solidFill>
                                  <a:miter lim="800000"/>
                                </a:ln>
                              </wps:spPr>
                              <wps:txbx>
                                <w:txbxContent>
                                  <w:p w14:paraId="4AA257A9">
                                    <w:pPr>
                                      <w:jc w:val="center"/>
                                      <w:rPr>
                                        <w:rFonts w:ascii="仿宋" w:hAnsi="仿宋" w:eastAsia="仿宋"/>
                                        <w:sz w:val="24"/>
                                      </w:rPr>
                                    </w:pPr>
                                    <w:r>
                                      <w:rPr>
                                        <w:rFonts w:hint="eastAsia" w:ascii="仿宋" w:hAnsi="仿宋" w:eastAsia="仿宋"/>
                                        <w:sz w:val="24"/>
                                      </w:rPr>
                                      <w:t>包装</w:t>
                                    </w:r>
                                  </w:p>
                                </w:txbxContent>
                              </wps:txbx>
                              <wps:bodyPr rot="0" vert="horz" wrap="square" lIns="3600" tIns="3600" rIns="3600" bIns="3600" anchor="t" anchorCtr="0" upright="1">
                                <a:spAutoFit/>
                              </wps:bodyPr>
                            </wps:wsp>
                            <wps:wsp>
                              <wps:cNvPr id="7" name="矩形 5"/>
                              <wps:cNvSpPr>
                                <a:spLocks noChangeArrowheads="1"/>
                              </wps:cNvSpPr>
                              <wps:spPr bwMode="auto">
                                <a:xfrm>
                                  <a:off x="1905000" y="0"/>
                                  <a:ext cx="371475" cy="379095"/>
                                </a:xfrm>
                                <a:prstGeom prst="rect">
                                  <a:avLst/>
                                </a:prstGeom>
                                <a:noFill/>
                                <a:ln w="9525">
                                  <a:solidFill>
                                    <a:srgbClr val="000000"/>
                                  </a:solidFill>
                                  <a:miter lim="800000"/>
                                </a:ln>
                              </wps:spPr>
                              <wps:txbx>
                                <w:txbxContent>
                                  <w:p w14:paraId="422BCBA3">
                                    <w:pPr>
                                      <w:jc w:val="center"/>
                                      <w:rPr>
                                        <w:rFonts w:ascii="仿宋" w:hAnsi="仿宋" w:eastAsia="仿宋"/>
                                        <w:sz w:val="24"/>
                                      </w:rPr>
                                    </w:pPr>
                                    <w:r>
                                      <w:rPr>
                                        <w:rFonts w:hint="eastAsia" w:ascii="仿宋" w:hAnsi="仿宋" w:eastAsia="仿宋"/>
                                        <w:sz w:val="24"/>
                                      </w:rPr>
                                      <w:t>分类</w:t>
                                    </w:r>
                                  </w:p>
                                </w:txbxContent>
                              </wps:txbx>
                              <wps:bodyPr rot="0" vert="horz" wrap="square" lIns="3600" tIns="3600" rIns="3600" bIns="3600" anchor="t" anchorCtr="0" upright="1">
                                <a:spAutoFit/>
                              </wps:bodyPr>
                            </wps:wsp>
                            <wps:wsp>
                              <wps:cNvPr id="8" name="矩形 13"/>
                              <wps:cNvSpPr>
                                <a:spLocks noChangeArrowheads="1"/>
                              </wps:cNvSpPr>
                              <wps:spPr bwMode="auto">
                                <a:xfrm>
                                  <a:off x="4029075" y="0"/>
                                  <a:ext cx="1388745" cy="378881"/>
                                </a:xfrm>
                                <a:prstGeom prst="rect">
                                  <a:avLst/>
                                </a:prstGeom>
                                <a:noFill/>
                                <a:ln w="9525">
                                  <a:solidFill>
                                    <a:srgbClr val="000000"/>
                                  </a:solidFill>
                                  <a:miter lim="800000"/>
                                </a:ln>
                              </wps:spPr>
                              <wps:txbx>
                                <w:txbxContent>
                                  <w:p w14:paraId="4FA81FA3">
                                    <w:pPr>
                                      <w:jc w:val="center"/>
                                      <w:rPr>
                                        <w:rFonts w:ascii="仿宋" w:hAnsi="仿宋" w:eastAsia="仿宋"/>
                                        <w:sz w:val="24"/>
                                      </w:rPr>
                                    </w:pPr>
                                    <w:r>
                                      <w:rPr>
                                        <w:rFonts w:hint="eastAsia" w:ascii="仿宋" w:hAnsi="仿宋" w:eastAsia="仿宋"/>
                                        <w:sz w:val="24"/>
                                      </w:rPr>
                                      <w:t>交由</w:t>
                                    </w:r>
                                    <w:r>
                                      <w:rPr>
                                        <w:rFonts w:hint="eastAsia" w:ascii="仿宋" w:hAnsi="仿宋" w:eastAsia="仿宋"/>
                                        <w:sz w:val="24"/>
                                        <w:lang w:val="en-US" w:eastAsia="zh-CN"/>
                                      </w:rPr>
                                      <w:t>常州菲纳斯</w:t>
                                    </w:r>
                                    <w:r>
                                      <w:rPr>
                                        <w:rFonts w:hint="eastAsia" w:ascii="仿宋" w:hAnsi="仿宋" w:eastAsia="仿宋"/>
                                        <w:sz w:val="24"/>
                                      </w:rPr>
                                      <w:t>处置</w:t>
                                    </w:r>
                                  </w:p>
                                </w:txbxContent>
                              </wps:txbx>
                              <wps:bodyPr rot="0" vert="horz" wrap="none" lIns="3600" tIns="3600" rIns="3600" bIns="3600" anchor="t" anchorCtr="0" upright="1">
                                <a:noAutofit/>
                              </wps:bodyPr>
                            </wps:wsp>
                            <wps:wsp>
                              <wps:cNvPr id="9" name="直接箭头连接符 8"/>
                              <wps:cNvCnPr>
                                <a:cxnSpLocks noChangeShapeType="1"/>
                              </wps:cNvCnPr>
                              <wps:spPr bwMode="auto">
                                <a:xfrm>
                                  <a:off x="762000" y="123825"/>
                                  <a:ext cx="447675" cy="0"/>
                                </a:xfrm>
                                <a:prstGeom prst="straightConnector1">
                                  <a:avLst/>
                                </a:prstGeom>
                                <a:noFill/>
                                <a:ln w="9525">
                                  <a:solidFill>
                                    <a:srgbClr val="000000"/>
                                  </a:solidFill>
                                  <a:round/>
                                  <a:tailEnd type="triangle" w="med" len="med"/>
                                </a:ln>
                              </wps:spPr>
                              <wps:bodyPr/>
                            </wps:wsp>
                            <wps:wsp>
                              <wps:cNvPr id="10" name="直接箭头连接符 9"/>
                              <wps:cNvCnPr>
                                <a:cxnSpLocks noChangeShapeType="1"/>
                              </wps:cNvCnPr>
                              <wps:spPr bwMode="auto">
                                <a:xfrm>
                                  <a:off x="1562100" y="114300"/>
                                  <a:ext cx="342900" cy="0"/>
                                </a:xfrm>
                                <a:prstGeom prst="straightConnector1">
                                  <a:avLst/>
                                </a:prstGeom>
                                <a:noFill/>
                                <a:ln w="9525">
                                  <a:solidFill>
                                    <a:srgbClr val="000000"/>
                                  </a:solidFill>
                                  <a:round/>
                                  <a:tailEnd type="triangle" w="med" len="med"/>
                                </a:ln>
                              </wps:spPr>
                              <wps:bodyPr/>
                            </wps:wsp>
                            <wps:wsp>
                              <wps:cNvPr id="11" name="直接箭头连接符 12"/>
                              <wps:cNvCnPr>
                                <a:cxnSpLocks noChangeShapeType="1"/>
                              </wps:cNvCnPr>
                              <wps:spPr bwMode="auto">
                                <a:xfrm>
                                  <a:off x="3686175" y="114300"/>
                                  <a:ext cx="342900" cy="0"/>
                                </a:xfrm>
                                <a:prstGeom prst="straightConnector1">
                                  <a:avLst/>
                                </a:prstGeom>
                                <a:noFill/>
                                <a:ln w="9525">
                                  <a:solidFill>
                                    <a:srgbClr val="000000"/>
                                  </a:solidFill>
                                  <a:round/>
                                  <a:tailEnd type="triangle" w="med" len="med"/>
                                </a:ln>
                              </wps:spPr>
                              <wps:bodyPr/>
                            </wps:wsp>
                            <wps:wsp>
                              <wps:cNvPr id="12" name="直接箭头连接符 11"/>
                              <wps:cNvCnPr>
                                <a:cxnSpLocks noChangeShapeType="1"/>
                              </wps:cNvCnPr>
                              <wps:spPr bwMode="auto">
                                <a:xfrm>
                                  <a:off x="2990850" y="114300"/>
                                  <a:ext cx="342900" cy="0"/>
                                </a:xfrm>
                                <a:prstGeom prst="straightConnector1">
                                  <a:avLst/>
                                </a:prstGeom>
                                <a:noFill/>
                                <a:ln w="9525">
                                  <a:solidFill>
                                    <a:srgbClr val="000000"/>
                                  </a:solidFill>
                                  <a:round/>
                                  <a:tailEnd type="triangle" w="med" len="med"/>
                                </a:ln>
                              </wps:spPr>
                              <wps:bodyPr/>
                            </wps:wsp>
                            <wps:wsp>
                              <wps:cNvPr id="13" name="直接箭头连接符 10"/>
                              <wps:cNvCnPr>
                                <a:cxnSpLocks noChangeShapeType="1"/>
                              </wps:cNvCnPr>
                              <wps:spPr bwMode="auto">
                                <a:xfrm>
                                  <a:off x="2276475" y="114300"/>
                                  <a:ext cx="342900" cy="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3.5pt;margin-top:11.5pt;height:29.85pt;width:420.6pt;z-index:251659264;mso-width-relative:page;mso-height-relative:page;" coordorigin="76200,0" coordsize="5341620,379095" o:gfxdata="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">
                      <o:lock v:ext="edit" aspectratio="f"/>
                      <v:rect id="矩形 4" o:spid="_x0000_s1026" o:spt="1" style="position:absolute;left:1209675;top:0;height:379095;width:352425;" filled="f" stroked="t" coordsize="21600,21600" o:gfxdata="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Fgb+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412C9D1C">
                              <w:pPr>
                                <w:jc w:val="center"/>
                                <w:rPr>
                                  <w:rFonts w:ascii="仿宋" w:hAnsi="仿宋" w:eastAsia="仿宋"/>
                                  <w:sz w:val="24"/>
                                </w:rPr>
                              </w:pPr>
                              <w:r>
                                <w:rPr>
                                  <w:rFonts w:hint="eastAsia" w:ascii="仿宋" w:hAnsi="仿宋" w:eastAsia="仿宋"/>
                                  <w:sz w:val="24"/>
                                </w:rPr>
                                <w:t>收集</w:t>
                              </w:r>
                            </w:p>
                          </w:txbxContent>
                        </v:textbox>
                      </v:rect>
                      <v:rect id="矩形 3" o:spid="_x0000_s1026" o:spt="1" style="position:absolute;left:76200;top:0;height:379095;width:626745;mso-wrap-style:none;" filled="f" stroked="t" coordsize="21600,21600" o:gfxdata="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giUi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67E78508">
                              <w:pPr>
                                <w:jc w:val="center"/>
                                <w:rPr>
                                  <w:rFonts w:ascii="仿宋" w:hAnsi="仿宋" w:eastAsia="仿宋"/>
                                  <w:sz w:val="24"/>
                                </w:rPr>
                              </w:pPr>
                              <w:r>
                                <w:rPr>
                                  <w:rFonts w:hint="eastAsia" w:ascii="仿宋" w:hAnsi="仿宋" w:eastAsia="仿宋"/>
                                  <w:sz w:val="24"/>
                                </w:rPr>
                                <w:t>危险废物</w:t>
                              </w:r>
                            </w:p>
                          </w:txbxContent>
                        </v:textbox>
                      </v:rect>
                      <v:rect id="矩形 7" o:spid="_x0000_s1026" o:spt="1" style="position:absolute;left:3333750;top:0;height:379095;width:352425;" filled="f" stroked="t" coordsize="21600,21600" o:gfxdata="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C8ULsAAADa&#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1mm,0.1mm,0.1mm,0.1mm" style="mso-fit-shape-to-text:t;">
                          <w:txbxContent>
                            <w:p w14:paraId="54743E88">
                              <w:pPr>
                                <w:jc w:val="center"/>
                                <w:rPr>
                                  <w:rFonts w:ascii="仿宋" w:hAnsi="仿宋" w:eastAsia="仿宋"/>
                                  <w:sz w:val="24"/>
                                </w:rPr>
                              </w:pPr>
                              <w:r>
                                <w:rPr>
                                  <w:rFonts w:hint="eastAsia" w:ascii="仿宋" w:hAnsi="仿宋" w:eastAsia="仿宋"/>
                                  <w:sz w:val="24"/>
                                </w:rPr>
                                <w:t>暂存</w:t>
                              </w:r>
                            </w:p>
                          </w:txbxContent>
                        </v:textbox>
                      </v:rect>
                      <v:rect id="_x0000_s1026" o:spid="_x0000_s1026" o:spt="1" style="position:absolute;left:2619375;top:0;height:379095;width:371475;" filled="f" stroked="t" coordsize="21600,21600" o:gfxdata="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IiJ7sAAADa&#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1mm,0.1mm,0.1mm,0.1mm" style="mso-fit-shape-to-text:t;">
                          <w:txbxContent>
                            <w:p w14:paraId="4AA257A9">
                              <w:pPr>
                                <w:jc w:val="center"/>
                                <w:rPr>
                                  <w:rFonts w:ascii="仿宋" w:hAnsi="仿宋" w:eastAsia="仿宋"/>
                                  <w:sz w:val="24"/>
                                </w:rPr>
                              </w:pPr>
                              <w:r>
                                <w:rPr>
                                  <w:rFonts w:hint="eastAsia" w:ascii="仿宋" w:hAnsi="仿宋" w:eastAsia="仿宋"/>
                                  <w:sz w:val="24"/>
                                </w:rPr>
                                <w:t>包装</w:t>
                              </w:r>
                            </w:p>
                          </w:txbxContent>
                        </v:textbox>
                      </v:rect>
                      <v:rect id="矩形 5" o:spid="_x0000_s1026" o:spt="1" style="position:absolute;left:1905000;top:0;height:379095;width:371475;" filled="f" stroked="t" coordsize="21600,21600" o:gfxdata="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h7y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422BCBA3">
                              <w:pPr>
                                <w:jc w:val="center"/>
                                <w:rPr>
                                  <w:rFonts w:ascii="仿宋" w:hAnsi="仿宋" w:eastAsia="仿宋"/>
                                  <w:sz w:val="24"/>
                                </w:rPr>
                              </w:pPr>
                              <w:r>
                                <w:rPr>
                                  <w:rFonts w:hint="eastAsia" w:ascii="仿宋" w:hAnsi="仿宋" w:eastAsia="仿宋"/>
                                  <w:sz w:val="24"/>
                                </w:rPr>
                                <w:t>分类</w:t>
                              </w:r>
                            </w:p>
                          </w:txbxContent>
                        </v:textbox>
                      </v:rect>
                      <v:rect id="矩形 13" o:spid="_x0000_s1026" o:spt="1" style="position:absolute;left:4029075;top:0;height:378881;width:1388745;mso-wrap-style:none;" filled="f" stroked="t" coordsize="21600,21600" o:gfxdata="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RbSVtwAAANoAAAAP&#10;AAAAAAAAAAEAIAAAACIAAABkcnMvZG93bnJldi54bWxQSwECFAAUAAAACACHTuJAMy8FnjsAAAA5&#10;AAAAEAAAAAAAAAABACAAAAAGAQAAZHJzL3NoYXBleG1sLnhtbFBLBQYAAAAABgAGAFsBAACwAwAA&#10;AAA=&#10;">
                        <v:fill on="f" focussize="0,0"/>
                        <v:stroke color="#000000" miterlimit="8" joinstyle="miter"/>
                        <v:imagedata o:title=""/>
                        <o:lock v:ext="edit" aspectratio="f"/>
                        <v:textbox inset="0.1mm,0.1mm,0.1mm,0.1mm">
                          <w:txbxContent>
                            <w:p w14:paraId="4FA81FA3">
                              <w:pPr>
                                <w:jc w:val="center"/>
                                <w:rPr>
                                  <w:rFonts w:ascii="仿宋" w:hAnsi="仿宋" w:eastAsia="仿宋"/>
                                  <w:sz w:val="24"/>
                                </w:rPr>
                              </w:pPr>
                              <w:r>
                                <w:rPr>
                                  <w:rFonts w:hint="eastAsia" w:ascii="仿宋" w:hAnsi="仿宋" w:eastAsia="仿宋"/>
                                  <w:sz w:val="24"/>
                                </w:rPr>
                                <w:t>交由</w:t>
                              </w:r>
                              <w:r>
                                <w:rPr>
                                  <w:rFonts w:hint="eastAsia" w:ascii="仿宋" w:hAnsi="仿宋" w:eastAsia="仿宋"/>
                                  <w:sz w:val="24"/>
                                  <w:lang w:val="en-US" w:eastAsia="zh-CN"/>
                                </w:rPr>
                                <w:t>常州菲纳斯</w:t>
                              </w:r>
                              <w:r>
                                <w:rPr>
                                  <w:rFonts w:hint="eastAsia" w:ascii="仿宋" w:hAnsi="仿宋" w:eastAsia="仿宋"/>
                                  <w:sz w:val="24"/>
                                </w:rPr>
                                <w:t>处置</w:t>
                              </w:r>
                            </w:p>
                          </w:txbxContent>
                        </v:textbox>
                      </v:rect>
                      <v:shape id="直接箭头连接符 8" o:spid="_x0000_s1026" o:spt="32" type="#_x0000_t32" style="position:absolute;left:762000;top:123825;height:0;width:447675;"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9" o:spid="_x0000_s1026" o:spt="32" type="#_x0000_t32" style="position:absolute;left:1562100;top:114300;height:0;width:34290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12" o:spid="_x0000_s1026" o:spt="32" type="#_x0000_t32" style="position:absolute;left:3686175;top:114300;height:0;width:3429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1" o:spid="_x0000_s1026" o:spt="32" type="#_x0000_t32" style="position:absolute;left:2990850;top:114300;height:0;width:3429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0" o:spid="_x0000_s1026" o:spt="32" type="#_x0000_t32" style="position:absolute;left:2276475;top:114300;height:0;width:3429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14:paraId="3AE9820A">
            <w:pPr>
              <w:spacing w:line="300" w:lineRule="exact"/>
              <w:rPr>
                <w:rFonts w:ascii="Times New Roman" w:hAnsi="Times New Roman"/>
                <w:szCs w:val="24"/>
                <w:highlight w:val="none"/>
              </w:rPr>
            </w:pPr>
          </w:p>
        </w:tc>
      </w:tr>
      <w:tr w14:paraId="14AD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9"/>
            <w:vAlign w:val="center"/>
          </w:tcPr>
          <w:p w14:paraId="496D23E5">
            <w:pPr>
              <w:rPr>
                <w:rFonts w:ascii="Times New Roman" w:hAnsi="Times New Roman"/>
                <w:sz w:val="24"/>
                <w:szCs w:val="24"/>
                <w:highlight w:val="none"/>
              </w:rPr>
            </w:pPr>
            <w:r>
              <w:rPr>
                <w:rFonts w:ascii="Times New Roman" w:eastAsia="黑体"/>
                <w:sz w:val="24"/>
                <w:szCs w:val="24"/>
                <w:highlight w:val="none"/>
              </w:rPr>
              <w:t>表</w:t>
            </w:r>
            <w:r>
              <w:rPr>
                <w:rFonts w:ascii="Times New Roman" w:hAnsi="Times New Roman" w:eastAsia="黑体"/>
                <w:sz w:val="24"/>
                <w:szCs w:val="24"/>
                <w:highlight w:val="none"/>
              </w:rPr>
              <w:t xml:space="preserve">3   </w:t>
            </w:r>
            <w:r>
              <w:rPr>
                <w:rFonts w:ascii="Times New Roman" w:eastAsia="黑体"/>
                <w:sz w:val="24"/>
                <w:szCs w:val="24"/>
                <w:highlight w:val="none"/>
              </w:rPr>
              <w:t>废物组分、特性</w:t>
            </w:r>
          </w:p>
        </w:tc>
      </w:tr>
      <w:tr w14:paraId="1B08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045" w:type="dxa"/>
            <w:gridSpan w:val="2"/>
            <w:vAlign w:val="center"/>
          </w:tcPr>
          <w:p w14:paraId="0E5B6C35">
            <w:pPr>
              <w:spacing w:line="240" w:lineRule="auto"/>
              <w:rPr>
                <w:rFonts w:ascii="Times New Roman" w:hAnsi="Times New Roman"/>
                <w:szCs w:val="21"/>
                <w:highlight w:val="none"/>
              </w:rPr>
            </w:pPr>
            <w:r>
              <w:rPr>
                <w:rFonts w:ascii="Times New Roman" w:hAnsi="宋体"/>
                <w:szCs w:val="21"/>
                <w:highlight w:val="none"/>
              </w:rPr>
              <w:t>废物名称</w:t>
            </w:r>
          </w:p>
        </w:tc>
        <w:tc>
          <w:tcPr>
            <w:tcW w:w="1342" w:type="dxa"/>
            <w:gridSpan w:val="2"/>
            <w:vAlign w:val="center"/>
          </w:tcPr>
          <w:p w14:paraId="1EC2DC7B">
            <w:pPr>
              <w:spacing w:line="240" w:lineRule="auto"/>
              <w:rPr>
                <w:rFonts w:ascii="Times New Roman" w:hAnsi="Times New Roman"/>
                <w:szCs w:val="21"/>
                <w:highlight w:val="none"/>
              </w:rPr>
            </w:pPr>
            <w:r>
              <w:rPr>
                <w:rFonts w:ascii="Times New Roman" w:hAnsi="宋体"/>
                <w:szCs w:val="21"/>
                <w:highlight w:val="none"/>
              </w:rPr>
              <w:t>主要组分</w:t>
            </w:r>
          </w:p>
        </w:tc>
        <w:tc>
          <w:tcPr>
            <w:tcW w:w="1473" w:type="dxa"/>
            <w:gridSpan w:val="2"/>
            <w:vAlign w:val="center"/>
          </w:tcPr>
          <w:p w14:paraId="3887E685">
            <w:pPr>
              <w:spacing w:line="240" w:lineRule="auto"/>
              <w:rPr>
                <w:rFonts w:ascii="Times New Roman" w:hAnsi="Times New Roman"/>
                <w:szCs w:val="21"/>
                <w:highlight w:val="none"/>
              </w:rPr>
            </w:pPr>
            <w:r>
              <w:rPr>
                <w:rFonts w:ascii="Times New Roman" w:hAnsi="宋体"/>
                <w:szCs w:val="21"/>
                <w:highlight w:val="none"/>
              </w:rPr>
              <w:t>相应比例（</w:t>
            </w:r>
            <w:r>
              <w:rPr>
                <w:rFonts w:ascii="Times New Roman" w:hAnsi="Times New Roman"/>
                <w:szCs w:val="21"/>
                <w:highlight w:val="none"/>
              </w:rPr>
              <w:t>%</w:t>
            </w:r>
            <w:r>
              <w:rPr>
                <w:rFonts w:ascii="Times New Roman" w:hAnsi="宋体"/>
                <w:szCs w:val="21"/>
                <w:highlight w:val="none"/>
              </w:rPr>
              <w:t>）</w:t>
            </w:r>
          </w:p>
        </w:tc>
        <w:tc>
          <w:tcPr>
            <w:tcW w:w="1595" w:type="dxa"/>
            <w:vAlign w:val="center"/>
          </w:tcPr>
          <w:p w14:paraId="782B3FDF">
            <w:pPr>
              <w:spacing w:line="240" w:lineRule="auto"/>
              <w:rPr>
                <w:rFonts w:ascii="Times New Roman" w:hAnsi="Times New Roman"/>
                <w:szCs w:val="21"/>
                <w:highlight w:val="none"/>
              </w:rPr>
            </w:pPr>
            <w:r>
              <w:rPr>
                <w:rFonts w:ascii="Times New Roman" w:hAnsi="宋体"/>
                <w:szCs w:val="21"/>
                <w:highlight w:val="none"/>
              </w:rPr>
              <w:t>危害特性</w:t>
            </w:r>
          </w:p>
        </w:tc>
        <w:tc>
          <w:tcPr>
            <w:tcW w:w="1680" w:type="dxa"/>
            <w:gridSpan w:val="2"/>
            <w:vAlign w:val="center"/>
          </w:tcPr>
          <w:p w14:paraId="73322390">
            <w:pPr>
              <w:spacing w:line="240" w:lineRule="auto"/>
              <w:rPr>
                <w:rFonts w:ascii="Times New Roman" w:hAnsi="Times New Roman"/>
                <w:szCs w:val="21"/>
                <w:highlight w:val="none"/>
              </w:rPr>
            </w:pPr>
            <w:r>
              <w:rPr>
                <w:rFonts w:ascii="Times New Roman" w:hAnsi="宋体"/>
                <w:szCs w:val="21"/>
                <w:highlight w:val="none"/>
              </w:rPr>
              <w:t>形态</w:t>
            </w:r>
          </w:p>
        </w:tc>
      </w:tr>
      <w:tr w14:paraId="47AE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gridSpan w:val="2"/>
            <w:vMerge w:val="restart"/>
          </w:tcPr>
          <w:p w14:paraId="70F9981F">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润滑油900-209-08</w:t>
            </w:r>
          </w:p>
          <w:p w14:paraId="12931A36">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废矿物油（自产）900-249-08</w:t>
            </w:r>
          </w:p>
          <w:p w14:paraId="711788C8">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废矿物油900-209-08、</w:t>
            </w:r>
          </w:p>
          <w:p w14:paraId="2D1E6A1E">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废矿物油900-249-08、</w:t>
            </w:r>
          </w:p>
          <w:p w14:paraId="3F8A6C9D">
            <w:pPr>
              <w:pStyle w:val="5"/>
              <w:jc w:val="left"/>
              <w:rPr>
                <w:rFonts w:hint="eastAsia"/>
                <w:highlight w:val="none"/>
              </w:rPr>
            </w:pPr>
            <w:r>
              <w:rPr>
                <w:rFonts w:hint="eastAsia" w:ascii="Times New Roman"/>
                <w:szCs w:val="21"/>
                <w:highlight w:val="none"/>
                <w:lang w:val="en-US" w:eastAsia="zh-CN"/>
              </w:rPr>
              <w:t>废矿物油900-214-08</w:t>
            </w:r>
          </w:p>
        </w:tc>
        <w:tc>
          <w:tcPr>
            <w:tcW w:w="1342" w:type="dxa"/>
            <w:gridSpan w:val="2"/>
          </w:tcPr>
          <w:p w14:paraId="7FDCE41E">
            <w:pPr>
              <w:spacing w:line="240" w:lineRule="auto"/>
              <w:rPr>
                <w:rFonts w:ascii="Times New Roman" w:hAnsi="Times New Roman"/>
                <w:szCs w:val="21"/>
                <w:highlight w:val="none"/>
              </w:rPr>
            </w:pPr>
            <w:r>
              <w:rPr>
                <w:rFonts w:hint="eastAsia" w:ascii="仿宋" w:hAnsi="仿宋" w:eastAsia="仿宋"/>
                <w:highlight w:val="none"/>
              </w:rPr>
              <w:t>烯烃</w:t>
            </w:r>
          </w:p>
        </w:tc>
        <w:tc>
          <w:tcPr>
            <w:tcW w:w="1473" w:type="dxa"/>
            <w:gridSpan w:val="2"/>
          </w:tcPr>
          <w:p w14:paraId="6E3B2C43">
            <w:pPr>
              <w:spacing w:line="240" w:lineRule="auto"/>
              <w:rPr>
                <w:rFonts w:ascii="Times New Roman" w:hAnsi="Times New Roman"/>
                <w:szCs w:val="21"/>
                <w:highlight w:val="none"/>
              </w:rPr>
            </w:pPr>
            <w:r>
              <w:rPr>
                <w:rFonts w:eastAsia="仿宋"/>
                <w:szCs w:val="21"/>
                <w:highlight w:val="none"/>
              </w:rPr>
              <w:t>97-98</w:t>
            </w:r>
            <w:r>
              <w:rPr>
                <w:rFonts w:hint="eastAsia" w:ascii="Times New Roman" w:hAnsi="Times New Roman"/>
                <w:szCs w:val="21"/>
                <w:highlight w:val="none"/>
              </w:rPr>
              <w:t>%</w:t>
            </w:r>
          </w:p>
        </w:tc>
        <w:tc>
          <w:tcPr>
            <w:tcW w:w="1595" w:type="dxa"/>
            <w:vMerge w:val="restart"/>
            <w:vAlign w:val="center"/>
          </w:tcPr>
          <w:p w14:paraId="39C8F941">
            <w:pPr>
              <w:spacing w:line="240" w:lineRule="auto"/>
              <w:rPr>
                <w:rFonts w:ascii="Times New Roman" w:hAnsi="Times New Roman"/>
                <w:szCs w:val="21"/>
                <w:highlight w:val="none"/>
              </w:rPr>
            </w:pPr>
            <w:r>
              <w:rPr>
                <w:rFonts w:ascii="Times New Roman" w:hAnsi="宋体"/>
                <w:szCs w:val="21"/>
                <w:highlight w:val="none"/>
              </w:rPr>
              <w:t>腐蚀性</w:t>
            </w: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hint="eastAsia" w:ascii="宋体" w:hAnsi="宋体"/>
                <w:sz w:val="17"/>
                <w:highlight w:val="none"/>
              </w:rPr>
              <w:t xml:space="preserve"> </w:t>
            </w:r>
            <w:r>
              <w:rPr>
                <w:rFonts w:ascii="Times New Roman" w:hAnsi="Times New Roman"/>
                <w:sz w:val="17"/>
                <w:szCs w:val="24"/>
                <w:highlight w:val="none"/>
              </w:rPr>
              <w:t xml:space="preserve"> </w:t>
            </w:r>
          </w:p>
          <w:p w14:paraId="6E61284A">
            <w:pPr>
              <w:spacing w:line="240" w:lineRule="auto"/>
              <w:rPr>
                <w:rFonts w:ascii="Times New Roman" w:hAnsi="Times New Roman"/>
                <w:szCs w:val="21"/>
                <w:highlight w:val="none"/>
              </w:rPr>
            </w:pPr>
            <w:r>
              <w:rPr>
                <w:rFonts w:ascii="Times New Roman" w:hAnsi="宋体"/>
                <w:szCs w:val="21"/>
                <w:highlight w:val="none"/>
              </w:rPr>
              <w:t>毒性</w:t>
            </w:r>
            <w:r>
              <w:rPr>
                <w:rFonts w:ascii="Times New Roman" w:hAnsi="Times New Roman"/>
                <w:szCs w:val="21"/>
                <w:highlight w:val="none"/>
              </w:rPr>
              <w:t xml:space="preserve">       </w:t>
            </w:r>
            <w:r>
              <w:rPr>
                <w:rFonts w:ascii="Times New Roman" w:hAnsi="Times New Roman"/>
                <w:szCs w:val="21"/>
                <w:highlight w:val="none"/>
              </w:rPr>
              <w:sym w:font="Wingdings 2" w:char="F052"/>
            </w:r>
          </w:p>
          <w:p w14:paraId="3BFA838C">
            <w:pPr>
              <w:spacing w:line="240" w:lineRule="auto"/>
              <w:rPr>
                <w:rFonts w:ascii="Times New Roman" w:hAnsi="Times New Roman"/>
                <w:szCs w:val="21"/>
                <w:highlight w:val="none"/>
              </w:rPr>
            </w:pPr>
            <w:r>
              <w:rPr>
                <w:rFonts w:ascii="Times New Roman" w:hAnsi="宋体"/>
                <w:szCs w:val="21"/>
                <w:highlight w:val="none"/>
              </w:rPr>
              <w:t>易燃性</w:t>
            </w:r>
            <w:r>
              <w:rPr>
                <w:rFonts w:ascii="Times New Roman" w:hAnsi="Times New Roman"/>
                <w:szCs w:val="21"/>
                <w:highlight w:val="none"/>
              </w:rPr>
              <w:t xml:space="preserve">     </w:t>
            </w:r>
            <w:r>
              <w:rPr>
                <w:rFonts w:ascii="Times New Roman" w:hAnsi="Times New Roman"/>
                <w:szCs w:val="21"/>
                <w:highlight w:val="none"/>
              </w:rPr>
              <w:sym w:font="Wingdings 2" w:char="F052"/>
            </w:r>
            <w:r>
              <w:rPr>
                <w:rFonts w:hint="eastAsia" w:ascii="宋体" w:hAnsi="宋体"/>
                <w:sz w:val="17"/>
                <w:highlight w:val="none"/>
              </w:rPr>
              <w:t xml:space="preserve"> </w:t>
            </w:r>
            <w:r>
              <w:rPr>
                <w:rFonts w:ascii="Times New Roman" w:hAnsi="Times New Roman"/>
                <w:sz w:val="17"/>
                <w:szCs w:val="24"/>
                <w:highlight w:val="none"/>
              </w:rPr>
              <w:t xml:space="preserve"> </w:t>
            </w:r>
          </w:p>
          <w:p w14:paraId="1F595F21">
            <w:pPr>
              <w:spacing w:line="240" w:lineRule="auto"/>
              <w:rPr>
                <w:rFonts w:ascii="Times New Roman" w:hAnsi="Times New Roman"/>
                <w:szCs w:val="21"/>
                <w:highlight w:val="none"/>
              </w:rPr>
            </w:pPr>
            <w:r>
              <w:rPr>
                <w:rFonts w:ascii="Times New Roman" w:hAnsi="宋体"/>
                <w:szCs w:val="21"/>
                <w:highlight w:val="none"/>
              </w:rPr>
              <w:t>反应性</w:t>
            </w:r>
            <w:r>
              <w:rPr>
                <w:rFonts w:ascii="Times New Roman" w:hAnsi="Times New Roman"/>
                <w:szCs w:val="21"/>
                <w:highlight w:val="none"/>
              </w:rPr>
              <w:t xml:space="preserve">     □</w:t>
            </w:r>
          </w:p>
          <w:p w14:paraId="48DA3C6B">
            <w:pPr>
              <w:spacing w:line="240" w:lineRule="auto"/>
              <w:rPr>
                <w:rFonts w:ascii="Times New Roman" w:hAnsi="Times New Roman"/>
                <w:szCs w:val="21"/>
                <w:highlight w:val="none"/>
              </w:rPr>
            </w:pPr>
            <w:r>
              <w:rPr>
                <w:rFonts w:ascii="Times New Roman" w:hAnsi="宋体"/>
                <w:szCs w:val="21"/>
                <w:highlight w:val="none"/>
              </w:rPr>
              <w:t>感染性</w:t>
            </w:r>
            <w:r>
              <w:rPr>
                <w:rFonts w:ascii="Times New Roman" w:hAnsi="Times New Roman"/>
                <w:szCs w:val="21"/>
                <w:highlight w:val="none"/>
              </w:rPr>
              <w:t xml:space="preserve">     □</w:t>
            </w:r>
          </w:p>
        </w:tc>
        <w:tc>
          <w:tcPr>
            <w:tcW w:w="1680" w:type="dxa"/>
            <w:gridSpan w:val="2"/>
            <w:vMerge w:val="restart"/>
            <w:vAlign w:val="center"/>
          </w:tcPr>
          <w:p w14:paraId="7D432672">
            <w:pPr>
              <w:spacing w:line="240" w:lineRule="auto"/>
              <w:rPr>
                <w:rFonts w:ascii="Times New Roman" w:hAnsi="Times New Roman"/>
                <w:szCs w:val="21"/>
                <w:highlight w:val="none"/>
              </w:rPr>
            </w:pPr>
            <w:r>
              <w:rPr>
                <w:rFonts w:ascii="Times New Roman" w:hAnsi="宋体"/>
                <w:szCs w:val="21"/>
                <w:highlight w:val="none"/>
              </w:rPr>
              <w:t>固态</w:t>
            </w: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 xml:space="preserve"> </w:t>
            </w:r>
            <w:r>
              <w:rPr>
                <w:rFonts w:hint="eastAsia" w:ascii="宋体" w:hAnsi="宋体"/>
                <w:sz w:val="17"/>
                <w:highlight w:val="none"/>
              </w:rPr>
              <w:t xml:space="preserve"> </w:t>
            </w:r>
            <w:r>
              <w:rPr>
                <w:rFonts w:ascii="Times New Roman" w:hAnsi="Times New Roman"/>
                <w:szCs w:val="21"/>
                <w:highlight w:val="none"/>
              </w:rPr>
              <w:t xml:space="preserve"> □</w:t>
            </w:r>
          </w:p>
          <w:p w14:paraId="1B2553C4">
            <w:pPr>
              <w:spacing w:line="240" w:lineRule="auto"/>
              <w:rPr>
                <w:rFonts w:ascii="Times New Roman" w:hAnsi="Times New Roman"/>
                <w:szCs w:val="21"/>
                <w:highlight w:val="none"/>
              </w:rPr>
            </w:pPr>
            <w:r>
              <w:rPr>
                <w:rFonts w:ascii="Times New Roman" w:hAnsi="宋体"/>
                <w:szCs w:val="21"/>
                <w:highlight w:val="none"/>
              </w:rPr>
              <w:t>半固态</w:t>
            </w:r>
            <w:r>
              <w:rPr>
                <w:rFonts w:ascii="Times New Roman" w:hAnsi="Times New Roman"/>
                <w:szCs w:val="21"/>
                <w:highlight w:val="none"/>
              </w:rPr>
              <w:t xml:space="preserve">     □</w:t>
            </w:r>
          </w:p>
          <w:p w14:paraId="5CD3C31D">
            <w:pPr>
              <w:spacing w:line="240" w:lineRule="auto"/>
              <w:rPr>
                <w:rFonts w:ascii="Times New Roman" w:hAnsi="Times New Roman"/>
                <w:szCs w:val="21"/>
                <w:highlight w:val="none"/>
              </w:rPr>
            </w:pPr>
            <w:r>
              <w:rPr>
                <w:rFonts w:ascii="Times New Roman" w:hAnsi="宋体"/>
                <w:szCs w:val="21"/>
                <w:highlight w:val="none"/>
              </w:rPr>
              <w:t>粉末态</w:t>
            </w:r>
            <w:r>
              <w:rPr>
                <w:rFonts w:ascii="Times New Roman" w:hAnsi="Times New Roman"/>
                <w:szCs w:val="21"/>
                <w:highlight w:val="none"/>
              </w:rPr>
              <w:t xml:space="preserve">     □</w:t>
            </w:r>
          </w:p>
          <w:p w14:paraId="1A25BF52">
            <w:pPr>
              <w:spacing w:line="240" w:lineRule="auto"/>
              <w:rPr>
                <w:rFonts w:ascii="Times New Roman" w:hAnsi="Times New Roman"/>
                <w:szCs w:val="21"/>
                <w:highlight w:val="none"/>
              </w:rPr>
            </w:pPr>
            <w:r>
              <w:rPr>
                <w:rFonts w:ascii="Times New Roman" w:hAnsi="宋体"/>
                <w:szCs w:val="21"/>
                <w:highlight w:val="none"/>
              </w:rPr>
              <w:t>颗粒态</w:t>
            </w:r>
            <w:r>
              <w:rPr>
                <w:rFonts w:ascii="Times New Roman" w:hAnsi="Times New Roman"/>
                <w:szCs w:val="21"/>
                <w:highlight w:val="none"/>
              </w:rPr>
              <w:t xml:space="preserve">     □</w:t>
            </w:r>
          </w:p>
          <w:p w14:paraId="65168E6A">
            <w:pPr>
              <w:spacing w:line="240" w:lineRule="auto"/>
              <w:rPr>
                <w:rFonts w:ascii="Times New Roman" w:hAnsi="Times New Roman"/>
                <w:szCs w:val="21"/>
                <w:highlight w:val="none"/>
              </w:rPr>
            </w:pPr>
            <w:r>
              <w:rPr>
                <w:rFonts w:ascii="Times New Roman" w:hAnsi="宋体"/>
                <w:szCs w:val="21"/>
                <w:highlight w:val="none"/>
              </w:rPr>
              <w:t>液态</w:t>
            </w:r>
            <w:r>
              <w:rPr>
                <w:rFonts w:ascii="Times New Roman" w:hAnsi="Times New Roman"/>
                <w:szCs w:val="21"/>
                <w:highlight w:val="none"/>
              </w:rPr>
              <w:t xml:space="preserve">       </w:t>
            </w:r>
            <w:r>
              <w:rPr>
                <w:rFonts w:ascii="Times New Roman" w:hAnsi="Times New Roman"/>
                <w:szCs w:val="21"/>
                <w:highlight w:val="none"/>
              </w:rPr>
              <w:sym w:font="Wingdings 2" w:char="F052"/>
            </w:r>
          </w:p>
        </w:tc>
      </w:tr>
      <w:tr w14:paraId="209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gridSpan w:val="2"/>
            <w:vMerge w:val="continue"/>
          </w:tcPr>
          <w:p w14:paraId="45A344BE">
            <w:pPr>
              <w:spacing w:line="240" w:lineRule="auto"/>
              <w:rPr>
                <w:rFonts w:ascii="Times New Roman" w:hAnsi="Times New Roman"/>
                <w:szCs w:val="21"/>
                <w:highlight w:val="none"/>
              </w:rPr>
            </w:pPr>
          </w:p>
        </w:tc>
        <w:tc>
          <w:tcPr>
            <w:tcW w:w="1342" w:type="dxa"/>
            <w:gridSpan w:val="2"/>
          </w:tcPr>
          <w:p w14:paraId="25A1A8CC">
            <w:pPr>
              <w:spacing w:line="240" w:lineRule="auto"/>
              <w:rPr>
                <w:rFonts w:ascii="Times New Roman" w:hAnsi="Times New Roman"/>
                <w:szCs w:val="21"/>
                <w:highlight w:val="none"/>
              </w:rPr>
            </w:pPr>
            <w:r>
              <w:rPr>
                <w:rFonts w:hint="eastAsia" w:ascii="仿宋" w:hAnsi="仿宋" w:eastAsia="仿宋"/>
                <w:highlight w:val="none"/>
              </w:rPr>
              <w:t>防锈剂</w:t>
            </w:r>
          </w:p>
        </w:tc>
        <w:tc>
          <w:tcPr>
            <w:tcW w:w="1473" w:type="dxa"/>
            <w:gridSpan w:val="2"/>
          </w:tcPr>
          <w:p w14:paraId="19657251">
            <w:pPr>
              <w:spacing w:line="240" w:lineRule="auto"/>
              <w:rPr>
                <w:rFonts w:ascii="Times New Roman" w:hAnsi="Times New Roman"/>
                <w:szCs w:val="21"/>
                <w:highlight w:val="none"/>
              </w:rPr>
            </w:pPr>
            <w:r>
              <w:rPr>
                <w:rFonts w:eastAsia="仿宋"/>
                <w:szCs w:val="21"/>
                <w:highlight w:val="none"/>
              </w:rPr>
              <w:t>1-2</w:t>
            </w:r>
            <w:r>
              <w:rPr>
                <w:rFonts w:hint="eastAsia" w:ascii="Times New Roman" w:hAnsi="Times New Roman"/>
                <w:szCs w:val="21"/>
                <w:highlight w:val="none"/>
              </w:rPr>
              <w:t>%</w:t>
            </w:r>
          </w:p>
        </w:tc>
        <w:tc>
          <w:tcPr>
            <w:tcW w:w="1595" w:type="dxa"/>
            <w:vMerge w:val="continue"/>
            <w:vAlign w:val="center"/>
          </w:tcPr>
          <w:p w14:paraId="081B1F01">
            <w:pPr>
              <w:spacing w:line="240" w:lineRule="auto"/>
              <w:rPr>
                <w:rFonts w:ascii="Times New Roman" w:hAnsi="Times New Roman"/>
                <w:szCs w:val="21"/>
                <w:highlight w:val="none"/>
              </w:rPr>
            </w:pPr>
          </w:p>
        </w:tc>
        <w:tc>
          <w:tcPr>
            <w:tcW w:w="1680" w:type="dxa"/>
            <w:gridSpan w:val="2"/>
            <w:vMerge w:val="continue"/>
            <w:vAlign w:val="center"/>
          </w:tcPr>
          <w:p w14:paraId="498D2CF1">
            <w:pPr>
              <w:spacing w:line="240" w:lineRule="auto"/>
              <w:rPr>
                <w:rFonts w:ascii="Times New Roman" w:hAnsi="Times New Roman"/>
                <w:szCs w:val="21"/>
                <w:highlight w:val="none"/>
              </w:rPr>
            </w:pPr>
          </w:p>
        </w:tc>
      </w:tr>
      <w:tr w14:paraId="5AB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gridSpan w:val="2"/>
            <w:vMerge w:val="continue"/>
          </w:tcPr>
          <w:p w14:paraId="24132EE2">
            <w:pPr>
              <w:spacing w:line="240" w:lineRule="auto"/>
              <w:rPr>
                <w:rFonts w:ascii="Times New Roman" w:hAnsi="Times New Roman"/>
                <w:szCs w:val="21"/>
                <w:highlight w:val="none"/>
              </w:rPr>
            </w:pPr>
          </w:p>
        </w:tc>
        <w:tc>
          <w:tcPr>
            <w:tcW w:w="1342" w:type="dxa"/>
            <w:gridSpan w:val="2"/>
          </w:tcPr>
          <w:p w14:paraId="5C7D9CC3">
            <w:pPr>
              <w:spacing w:line="240" w:lineRule="auto"/>
              <w:rPr>
                <w:rFonts w:ascii="Times New Roman" w:hAnsi="Times New Roman"/>
                <w:szCs w:val="21"/>
                <w:highlight w:val="none"/>
              </w:rPr>
            </w:pPr>
            <w:r>
              <w:rPr>
                <w:rFonts w:hint="eastAsia" w:ascii="仿宋" w:hAnsi="仿宋" w:eastAsia="仿宋"/>
                <w:highlight w:val="none"/>
              </w:rPr>
              <w:t>清净剂</w:t>
            </w:r>
          </w:p>
        </w:tc>
        <w:tc>
          <w:tcPr>
            <w:tcW w:w="1473" w:type="dxa"/>
            <w:gridSpan w:val="2"/>
          </w:tcPr>
          <w:p w14:paraId="638E5069">
            <w:pPr>
              <w:spacing w:line="240" w:lineRule="auto"/>
              <w:rPr>
                <w:rFonts w:ascii="Times New Roman" w:hAnsi="Times New Roman"/>
                <w:szCs w:val="21"/>
                <w:highlight w:val="none"/>
              </w:rPr>
            </w:pPr>
            <w:r>
              <w:rPr>
                <w:rFonts w:eastAsia="仿宋"/>
                <w:szCs w:val="21"/>
                <w:highlight w:val="none"/>
              </w:rPr>
              <w:t>1-2</w:t>
            </w:r>
            <w:r>
              <w:rPr>
                <w:rFonts w:hint="eastAsia" w:ascii="Times New Roman" w:hAnsi="Times New Roman"/>
                <w:szCs w:val="21"/>
                <w:highlight w:val="none"/>
              </w:rPr>
              <w:t>%</w:t>
            </w:r>
          </w:p>
        </w:tc>
        <w:tc>
          <w:tcPr>
            <w:tcW w:w="1595" w:type="dxa"/>
            <w:vMerge w:val="continue"/>
            <w:vAlign w:val="center"/>
          </w:tcPr>
          <w:p w14:paraId="1E0BE07C">
            <w:pPr>
              <w:spacing w:line="240" w:lineRule="auto"/>
              <w:rPr>
                <w:rFonts w:ascii="Times New Roman" w:hAnsi="Times New Roman"/>
                <w:szCs w:val="21"/>
                <w:highlight w:val="none"/>
              </w:rPr>
            </w:pPr>
          </w:p>
        </w:tc>
        <w:tc>
          <w:tcPr>
            <w:tcW w:w="1680" w:type="dxa"/>
            <w:gridSpan w:val="2"/>
            <w:vMerge w:val="continue"/>
            <w:vAlign w:val="center"/>
          </w:tcPr>
          <w:p w14:paraId="1DC2865C">
            <w:pPr>
              <w:spacing w:line="240" w:lineRule="auto"/>
              <w:rPr>
                <w:rFonts w:ascii="Times New Roman" w:hAnsi="Times New Roman"/>
                <w:szCs w:val="21"/>
                <w:highlight w:val="none"/>
              </w:rPr>
            </w:pPr>
          </w:p>
        </w:tc>
      </w:tr>
      <w:tr w14:paraId="41E6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gridSpan w:val="2"/>
            <w:vMerge w:val="continue"/>
          </w:tcPr>
          <w:p w14:paraId="4AE13F7B">
            <w:pPr>
              <w:spacing w:line="240" w:lineRule="auto"/>
              <w:rPr>
                <w:rFonts w:ascii="Times New Roman" w:hAnsi="Times New Roman"/>
                <w:szCs w:val="21"/>
                <w:highlight w:val="none"/>
              </w:rPr>
            </w:pPr>
          </w:p>
        </w:tc>
        <w:tc>
          <w:tcPr>
            <w:tcW w:w="1342" w:type="dxa"/>
            <w:gridSpan w:val="2"/>
          </w:tcPr>
          <w:p w14:paraId="219BDF5B">
            <w:pPr>
              <w:spacing w:line="240" w:lineRule="auto"/>
              <w:rPr>
                <w:rFonts w:ascii="Times New Roman" w:hAnsi="Times New Roman"/>
                <w:szCs w:val="21"/>
                <w:highlight w:val="none"/>
              </w:rPr>
            </w:pPr>
          </w:p>
        </w:tc>
        <w:tc>
          <w:tcPr>
            <w:tcW w:w="1473" w:type="dxa"/>
            <w:gridSpan w:val="2"/>
          </w:tcPr>
          <w:p w14:paraId="1915923F">
            <w:pPr>
              <w:spacing w:line="240" w:lineRule="auto"/>
              <w:rPr>
                <w:rFonts w:ascii="Times New Roman" w:hAnsi="Times New Roman"/>
                <w:szCs w:val="21"/>
                <w:highlight w:val="none"/>
              </w:rPr>
            </w:pPr>
          </w:p>
        </w:tc>
        <w:tc>
          <w:tcPr>
            <w:tcW w:w="1595" w:type="dxa"/>
            <w:vMerge w:val="continue"/>
            <w:vAlign w:val="center"/>
          </w:tcPr>
          <w:p w14:paraId="76B88846">
            <w:pPr>
              <w:spacing w:line="240" w:lineRule="auto"/>
              <w:rPr>
                <w:rFonts w:ascii="Times New Roman" w:hAnsi="Times New Roman"/>
                <w:szCs w:val="21"/>
                <w:highlight w:val="none"/>
              </w:rPr>
            </w:pPr>
          </w:p>
        </w:tc>
        <w:tc>
          <w:tcPr>
            <w:tcW w:w="1680" w:type="dxa"/>
            <w:gridSpan w:val="2"/>
            <w:vMerge w:val="continue"/>
            <w:vAlign w:val="center"/>
          </w:tcPr>
          <w:p w14:paraId="0551BD6A">
            <w:pPr>
              <w:spacing w:line="240" w:lineRule="auto"/>
              <w:rPr>
                <w:rFonts w:ascii="Times New Roman" w:hAnsi="Times New Roman"/>
                <w:szCs w:val="21"/>
                <w:highlight w:val="none"/>
              </w:rPr>
            </w:pPr>
          </w:p>
        </w:tc>
      </w:tr>
      <w:tr w14:paraId="01BF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gridSpan w:val="2"/>
            <w:vMerge w:val="continue"/>
          </w:tcPr>
          <w:p w14:paraId="78E35E3B">
            <w:pPr>
              <w:spacing w:line="240" w:lineRule="auto"/>
              <w:rPr>
                <w:rFonts w:ascii="Times New Roman" w:hAnsi="Times New Roman"/>
                <w:szCs w:val="21"/>
                <w:highlight w:val="none"/>
              </w:rPr>
            </w:pPr>
          </w:p>
        </w:tc>
        <w:tc>
          <w:tcPr>
            <w:tcW w:w="1342" w:type="dxa"/>
            <w:gridSpan w:val="2"/>
          </w:tcPr>
          <w:p w14:paraId="6AB6BCAB">
            <w:pPr>
              <w:spacing w:line="240" w:lineRule="auto"/>
              <w:rPr>
                <w:rFonts w:ascii="Times New Roman" w:hAnsi="Times New Roman"/>
                <w:szCs w:val="21"/>
                <w:highlight w:val="none"/>
              </w:rPr>
            </w:pPr>
          </w:p>
        </w:tc>
        <w:tc>
          <w:tcPr>
            <w:tcW w:w="1473" w:type="dxa"/>
            <w:gridSpan w:val="2"/>
          </w:tcPr>
          <w:p w14:paraId="4B711510">
            <w:pPr>
              <w:spacing w:line="240" w:lineRule="auto"/>
              <w:rPr>
                <w:rFonts w:ascii="Times New Roman" w:hAnsi="Times New Roman"/>
                <w:szCs w:val="21"/>
                <w:highlight w:val="none"/>
              </w:rPr>
            </w:pPr>
          </w:p>
        </w:tc>
        <w:tc>
          <w:tcPr>
            <w:tcW w:w="1595" w:type="dxa"/>
            <w:vMerge w:val="continue"/>
            <w:vAlign w:val="center"/>
          </w:tcPr>
          <w:p w14:paraId="5E99B225">
            <w:pPr>
              <w:spacing w:line="240" w:lineRule="auto"/>
              <w:rPr>
                <w:rFonts w:ascii="Times New Roman" w:hAnsi="Times New Roman"/>
                <w:szCs w:val="21"/>
                <w:highlight w:val="none"/>
              </w:rPr>
            </w:pPr>
          </w:p>
        </w:tc>
        <w:tc>
          <w:tcPr>
            <w:tcW w:w="1680" w:type="dxa"/>
            <w:gridSpan w:val="2"/>
            <w:vMerge w:val="continue"/>
            <w:vAlign w:val="center"/>
          </w:tcPr>
          <w:p w14:paraId="54EDAC5C">
            <w:pPr>
              <w:spacing w:line="240" w:lineRule="auto"/>
              <w:rPr>
                <w:rFonts w:ascii="Times New Roman" w:hAnsi="Times New Roman"/>
                <w:szCs w:val="21"/>
                <w:highlight w:val="none"/>
              </w:rPr>
            </w:pPr>
          </w:p>
        </w:tc>
      </w:tr>
    </w:tbl>
    <w:p w14:paraId="0F448879">
      <w:pPr>
        <w:rPr>
          <w:rFonts w:ascii="Times New Roman" w:hAnsi="Times New Roman" w:eastAsia="黑体"/>
          <w:sz w:val="28"/>
          <w:szCs w:val="28"/>
          <w:highlight w:val="none"/>
        </w:rPr>
      </w:pPr>
      <w:r>
        <w:rPr>
          <w:rFonts w:ascii="Times New Roman" w:eastAsia="黑体"/>
          <w:sz w:val="28"/>
          <w:szCs w:val="28"/>
          <w:highlight w:val="none"/>
        </w:rPr>
        <w:t>第二部分：废物包装、运输情况</w:t>
      </w:r>
    </w:p>
    <w:tbl>
      <w:tblPr>
        <w:tblStyle w:val="9"/>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89"/>
        <w:gridCol w:w="1647"/>
        <w:gridCol w:w="1080"/>
        <w:gridCol w:w="1021"/>
        <w:gridCol w:w="1716"/>
      </w:tblGrid>
      <w:tr w14:paraId="572A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3734217E">
            <w:pPr>
              <w:rPr>
                <w:rFonts w:ascii="Times New Roman" w:hAnsi="Times New Roman"/>
                <w:b/>
                <w:bCs/>
                <w:highlight w:val="none"/>
              </w:rPr>
            </w:pPr>
            <w:r>
              <w:rPr>
                <w:rFonts w:ascii="Times New Roman"/>
                <w:b/>
                <w:bCs/>
                <w:highlight w:val="none"/>
              </w:rPr>
              <w:t>表</w:t>
            </w:r>
            <w:r>
              <w:rPr>
                <w:rFonts w:ascii="Times New Roman" w:hAnsi="Times New Roman"/>
                <w:b/>
                <w:bCs/>
                <w:highlight w:val="none"/>
              </w:rPr>
              <w:t xml:space="preserve">1   </w:t>
            </w:r>
            <w:r>
              <w:rPr>
                <w:rFonts w:ascii="Times New Roman"/>
                <w:b/>
                <w:bCs/>
                <w:highlight w:val="none"/>
              </w:rPr>
              <w:t>废物包装情况</w:t>
            </w:r>
          </w:p>
        </w:tc>
      </w:tr>
      <w:tr w14:paraId="2E05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7" w:type="dxa"/>
            <w:vAlign w:val="center"/>
          </w:tcPr>
          <w:p w14:paraId="2701F52B">
            <w:pPr>
              <w:jc w:val="center"/>
              <w:rPr>
                <w:rFonts w:ascii="Times New Roman" w:hAnsi="Times New Roman"/>
                <w:highlight w:val="none"/>
              </w:rPr>
            </w:pPr>
            <w:r>
              <w:rPr>
                <w:rFonts w:ascii="Times New Roman"/>
                <w:highlight w:val="none"/>
              </w:rPr>
              <w:t>序号</w:t>
            </w:r>
          </w:p>
        </w:tc>
        <w:tc>
          <w:tcPr>
            <w:tcW w:w="2989" w:type="dxa"/>
            <w:vAlign w:val="center"/>
          </w:tcPr>
          <w:p w14:paraId="5A399D25">
            <w:pPr>
              <w:jc w:val="center"/>
              <w:rPr>
                <w:rFonts w:ascii="Times New Roman" w:hAnsi="Times New Roman"/>
                <w:highlight w:val="none"/>
              </w:rPr>
            </w:pPr>
            <w:r>
              <w:rPr>
                <w:rFonts w:ascii="Times New Roman"/>
                <w:highlight w:val="none"/>
              </w:rPr>
              <w:t>废物名称</w:t>
            </w:r>
          </w:p>
        </w:tc>
        <w:tc>
          <w:tcPr>
            <w:tcW w:w="1647" w:type="dxa"/>
            <w:vAlign w:val="center"/>
          </w:tcPr>
          <w:p w14:paraId="3EBAF401">
            <w:pPr>
              <w:jc w:val="center"/>
              <w:rPr>
                <w:rFonts w:ascii="Times New Roman" w:hAnsi="Times New Roman"/>
                <w:highlight w:val="none"/>
              </w:rPr>
            </w:pPr>
            <w:r>
              <w:rPr>
                <w:rFonts w:ascii="Times New Roman"/>
                <w:highlight w:val="none"/>
              </w:rPr>
              <w:t>包装物（容器）名称</w:t>
            </w:r>
          </w:p>
        </w:tc>
        <w:tc>
          <w:tcPr>
            <w:tcW w:w="1080" w:type="dxa"/>
            <w:vAlign w:val="center"/>
          </w:tcPr>
          <w:p w14:paraId="13A85D74">
            <w:pPr>
              <w:jc w:val="center"/>
              <w:rPr>
                <w:rFonts w:ascii="Times New Roman" w:hAnsi="Times New Roman"/>
                <w:highlight w:val="none"/>
              </w:rPr>
            </w:pPr>
            <w:r>
              <w:rPr>
                <w:rFonts w:ascii="Times New Roman"/>
                <w:highlight w:val="none"/>
              </w:rPr>
              <w:t>材质</w:t>
            </w:r>
          </w:p>
        </w:tc>
        <w:tc>
          <w:tcPr>
            <w:tcW w:w="1021" w:type="dxa"/>
            <w:vAlign w:val="center"/>
          </w:tcPr>
          <w:p w14:paraId="7468AB3F">
            <w:pPr>
              <w:jc w:val="center"/>
              <w:rPr>
                <w:rFonts w:ascii="Times New Roman" w:hAnsi="Times New Roman"/>
                <w:highlight w:val="none"/>
              </w:rPr>
            </w:pPr>
            <w:r>
              <w:rPr>
                <w:rFonts w:ascii="Times New Roman"/>
                <w:highlight w:val="none"/>
              </w:rPr>
              <w:t>容积</w:t>
            </w:r>
          </w:p>
        </w:tc>
        <w:tc>
          <w:tcPr>
            <w:tcW w:w="1716" w:type="dxa"/>
            <w:vAlign w:val="center"/>
          </w:tcPr>
          <w:p w14:paraId="618C9104">
            <w:pPr>
              <w:jc w:val="center"/>
              <w:rPr>
                <w:rFonts w:ascii="Times New Roman" w:hAnsi="Times New Roman"/>
                <w:highlight w:val="none"/>
              </w:rPr>
            </w:pPr>
            <w:r>
              <w:rPr>
                <w:rFonts w:ascii="Times New Roman"/>
                <w:highlight w:val="none"/>
              </w:rPr>
              <w:t>是否有危废标签</w:t>
            </w:r>
          </w:p>
        </w:tc>
      </w:tr>
      <w:tr w14:paraId="454E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trPr>
        <w:tc>
          <w:tcPr>
            <w:tcW w:w="787" w:type="dxa"/>
            <w:vAlign w:val="center"/>
          </w:tcPr>
          <w:p w14:paraId="0219BC8F">
            <w:pPr>
              <w:jc w:val="center"/>
              <w:rPr>
                <w:rFonts w:ascii="Times New Roman" w:hAnsi="Times New Roman"/>
                <w:highlight w:val="none"/>
              </w:rPr>
            </w:pPr>
            <w:r>
              <w:rPr>
                <w:rFonts w:hint="eastAsia" w:ascii="Times New Roman" w:hAnsi="Times New Roman"/>
                <w:highlight w:val="none"/>
              </w:rPr>
              <w:t>1</w:t>
            </w:r>
          </w:p>
        </w:tc>
        <w:tc>
          <w:tcPr>
            <w:tcW w:w="2989" w:type="dxa"/>
          </w:tcPr>
          <w:p w14:paraId="54618EA8">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润滑油900-209-08</w:t>
            </w:r>
          </w:p>
          <w:p w14:paraId="48F1D873">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废矿物油（自产）900-249-08</w:t>
            </w:r>
          </w:p>
          <w:p w14:paraId="1DE3A454">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废矿物油900-209-08、</w:t>
            </w:r>
          </w:p>
          <w:p w14:paraId="22918663">
            <w:pPr>
              <w:spacing w:line="300" w:lineRule="exact"/>
              <w:jc w:val="left"/>
              <w:rPr>
                <w:rFonts w:hint="eastAsia" w:ascii="Times New Roman"/>
                <w:szCs w:val="21"/>
                <w:highlight w:val="none"/>
                <w:lang w:val="en-US" w:eastAsia="zh-CN"/>
              </w:rPr>
            </w:pPr>
            <w:r>
              <w:rPr>
                <w:rFonts w:hint="eastAsia" w:ascii="Times New Roman"/>
                <w:szCs w:val="21"/>
                <w:highlight w:val="none"/>
                <w:lang w:val="en-US" w:eastAsia="zh-CN"/>
              </w:rPr>
              <w:t>废矿物油900-249-08、</w:t>
            </w:r>
          </w:p>
          <w:p w14:paraId="54D270AD">
            <w:pPr>
              <w:rPr>
                <w:rFonts w:hint="eastAsia"/>
                <w:highlight w:val="none"/>
              </w:rPr>
            </w:pPr>
            <w:r>
              <w:rPr>
                <w:rFonts w:hint="eastAsia" w:ascii="Times New Roman"/>
                <w:szCs w:val="21"/>
                <w:highlight w:val="none"/>
                <w:lang w:val="en-US" w:eastAsia="zh-CN"/>
              </w:rPr>
              <w:t>废矿物油900-214-08</w:t>
            </w:r>
          </w:p>
        </w:tc>
        <w:tc>
          <w:tcPr>
            <w:tcW w:w="1647" w:type="dxa"/>
          </w:tcPr>
          <w:p w14:paraId="277AA99D">
            <w:pPr>
              <w:jc w:val="center"/>
              <w:rPr>
                <w:color w:val="000000"/>
                <w:highlight w:val="none"/>
              </w:rPr>
            </w:pPr>
            <w:r>
              <w:rPr>
                <w:rFonts w:hint="eastAsia"/>
                <w:highlight w:val="none"/>
              </w:rPr>
              <w:t>槽罐车</w:t>
            </w:r>
          </w:p>
        </w:tc>
        <w:tc>
          <w:tcPr>
            <w:tcW w:w="1080" w:type="dxa"/>
          </w:tcPr>
          <w:p w14:paraId="303A23C6">
            <w:pPr>
              <w:jc w:val="center"/>
              <w:rPr>
                <w:color w:val="000000"/>
                <w:highlight w:val="none"/>
              </w:rPr>
            </w:pPr>
            <w:r>
              <w:rPr>
                <w:rFonts w:hint="eastAsia"/>
                <w:highlight w:val="none"/>
              </w:rPr>
              <w:t>金属</w:t>
            </w:r>
          </w:p>
        </w:tc>
        <w:tc>
          <w:tcPr>
            <w:tcW w:w="1021" w:type="dxa"/>
          </w:tcPr>
          <w:p w14:paraId="5235244D">
            <w:pPr>
              <w:jc w:val="center"/>
              <w:rPr>
                <w:color w:val="000000"/>
                <w:highlight w:val="none"/>
              </w:rPr>
            </w:pPr>
            <w:r>
              <w:rPr>
                <w:rFonts w:hint="eastAsia"/>
                <w:highlight w:val="none"/>
              </w:rPr>
              <w:t>3</w:t>
            </w:r>
            <w:r>
              <w:rPr>
                <w:highlight w:val="none"/>
              </w:rPr>
              <w:t>0000</w:t>
            </w:r>
            <w:r>
              <w:rPr>
                <w:rFonts w:hint="eastAsia"/>
                <w:highlight w:val="none"/>
              </w:rPr>
              <w:t>L</w:t>
            </w:r>
          </w:p>
        </w:tc>
        <w:tc>
          <w:tcPr>
            <w:tcW w:w="1716" w:type="dxa"/>
            <w:vAlign w:val="center"/>
          </w:tcPr>
          <w:p w14:paraId="184B03CF">
            <w:pPr>
              <w:jc w:val="center"/>
              <w:rPr>
                <w:rFonts w:ascii="Times New Roman" w:hAnsi="Times New Roman"/>
                <w:color w:val="000000"/>
                <w:highlight w:val="none"/>
              </w:rPr>
            </w:pPr>
            <w:r>
              <w:rPr>
                <w:rFonts w:ascii="Times New Roman" w:hAnsi="Times New Roman"/>
                <w:color w:val="000000"/>
                <w:highlight w:val="none"/>
              </w:rPr>
              <w:t>是</w:t>
            </w:r>
          </w:p>
        </w:tc>
      </w:tr>
      <w:tr w14:paraId="3CE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gridSpan w:val="6"/>
            <w:vAlign w:val="center"/>
          </w:tcPr>
          <w:p w14:paraId="34D03837">
            <w:pPr>
              <w:rPr>
                <w:rFonts w:ascii="Times New Roman" w:hAnsi="Times New Roman"/>
                <w:b/>
                <w:bCs/>
                <w:szCs w:val="24"/>
                <w:highlight w:val="none"/>
              </w:rPr>
            </w:pPr>
            <w:r>
              <w:rPr>
                <w:rFonts w:ascii="Times New Roman"/>
                <w:b/>
                <w:bCs/>
                <w:szCs w:val="24"/>
                <w:highlight w:val="none"/>
              </w:rPr>
              <w:t>表</w:t>
            </w:r>
            <w:r>
              <w:rPr>
                <w:rFonts w:ascii="Times New Roman" w:hAnsi="Times New Roman"/>
                <w:b/>
                <w:bCs/>
                <w:szCs w:val="24"/>
                <w:highlight w:val="none"/>
              </w:rPr>
              <w:t xml:space="preserve">2  </w:t>
            </w:r>
            <w:r>
              <w:rPr>
                <w:rFonts w:ascii="Times New Roman"/>
                <w:b/>
                <w:bCs/>
                <w:szCs w:val="24"/>
                <w:highlight w:val="none"/>
              </w:rPr>
              <w:t>废物运输情况</w:t>
            </w:r>
          </w:p>
        </w:tc>
      </w:tr>
      <w:tr w14:paraId="6BBE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gridSpan w:val="6"/>
          </w:tcPr>
          <w:p w14:paraId="5555EF38">
            <w:pPr>
              <w:rPr>
                <w:rFonts w:ascii="Times New Roman"/>
                <w:szCs w:val="24"/>
                <w:highlight w:val="none"/>
              </w:rPr>
            </w:pPr>
            <w:r>
              <w:rPr>
                <w:rFonts w:ascii="Times New Roman"/>
                <w:szCs w:val="24"/>
                <w:highlight w:val="none"/>
              </w:rPr>
              <w:t>运输是否符合交管部门运输相关规定（文字描述）</w:t>
            </w:r>
          </w:p>
          <w:p w14:paraId="1C2C245B">
            <w:pPr>
              <w:rPr>
                <w:rFonts w:ascii="Times New Roman" w:hAnsi="Times New Roman"/>
                <w:szCs w:val="21"/>
                <w:highlight w:val="none"/>
              </w:rPr>
            </w:pPr>
            <w:r>
              <w:rPr>
                <w:rFonts w:hint="eastAsia" w:ascii="宋体" w:hAnsi="宋体" w:eastAsia="宋体" w:cs="宋体"/>
                <w:szCs w:val="21"/>
                <w:highlight w:val="none"/>
              </w:rPr>
              <w:t>委托具有相应资质的危险货物运输单位</w:t>
            </w:r>
            <w:r>
              <w:rPr>
                <w:rFonts w:hint="eastAsia" w:ascii="宋体" w:hAnsi="宋体" w:eastAsia="宋体" w:cs="宋体"/>
                <w:szCs w:val="21"/>
                <w:highlight w:val="none"/>
                <w:lang w:eastAsia="zh-CN"/>
              </w:rPr>
              <w:t>江苏神华物流有限公司、</w:t>
            </w:r>
            <w:r>
              <w:rPr>
                <w:rFonts w:hint="default" w:ascii="宋体" w:hAnsi="宋体" w:eastAsia="宋体" w:cs="宋体"/>
                <w:szCs w:val="21"/>
                <w:highlight w:val="none"/>
                <w:lang w:val="en-US" w:eastAsia="zh-CN"/>
              </w:rPr>
              <w:t>镇江市大港顺达汽车运输</w:t>
            </w:r>
            <w:r>
              <w:rPr>
                <w:rFonts w:hint="eastAsia" w:ascii="宋体" w:hAnsi="宋体" w:eastAsia="宋体" w:cs="宋体"/>
                <w:szCs w:val="21"/>
                <w:highlight w:val="none"/>
                <w:lang w:val="en-US" w:eastAsia="zh-CN"/>
              </w:rPr>
              <w:t>有限公司</w:t>
            </w:r>
            <w:r>
              <w:rPr>
                <w:rFonts w:hint="eastAsia" w:ascii="宋体" w:hAnsi="宋体" w:eastAsia="宋体" w:cs="宋体"/>
                <w:szCs w:val="21"/>
                <w:highlight w:val="none"/>
              </w:rPr>
              <w:t>，并由符合相关规定的危货运输车辆进行运输。</w:t>
            </w:r>
          </w:p>
        </w:tc>
      </w:tr>
      <w:tr w14:paraId="6255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gridSpan w:val="6"/>
            <w:vAlign w:val="center"/>
          </w:tcPr>
          <w:p w14:paraId="25EEBEB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r>
              <w:rPr>
                <w:rFonts w:hint="eastAsia" w:ascii="Times New Roman" w:hAnsi="Times New Roman"/>
                <w:szCs w:val="24"/>
              </w:rPr>
              <w:t>□</w:t>
            </w:r>
          </w:p>
        </w:tc>
      </w:tr>
      <w:tr w14:paraId="275F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gridSpan w:val="6"/>
          </w:tcPr>
          <w:p w14:paraId="4F624B42">
            <w:pPr>
              <w:rPr>
                <w:highlight w:val="none"/>
              </w:rPr>
            </w:pPr>
            <w:r>
              <w:t>运</w:t>
            </w:r>
            <w:r>
              <w:rPr>
                <w:highlight w:val="none"/>
              </w:rPr>
              <w:t>输路线文字描述：（写明途经省、市、县（区），附路线图）</w:t>
            </w:r>
          </w:p>
          <w:p w14:paraId="1B1D29DF">
            <w:pPr>
              <w:pStyle w:val="2"/>
              <w:ind w:left="0" w:leftChars="0" w:firstLine="0" w:firstLineChars="0"/>
              <w:rPr>
                <w:rFonts w:hint="eastAsia" w:eastAsia="宋体"/>
                <w:b w:val="0"/>
                <w:bCs w:val="0"/>
                <w:color w:val="000000"/>
                <w:sz w:val="21"/>
                <w:szCs w:val="22"/>
                <w:highlight w:val="none"/>
                <w:lang w:val="en-US" w:eastAsia="zh-CN"/>
              </w:rPr>
            </w:pPr>
            <w:r>
              <w:rPr>
                <w:rFonts w:hint="eastAsia"/>
                <w:b w:val="0"/>
                <w:bCs w:val="0"/>
                <w:color w:val="000000"/>
                <w:sz w:val="21"/>
                <w:szCs w:val="22"/>
                <w:highlight w:val="none"/>
                <w:lang w:val="en-US" w:eastAsia="zh-CN"/>
              </w:rPr>
              <w:t>上海新金桥环保有限公司-S20外环高速-G1503上海绕城高速--G15沈海高速-G4221沪武高速-金湖路-常州菲纳斯能源科技有限公司</w:t>
            </w:r>
          </w:p>
          <w:p w14:paraId="3F843E20">
            <w:pPr>
              <w:pStyle w:val="5"/>
              <w:rPr>
                <w:rFonts w:hint="default" w:eastAsiaTheme="minorEastAsia"/>
                <w:color w:val="000000"/>
                <w:szCs w:val="22"/>
                <w:lang w:val="en-US" w:eastAsia="zh-CN"/>
              </w:rPr>
            </w:pPr>
            <w:r>
              <w:rPr>
                <w:rFonts w:hint="eastAsia"/>
                <w:color w:val="000000"/>
                <w:szCs w:val="22"/>
              </w:rPr>
              <w:t>所经地级市：</w:t>
            </w:r>
            <w:r>
              <w:rPr>
                <w:rFonts w:hint="eastAsia"/>
                <w:color w:val="000000"/>
                <w:szCs w:val="22"/>
                <w:lang w:val="en-US" w:eastAsia="zh-CN"/>
              </w:rPr>
              <w:t>上海市-太仓市-常熟市-张家港市-常州市</w:t>
            </w:r>
          </w:p>
          <w:p w14:paraId="7FB64703">
            <w:pPr>
              <w:pStyle w:val="5"/>
            </w:pPr>
          </w:p>
        </w:tc>
      </w:tr>
    </w:tbl>
    <w:p w14:paraId="02AAF57E">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9A9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9345" w:type="dxa"/>
            <w:vAlign w:val="center"/>
          </w:tcPr>
          <w:p w14:paraId="23071B28">
            <w:pPr>
              <w:jc w:val="left"/>
              <w:rPr>
                <w:rFonts w:ascii="Times New Roman" w:hAnsi="Times New Roman"/>
                <w:b/>
                <w:bCs/>
                <w:szCs w:val="24"/>
                <w:highlight w:val="none"/>
              </w:rPr>
            </w:pPr>
            <w:r>
              <w:rPr>
                <w:rFonts w:ascii="Times New Roman"/>
                <w:b/>
                <w:bCs/>
                <w:szCs w:val="24"/>
                <w:highlight w:val="none"/>
              </w:rPr>
              <w:t>表</w:t>
            </w:r>
            <w:r>
              <w:rPr>
                <w:rFonts w:ascii="Times New Roman" w:hAnsi="Times New Roman"/>
                <w:b/>
                <w:bCs/>
                <w:szCs w:val="24"/>
                <w:highlight w:val="none"/>
              </w:rPr>
              <w:t xml:space="preserve">3  </w:t>
            </w:r>
            <w:r>
              <w:rPr>
                <w:rFonts w:ascii="Times New Roman"/>
                <w:b/>
                <w:bCs/>
                <w:szCs w:val="24"/>
                <w:highlight w:val="none"/>
              </w:rPr>
              <w:t>转移的污染防治、安全防护和应急措施</w:t>
            </w:r>
          </w:p>
        </w:tc>
      </w:tr>
      <w:tr w14:paraId="5F91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9345" w:type="dxa"/>
          </w:tcPr>
          <w:p w14:paraId="43FDFA20">
            <w:pPr>
              <w:spacing w:line="240" w:lineRule="auto"/>
              <w:rPr>
                <w:rFonts w:ascii="Times New Roman"/>
                <w:bCs/>
                <w:szCs w:val="21"/>
                <w:highlight w:val="none"/>
              </w:rPr>
            </w:pPr>
            <w:r>
              <w:rPr>
                <w:rFonts w:ascii="Times New Roman"/>
                <w:bCs/>
                <w:szCs w:val="21"/>
                <w:highlight w:val="none"/>
              </w:rPr>
              <w:t>运输过程中的污染防治措施以及按照要求配备的相应污染防治设备</w:t>
            </w:r>
          </w:p>
          <w:p w14:paraId="5F79CA4F">
            <w:pPr>
              <w:numPr>
                <w:ilvl w:val="0"/>
                <w:numId w:val="0"/>
              </w:numPr>
              <w:spacing w:line="360" w:lineRule="auto"/>
              <w:rPr>
                <w:rFonts w:hint="eastAsia" w:ascii="Times New Roman"/>
                <w:bCs/>
                <w:szCs w:val="24"/>
                <w:highlight w:val="none"/>
              </w:rPr>
            </w:pPr>
            <w:r>
              <w:rPr>
                <w:rFonts w:hint="eastAsia" w:ascii="Times New Roman"/>
                <w:bCs/>
                <w:szCs w:val="24"/>
                <w:highlight w:val="none"/>
                <w:lang w:eastAsia="zh-CN"/>
              </w:rPr>
              <w:t>①</w:t>
            </w:r>
            <w:r>
              <w:rPr>
                <w:rFonts w:hint="eastAsia" w:ascii="Times New Roman"/>
                <w:bCs/>
                <w:szCs w:val="24"/>
                <w:highlight w:val="none"/>
              </w:rPr>
              <w:t>严格按照《中华人民共和国固体废物污染环境防治法》有关规定进行操作。 </w:t>
            </w:r>
          </w:p>
          <w:p w14:paraId="690DB2C8">
            <w:pPr>
              <w:numPr>
                <w:ilvl w:val="0"/>
                <w:numId w:val="0"/>
              </w:numPr>
              <w:spacing w:line="360" w:lineRule="auto"/>
              <w:rPr>
                <w:rFonts w:hint="eastAsia" w:ascii="Times New Roman" w:eastAsia="宋体"/>
                <w:bCs/>
                <w:szCs w:val="24"/>
                <w:highlight w:val="none"/>
                <w:lang w:eastAsia="zh-CN"/>
              </w:rPr>
            </w:pPr>
            <w:r>
              <w:rPr>
                <w:rFonts w:hint="eastAsia" w:ascii="Times New Roman"/>
                <w:bCs/>
                <w:szCs w:val="24"/>
                <w:highlight w:val="none"/>
                <w:lang w:eastAsia="zh-CN"/>
              </w:rPr>
              <w:t>②</w:t>
            </w:r>
            <w:r>
              <w:rPr>
                <w:rFonts w:hint="eastAsia" w:ascii="Times New Roman"/>
                <w:bCs/>
                <w:szCs w:val="24"/>
                <w:highlight w:val="none"/>
              </w:rPr>
              <w:t>废物装卸必须废物装卸工具处理设施，尽可能采取机械作业，减少人工对其直接操作，如果采用人工搬运，应避免废物直接接触身体。 </w:t>
            </w:r>
            <w:r>
              <w:rPr>
                <w:rFonts w:hint="eastAsia" w:ascii="Times New Roman"/>
                <w:bCs/>
                <w:szCs w:val="24"/>
                <w:highlight w:val="none"/>
                <w:lang w:eastAsia="zh-CN"/>
              </w:rPr>
              <w:t>人员佩戴醒目标志，穿着防护服，戴橡胶手套，对废物所属区域进行保护，无关人员禁止进入。</w:t>
            </w:r>
          </w:p>
          <w:p w14:paraId="792F1EDE">
            <w:pPr>
              <w:spacing w:line="360" w:lineRule="auto"/>
              <w:rPr>
                <w:rFonts w:hint="eastAsia" w:ascii="Times New Roman" w:eastAsia="宋体"/>
                <w:bCs/>
                <w:szCs w:val="24"/>
                <w:highlight w:val="none"/>
                <w:lang w:eastAsia="zh-CN"/>
              </w:rPr>
            </w:pPr>
            <w:r>
              <w:rPr>
                <w:rFonts w:hint="eastAsia" w:ascii="Times New Roman"/>
                <w:bCs/>
                <w:szCs w:val="24"/>
                <w:highlight w:val="none"/>
                <w:lang w:eastAsia="zh-CN"/>
              </w:rPr>
              <w:t>③</w:t>
            </w:r>
            <w:r>
              <w:rPr>
                <w:rFonts w:hint="eastAsia" w:ascii="Times New Roman"/>
                <w:bCs/>
                <w:szCs w:val="24"/>
                <w:highlight w:val="none"/>
              </w:rPr>
              <w:t>在装卸过程中</w:t>
            </w:r>
            <w:r>
              <w:rPr>
                <w:rFonts w:hint="eastAsia" w:ascii="Times New Roman"/>
                <w:bCs/>
                <w:szCs w:val="24"/>
                <w:highlight w:val="none"/>
                <w:lang w:eastAsia="zh-CN"/>
              </w:rPr>
              <w:t>，</w:t>
            </w:r>
            <w:r>
              <w:rPr>
                <w:rFonts w:hint="eastAsia" w:ascii="Times New Roman"/>
                <w:bCs/>
                <w:szCs w:val="24"/>
                <w:highlight w:val="none"/>
              </w:rPr>
              <w:t>若发生包装物泄漏情况必须立即采取措施及时</w:t>
            </w:r>
            <w:r>
              <w:rPr>
                <w:rFonts w:hint="eastAsia" w:ascii="Times New Roman"/>
                <w:bCs/>
                <w:szCs w:val="24"/>
                <w:highlight w:val="none"/>
                <w:lang w:eastAsia="zh-CN"/>
              </w:rPr>
              <w:t>根据具体品种按消防方法施救</w:t>
            </w:r>
            <w:r>
              <w:rPr>
                <w:rFonts w:hint="eastAsia" w:ascii="Times New Roman"/>
                <w:bCs/>
                <w:szCs w:val="24"/>
                <w:highlight w:val="none"/>
              </w:rPr>
              <w:t>处理</w:t>
            </w:r>
            <w:r>
              <w:rPr>
                <w:rFonts w:hint="eastAsia" w:ascii="Times New Roman"/>
                <w:bCs/>
                <w:szCs w:val="24"/>
                <w:highlight w:val="none"/>
                <w:lang w:eastAsia="zh-CN"/>
              </w:rPr>
              <w:t>，应穿戴包括氧气防毒面具在内的全身防护服。</w:t>
            </w:r>
          </w:p>
          <w:p w14:paraId="7A91BB37">
            <w:pPr>
              <w:pStyle w:val="5"/>
              <w:rPr>
                <w:rFonts w:ascii="Times New Roman" w:hAnsi="Times New Roman"/>
                <w:bCs/>
                <w:szCs w:val="24"/>
                <w:highlight w:val="none"/>
              </w:rPr>
            </w:pPr>
            <w:r>
              <w:rPr>
                <w:rFonts w:hint="eastAsia" w:ascii="Times New Roman"/>
                <w:bCs/>
                <w:szCs w:val="24"/>
                <w:highlight w:val="none"/>
              </w:rPr>
              <w:t> </w:t>
            </w:r>
            <w:r>
              <w:rPr>
                <w:rFonts w:hint="eastAsia" w:ascii="Times New Roman"/>
                <w:bCs/>
                <w:szCs w:val="24"/>
                <w:highlight w:val="none"/>
                <w:lang w:eastAsia="zh-CN"/>
              </w:rPr>
              <w:t>④</w:t>
            </w:r>
            <w:r>
              <w:rPr>
                <w:rFonts w:hint="eastAsia" w:ascii="Times New Roman"/>
                <w:bCs/>
                <w:szCs w:val="24"/>
                <w:highlight w:val="none"/>
              </w:rPr>
              <w:t>本厂在装卸运输废物过程中，如遇天气突发变化事件，如狂风暴雨、降雪等现象应停止装卸运输过程。</w:t>
            </w:r>
          </w:p>
        </w:tc>
      </w:tr>
      <w:tr w14:paraId="6CEA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345" w:type="dxa"/>
          </w:tcPr>
          <w:p w14:paraId="43D7596A">
            <w:pPr>
              <w:numPr>
                <w:ilvl w:val="0"/>
                <w:numId w:val="1"/>
              </w:numPr>
              <w:rPr>
                <w:rFonts w:ascii="Times New Roman"/>
                <w:bCs/>
                <w:szCs w:val="24"/>
                <w:highlight w:val="none"/>
              </w:rPr>
            </w:pPr>
            <w:r>
              <w:rPr>
                <w:rFonts w:ascii="Times New Roman"/>
                <w:bCs/>
                <w:szCs w:val="24"/>
                <w:highlight w:val="none"/>
              </w:rPr>
              <w:t>运输过程中的安全防护措施以及按照要求配备的相应安全防护设备</w:t>
            </w:r>
          </w:p>
          <w:p w14:paraId="3AD6989E">
            <w:pPr>
              <w:numPr>
                <w:ilvl w:val="0"/>
                <w:numId w:val="0"/>
              </w:numPr>
              <w:spacing w:line="360" w:lineRule="auto"/>
              <w:ind w:leftChars="0"/>
              <w:rPr>
                <w:rFonts w:hint="eastAsia" w:ascii="Times New Roman"/>
                <w:bCs/>
                <w:szCs w:val="24"/>
                <w:highlight w:val="none"/>
              </w:rPr>
            </w:pPr>
            <w:r>
              <w:rPr>
                <w:rFonts w:hint="eastAsia" w:ascii="Times New Roman"/>
                <w:bCs/>
                <w:szCs w:val="24"/>
                <w:highlight w:val="none"/>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highlight w:val="none"/>
              </w:rPr>
              <w:t>。 </w:t>
            </w:r>
          </w:p>
          <w:p w14:paraId="3F573602">
            <w:pPr>
              <w:numPr>
                <w:ilvl w:val="0"/>
                <w:numId w:val="0"/>
              </w:numPr>
              <w:spacing w:line="360" w:lineRule="auto"/>
              <w:ind w:leftChars="0"/>
              <w:rPr>
                <w:rFonts w:hint="eastAsia" w:ascii="Times New Roman" w:eastAsia="宋体"/>
                <w:bCs/>
                <w:szCs w:val="24"/>
                <w:highlight w:val="none"/>
                <w:lang w:eastAsia="zh-CN"/>
              </w:rPr>
            </w:pPr>
            <w:r>
              <w:rPr>
                <w:rFonts w:hint="eastAsia" w:ascii="Times New Roman"/>
                <w:bCs/>
                <w:szCs w:val="24"/>
                <w:highlight w:val="none"/>
                <w:lang w:eastAsia="zh-CN"/>
              </w:rPr>
              <w:t>②</w:t>
            </w:r>
            <w:r>
              <w:rPr>
                <w:rFonts w:hint="eastAsia" w:ascii="Times New Roman"/>
                <w:bCs/>
                <w:szCs w:val="24"/>
                <w:highlight w:val="none"/>
              </w:rPr>
              <w:t>废物运输车辆和运输人员必须具备从事危险废物运输经营的相关要求，并执有相关运输营业执照。</w:t>
            </w:r>
            <w:r>
              <w:rPr>
                <w:rFonts w:hint="eastAsia" w:ascii="Times New Roman"/>
                <w:bCs/>
                <w:szCs w:val="24"/>
                <w:highlight w:val="none"/>
                <w:lang w:eastAsia="zh-CN"/>
              </w:rPr>
              <w:t>驾驶员与押运员必须是认真负责，技术熟练，懂得危险货物运输的相关知识专业的驾驶员，非专业驾驶员不准运输危险货的。</w:t>
            </w:r>
          </w:p>
          <w:p w14:paraId="7915A44B">
            <w:pPr>
              <w:pStyle w:val="5"/>
              <w:rPr>
                <w:highlight w:val="none"/>
              </w:rPr>
            </w:pPr>
            <w:r>
              <w:rPr>
                <w:rFonts w:hint="eastAsia" w:ascii="Times New Roman"/>
                <w:bCs/>
                <w:szCs w:val="24"/>
                <w:highlight w:val="none"/>
                <w:lang w:eastAsia="zh-CN"/>
              </w:rPr>
              <w:t>③运输过程中发生翻车、撞击等意外事故时，不论何种情况，现场押运员、驾驶人员应立即采取相应措施进行救援防止事故扩大、恶化；并及时向处置中心报警。</w:t>
            </w:r>
          </w:p>
        </w:tc>
      </w:tr>
      <w:tr w14:paraId="3ADC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tcPr>
          <w:p w14:paraId="1DF968A4">
            <w:pPr>
              <w:rPr>
                <w:rFonts w:ascii="Times New Roman"/>
                <w:bCs/>
                <w:szCs w:val="24"/>
                <w:highlight w:val="none"/>
              </w:rPr>
            </w:pPr>
            <w:r>
              <w:rPr>
                <w:rFonts w:ascii="Times New Roman" w:hAnsi="Times New Roman"/>
                <w:bCs/>
                <w:szCs w:val="24"/>
                <w:highlight w:val="none"/>
              </w:rPr>
              <w:t>3</w:t>
            </w:r>
            <w:r>
              <w:rPr>
                <w:rFonts w:ascii="Times New Roman"/>
                <w:bCs/>
                <w:szCs w:val="24"/>
                <w:highlight w:val="none"/>
              </w:rPr>
              <w:t>、运输过程中的应急预案以及按照要求配备的相应应急设备</w:t>
            </w:r>
          </w:p>
          <w:p w14:paraId="5AEAB8BD">
            <w:pPr>
              <w:numPr>
                <w:ilvl w:val="0"/>
                <w:numId w:val="0"/>
              </w:numPr>
              <w:spacing w:line="360" w:lineRule="auto"/>
              <w:ind w:leftChars="0"/>
              <w:rPr>
                <w:rFonts w:hint="eastAsia" w:ascii="Times New Roman" w:hAnsi="Times New Roman"/>
                <w:szCs w:val="24"/>
                <w:highlight w:val="none"/>
              </w:rPr>
            </w:pPr>
            <w:r>
              <w:rPr>
                <w:rFonts w:hint="default" w:ascii="Times New Roman" w:hAnsi="Times New Roman"/>
                <w:szCs w:val="24"/>
                <w:highlight w:val="none"/>
              </w:rPr>
              <w:t>A</w:t>
            </w:r>
            <w:r>
              <w:rPr>
                <w:rFonts w:hint="eastAsia" w:ascii="Times New Roman" w:hAnsi="Times New Roman"/>
                <w:szCs w:val="24"/>
                <w:highlight w:val="none"/>
              </w:rPr>
              <w:t>、拉警戒线隔离泄漏污染区，限制人员靠近，并及时拨打公司</w:t>
            </w:r>
            <w:r>
              <w:rPr>
                <w:rFonts w:hint="eastAsia" w:ascii="Times New Roman" w:hAnsi="Times New Roman"/>
                <w:szCs w:val="24"/>
                <w:highlight w:val="none"/>
                <w:lang w:val="en-US" w:eastAsia="zh-CN"/>
              </w:rPr>
              <w:t>和</w:t>
            </w:r>
            <w:r>
              <w:rPr>
                <w:rFonts w:hint="eastAsia" w:ascii="Times New Roman" w:hAnsi="Times New Roman"/>
                <w:szCs w:val="24"/>
                <w:highlight w:val="none"/>
              </w:rPr>
              <w:t>当地辖区环保部门应急</w:t>
            </w:r>
          </w:p>
          <w:p w14:paraId="502F2752">
            <w:pPr>
              <w:spacing w:line="360" w:lineRule="auto"/>
              <w:rPr>
                <w:rFonts w:hint="eastAsia" w:ascii="Times New Roman" w:hAnsi="Times New Roman"/>
                <w:szCs w:val="24"/>
                <w:highlight w:val="none"/>
              </w:rPr>
            </w:pPr>
            <w:r>
              <w:rPr>
                <w:rFonts w:hint="eastAsia" w:ascii="Times New Roman" w:hAnsi="Times New Roman"/>
                <w:szCs w:val="24"/>
                <w:highlight w:val="none"/>
              </w:rPr>
              <w:t>救援电话。</w:t>
            </w:r>
          </w:p>
          <w:p w14:paraId="2CC6A4AC">
            <w:pPr>
              <w:spacing w:line="360" w:lineRule="auto"/>
              <w:rPr>
                <w:rFonts w:hint="eastAsia" w:ascii="Times New Roman" w:hAnsi="Times New Roman" w:eastAsia="宋体"/>
                <w:szCs w:val="24"/>
                <w:highlight w:val="none"/>
                <w:lang w:eastAsia="zh-CN"/>
              </w:rPr>
            </w:pPr>
            <w:r>
              <w:rPr>
                <w:rFonts w:hint="eastAsia" w:ascii="Times New Roman" w:hAnsi="Times New Roman"/>
                <w:szCs w:val="24"/>
                <w:highlight w:val="none"/>
              </w:rPr>
              <w:t> </w:t>
            </w:r>
            <w:r>
              <w:rPr>
                <w:rFonts w:hint="default" w:ascii="Times New Roman" w:hAnsi="Times New Roman"/>
                <w:szCs w:val="24"/>
                <w:highlight w:val="none"/>
              </w:rPr>
              <w:t>B</w:t>
            </w:r>
            <w:r>
              <w:rPr>
                <w:rFonts w:hint="eastAsia" w:ascii="Times New Roman" w:hAnsi="Times New Roman"/>
                <w:szCs w:val="24"/>
                <w:highlight w:val="none"/>
              </w:rPr>
              <w:t>、立即使用随车配备的应急</w:t>
            </w:r>
            <w:r>
              <w:rPr>
                <w:rFonts w:hint="eastAsia" w:ascii="Times New Roman" w:hAnsi="Times New Roman"/>
                <w:szCs w:val="24"/>
                <w:highlight w:val="none"/>
                <w:lang w:eastAsia="zh-CN"/>
              </w:rPr>
              <w:t>工具，收集、堵漏、清理</w:t>
            </w:r>
            <w:r>
              <w:rPr>
                <w:rFonts w:hint="eastAsia" w:ascii="Times New Roman" w:hAnsi="Times New Roman"/>
                <w:szCs w:val="24"/>
                <w:highlight w:val="none"/>
              </w:rPr>
              <w:t>。</w:t>
            </w:r>
            <w:r>
              <w:rPr>
                <w:rFonts w:hint="eastAsia" w:ascii="Times New Roman" w:hAnsi="Times New Roman"/>
                <w:szCs w:val="24"/>
                <w:highlight w:val="none"/>
                <w:lang w:eastAsia="zh-CN"/>
              </w:rPr>
              <w:t>如渗漏情况严重，应设置隔离区，禁止车辆和行人通过，避免污染物扩散和对行人造成伤害。</w:t>
            </w:r>
          </w:p>
          <w:p w14:paraId="73BAFAA2">
            <w:pPr>
              <w:spacing w:line="360" w:lineRule="auto"/>
              <w:rPr>
                <w:rFonts w:hint="eastAsia" w:ascii="Times New Roman" w:hAnsi="Times New Roman"/>
                <w:szCs w:val="24"/>
                <w:highlight w:val="none"/>
              </w:rPr>
            </w:pPr>
            <w:r>
              <w:rPr>
                <w:rFonts w:hint="eastAsia" w:ascii="Times New Roman" w:hAnsi="Times New Roman"/>
                <w:szCs w:val="24"/>
                <w:highlight w:val="none"/>
              </w:rPr>
              <w:t> </w:t>
            </w:r>
            <w:r>
              <w:rPr>
                <w:rFonts w:hint="default" w:ascii="Times New Roman" w:hAnsi="Times New Roman"/>
                <w:szCs w:val="24"/>
                <w:highlight w:val="none"/>
              </w:rPr>
              <w:t>C</w:t>
            </w:r>
            <w:r>
              <w:rPr>
                <w:rFonts w:hint="eastAsia" w:ascii="Times New Roman" w:hAnsi="Times New Roman"/>
                <w:szCs w:val="24"/>
                <w:highlight w:val="none"/>
              </w:rPr>
              <w:t>、应急人员佩戴好防护用具（口罩、护目镜、手套、工作服等）</w:t>
            </w:r>
          </w:p>
          <w:p w14:paraId="6DFAB3C7">
            <w:pPr>
              <w:spacing w:line="360" w:lineRule="auto"/>
              <w:rPr>
                <w:rFonts w:hint="eastAsia" w:ascii="Times New Roman" w:hAnsi="Times New Roman"/>
                <w:szCs w:val="24"/>
                <w:highlight w:val="none"/>
              </w:rPr>
            </w:pPr>
            <w:r>
              <w:rPr>
                <w:rFonts w:hint="eastAsia" w:ascii="Times New Roman" w:hAnsi="Times New Roman"/>
                <w:szCs w:val="24"/>
                <w:highlight w:val="none"/>
              </w:rPr>
              <w:t>，不得直接接触泄漏物</w:t>
            </w:r>
          </w:p>
          <w:p w14:paraId="3F71A237">
            <w:pPr>
              <w:numPr>
                <w:ilvl w:val="0"/>
                <w:numId w:val="2"/>
              </w:numPr>
              <w:spacing w:line="360" w:lineRule="auto"/>
              <w:ind w:left="52" w:leftChars="0" w:firstLine="0" w:firstLineChars="0"/>
              <w:rPr>
                <w:rFonts w:hint="eastAsia" w:ascii="Times New Roman" w:hAnsi="Times New Roman"/>
                <w:szCs w:val="24"/>
                <w:highlight w:val="none"/>
              </w:rPr>
            </w:pPr>
            <w:r>
              <w:rPr>
                <w:rFonts w:hint="eastAsia" w:ascii="Times New Roman" w:hAnsi="Times New Roman"/>
                <w:szCs w:val="24"/>
                <w:highlight w:val="none"/>
                <w:lang w:eastAsia="zh-CN"/>
              </w:rPr>
              <w:t>如果清理人员的身体不慎收到伤害，应及时采取措施处理，并到医院接受救治。</w:t>
            </w:r>
          </w:p>
          <w:p w14:paraId="5BB5CBC0">
            <w:pPr>
              <w:numPr>
                <w:ilvl w:val="0"/>
                <w:numId w:val="2"/>
              </w:numPr>
              <w:spacing w:line="360" w:lineRule="auto"/>
              <w:ind w:left="52" w:leftChars="0" w:firstLine="0" w:firstLineChars="0"/>
              <w:rPr>
                <w:rFonts w:ascii="Times New Roman" w:hAnsi="Times New Roman"/>
                <w:szCs w:val="24"/>
                <w:highlight w:val="none"/>
              </w:rPr>
            </w:pPr>
            <w:r>
              <w:rPr>
                <w:rFonts w:hint="eastAsia" w:ascii="Times New Roman" w:hAnsi="Times New Roman"/>
                <w:szCs w:val="24"/>
                <w:highlight w:val="none"/>
              </w:rPr>
              <w:t>对于受污染的土壤，可调节</w:t>
            </w:r>
            <w:r>
              <w:rPr>
                <w:rFonts w:hint="default" w:ascii="Times New Roman" w:hAnsi="Times New Roman"/>
                <w:szCs w:val="24"/>
                <w:highlight w:val="none"/>
              </w:rPr>
              <w:t>PH</w:t>
            </w:r>
            <w:r>
              <w:rPr>
                <w:rFonts w:hint="eastAsia" w:ascii="Times New Roman" w:hAnsi="Times New Roman"/>
                <w:szCs w:val="24"/>
                <w:highlight w:val="none"/>
              </w:rPr>
              <w:t>值，以减少对农作物的腐蚀性。再将中和后的土壤一并收集与编织袋中运往处理厂进行无害化处置。</w:t>
            </w:r>
          </w:p>
        </w:tc>
      </w:tr>
    </w:tbl>
    <w:p w14:paraId="4DDCE9ED">
      <w:pPr>
        <w:rPr>
          <w:rFonts w:ascii="Times New Roman" w:hAnsi="Times New Roman" w:eastAsia="黑体"/>
          <w:sz w:val="28"/>
          <w:szCs w:val="28"/>
          <w:highlight w:val="none"/>
        </w:rPr>
      </w:pPr>
      <w:r>
        <w:rPr>
          <w:rFonts w:ascii="Times New Roman" w:eastAsia="黑体"/>
          <w:sz w:val="28"/>
          <w:szCs w:val="28"/>
          <w:highlight w:val="none"/>
        </w:rPr>
        <w:t>第三部分</w:t>
      </w:r>
      <w:r>
        <w:rPr>
          <w:rFonts w:ascii="Times New Roman" w:hAnsi="Times New Roman" w:eastAsia="黑体"/>
          <w:sz w:val="28"/>
          <w:szCs w:val="28"/>
          <w:highlight w:val="none"/>
        </w:rPr>
        <w:t xml:space="preserve">   </w:t>
      </w:r>
      <w:r>
        <w:rPr>
          <w:rFonts w:ascii="Times New Roman" w:eastAsia="黑体"/>
          <w:sz w:val="28"/>
          <w:szCs w:val="28"/>
          <w:highlight w:val="none"/>
        </w:rPr>
        <w:t>废物处理处置情况</w:t>
      </w: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4577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4397FF8C">
            <w:pPr>
              <w:rPr>
                <w:rFonts w:ascii="Times New Roman" w:hAnsi="Times New Roman"/>
                <w:b/>
                <w:bCs/>
                <w:highlight w:val="none"/>
              </w:rPr>
            </w:pPr>
            <w:r>
              <w:rPr>
                <w:rFonts w:ascii="Times New Roman"/>
                <w:b/>
                <w:bCs/>
                <w:highlight w:val="none"/>
              </w:rPr>
              <w:t>表</w:t>
            </w:r>
            <w:r>
              <w:rPr>
                <w:rFonts w:ascii="Times New Roman" w:hAnsi="Times New Roman"/>
                <w:b/>
                <w:bCs/>
                <w:highlight w:val="none"/>
              </w:rPr>
              <w:t xml:space="preserve">1   </w:t>
            </w:r>
            <w:r>
              <w:rPr>
                <w:rFonts w:ascii="Times New Roman"/>
                <w:b/>
                <w:bCs/>
                <w:highlight w:val="none"/>
              </w:rPr>
              <w:t>接受单位基本情况</w:t>
            </w:r>
          </w:p>
        </w:tc>
      </w:tr>
      <w:tr w14:paraId="17B1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7D3688F0">
            <w:pPr>
              <w:rPr>
                <w:rFonts w:ascii="Times New Roman" w:hAnsi="Times New Roman"/>
                <w:highlight w:val="none"/>
              </w:rPr>
            </w:pPr>
            <w:r>
              <w:rPr>
                <w:rFonts w:ascii="Times New Roman"/>
                <w:highlight w:val="none"/>
              </w:rPr>
              <w:t>单位名称：</w:t>
            </w:r>
            <w:r>
              <w:rPr>
                <w:rFonts w:hint="eastAsia" w:ascii="Times New Roman"/>
                <w:highlight w:val="none"/>
              </w:rPr>
              <w:t>常州菲纳斯能源科技有限公司</w:t>
            </w:r>
          </w:p>
        </w:tc>
      </w:tr>
      <w:tr w14:paraId="15C8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0EA2D16F">
            <w:pPr>
              <w:rPr>
                <w:rFonts w:hint="eastAsia" w:ascii="Times New Roman" w:hAnsi="Times New Roman" w:eastAsiaTheme="minorEastAsia"/>
                <w:highlight w:val="none"/>
                <w:lang w:eastAsia="zh-CN"/>
              </w:rPr>
            </w:pPr>
            <w:r>
              <w:rPr>
                <w:rFonts w:ascii="Times New Roman"/>
                <w:highlight w:val="none"/>
              </w:rPr>
              <w:t>危废经营许可证编号：</w:t>
            </w:r>
            <w:r>
              <w:rPr>
                <w:rFonts w:hint="eastAsia" w:ascii="Times New Roman"/>
                <w:highlight w:val="none"/>
              </w:rPr>
              <w:t>JSCZ0413</w:t>
            </w:r>
            <w:r>
              <w:rPr>
                <w:rFonts w:hint="eastAsia" w:ascii="Times New Roman"/>
                <w:highlight w:val="none"/>
                <w:lang w:val="en-US" w:eastAsia="zh-CN"/>
              </w:rPr>
              <w:t>OO</w:t>
            </w:r>
            <w:r>
              <w:rPr>
                <w:rFonts w:hint="eastAsia" w:ascii="Times New Roman"/>
                <w:highlight w:val="none"/>
              </w:rPr>
              <w:t>D026-</w:t>
            </w:r>
            <w:r>
              <w:rPr>
                <w:rFonts w:hint="eastAsia" w:ascii="Times New Roman"/>
                <w:highlight w:val="none"/>
                <w:lang w:val="en-US" w:eastAsia="zh-CN"/>
              </w:rPr>
              <w:t>6</w:t>
            </w:r>
          </w:p>
        </w:tc>
        <w:tc>
          <w:tcPr>
            <w:tcW w:w="4200" w:type="dxa"/>
            <w:vAlign w:val="center"/>
          </w:tcPr>
          <w:p w14:paraId="58452370">
            <w:pPr>
              <w:rPr>
                <w:rFonts w:ascii="Times New Roman" w:hAnsi="Times New Roman"/>
                <w:highlight w:val="none"/>
              </w:rPr>
            </w:pPr>
            <w:r>
              <w:rPr>
                <w:rFonts w:ascii="Times New Roman"/>
                <w:highlight w:val="none"/>
              </w:rPr>
              <w:t>有效期：</w:t>
            </w:r>
            <w:r>
              <w:rPr>
                <w:rFonts w:hint="eastAsia" w:ascii="Times New Roman"/>
                <w:highlight w:val="none"/>
                <w:lang w:val="en-US" w:eastAsia="zh-CN"/>
              </w:rPr>
              <w:t>2024-11-12~2027-11-11</w:t>
            </w:r>
          </w:p>
        </w:tc>
      </w:tr>
      <w:tr w14:paraId="6984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tcPr>
          <w:p w14:paraId="2FB9A4F9">
            <w:pPr>
              <w:rPr>
                <w:rFonts w:ascii="Times New Roman" w:hAnsi="Times New Roman"/>
                <w:highlight w:val="none"/>
              </w:rPr>
            </w:pPr>
            <w:r>
              <w:rPr>
                <w:rFonts w:ascii="Times New Roman"/>
                <w:highlight w:val="none"/>
              </w:rPr>
              <w:t>经营核准内容（废物名称、类别、数量）：</w:t>
            </w:r>
            <w:r>
              <w:rPr>
                <w:rFonts w:hint="eastAsia" w:ascii="Times New Roman"/>
                <w:highlight w:val="none"/>
              </w:rPr>
              <w:t>处置、利用废矿物油（HW08），</w:t>
            </w:r>
            <w:r>
              <w:rPr>
                <w:rFonts w:hint="eastAsia" w:ascii="Times New Roman"/>
                <w:highlight w:val="none"/>
                <w:lang w:val="en-US" w:eastAsia="zh-CN"/>
              </w:rPr>
              <w:t>60</w:t>
            </w:r>
            <w:r>
              <w:rPr>
                <w:rFonts w:hint="eastAsia" w:ascii="Times New Roman"/>
                <w:highlight w:val="none"/>
              </w:rPr>
              <w:t>000吨/年</w:t>
            </w:r>
          </w:p>
        </w:tc>
      </w:tr>
    </w:tbl>
    <w:p w14:paraId="76EC69BF">
      <w:pPr>
        <w:rPr>
          <w:rFonts w:ascii="Times New Roman" w:hAnsi="Times New Roman"/>
          <w:highlight w:val="none"/>
        </w:rPr>
      </w:pP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33CA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vAlign w:val="center"/>
          </w:tcPr>
          <w:p w14:paraId="279646F4">
            <w:pPr>
              <w:rPr>
                <w:rFonts w:ascii="Times New Roman" w:hAnsi="Times New Roman"/>
                <w:b/>
                <w:bCs/>
                <w:highlight w:val="none"/>
              </w:rPr>
            </w:pPr>
            <w:r>
              <w:rPr>
                <w:rFonts w:ascii="Times New Roman"/>
                <w:b/>
                <w:bCs/>
                <w:highlight w:val="none"/>
              </w:rPr>
              <w:t>表</w:t>
            </w:r>
            <w:r>
              <w:rPr>
                <w:rFonts w:ascii="Times New Roman" w:hAnsi="Times New Roman"/>
                <w:b/>
                <w:bCs/>
                <w:highlight w:val="none"/>
              </w:rPr>
              <w:t xml:space="preserve">2   </w:t>
            </w:r>
            <w:r>
              <w:rPr>
                <w:rFonts w:ascii="Times New Roman"/>
                <w:b/>
                <w:bCs/>
                <w:highlight w:val="none"/>
              </w:rPr>
              <w:t>与接收废物相关的处理处置情况</w:t>
            </w:r>
          </w:p>
        </w:tc>
      </w:tr>
      <w:tr w14:paraId="112A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tcPr>
          <w:p w14:paraId="724D2A16">
            <w:pPr>
              <w:spacing w:line="300" w:lineRule="exact"/>
              <w:rPr>
                <w:highlight w:val="none"/>
              </w:rPr>
            </w:pPr>
            <w:r>
              <w:rPr>
                <w:highlight w:val="none"/>
              </w:rPr>
              <w:t>文字描述及工艺流程图</w:t>
            </w:r>
          </w:p>
          <w:p w14:paraId="054545E8">
            <w:pPr>
              <w:tabs>
                <w:tab w:val="left" w:pos="2896"/>
              </w:tabs>
              <w:spacing w:line="500" w:lineRule="exact"/>
              <w:ind w:firstLine="472" w:firstLineChars="225"/>
              <w:rPr>
                <w:rFonts w:hint="eastAsia" w:ascii="宋体" w:hAnsi="宋体" w:eastAsia="宋体" w:cs="宋体"/>
                <w:b/>
                <w:sz w:val="21"/>
                <w:szCs w:val="21"/>
                <w:highlight w:val="none"/>
              </w:rPr>
            </w:pPr>
            <w:r>
              <w:rPr>
                <w:rFonts w:hint="eastAsia" w:ascii="宋体" w:hAnsi="宋体" w:eastAsia="宋体" w:cs="宋体"/>
                <w:sz w:val="21"/>
                <w:szCs w:val="21"/>
                <w:highlight w:val="none"/>
              </w:rPr>
              <w:t>废油加氢精制联合装置包括预处理单元、减压蒸馏单元、加氢精制单元、废水、废气处理单元、甲醇制氢单元等5个单元组成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具体工艺描述如下：</w:t>
            </w:r>
          </w:p>
          <w:p w14:paraId="752DE2F0">
            <w:pPr>
              <w:tabs>
                <w:tab w:val="left" w:pos="2896"/>
              </w:tabs>
              <w:spacing w:line="500" w:lineRule="exact"/>
              <w:ind w:firstLine="474" w:firstLineChars="225"/>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 1 \* GB3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①</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预处理单元</w:t>
            </w:r>
          </w:p>
          <w:p w14:paraId="1ACF5656">
            <w:pPr>
              <w:tabs>
                <w:tab w:val="left" w:pos="2896"/>
              </w:tabs>
              <w:spacing w:line="500" w:lineRule="exact"/>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highlight w:val="none"/>
                <w:lang w:val="en-US" w:eastAsia="zh-CN"/>
              </w:rPr>
              <w:t>后进缓冲罐</w:t>
            </w:r>
            <w:r>
              <w:rPr>
                <w:rFonts w:hint="eastAsia" w:ascii="宋体" w:hAnsi="宋体" w:eastAsia="宋体" w:cs="宋体"/>
                <w:sz w:val="21"/>
                <w:szCs w:val="21"/>
                <w:highlight w:val="none"/>
              </w:rPr>
              <w:t>。</w:t>
            </w:r>
          </w:p>
          <w:p w14:paraId="7FB4FF01">
            <w:pPr>
              <w:tabs>
                <w:tab w:val="left" w:pos="2896"/>
              </w:tabs>
              <w:spacing w:line="500" w:lineRule="exact"/>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2244266D">
            <w:pPr>
              <w:adjustRightInd w:val="0"/>
              <w:snapToGrid w:val="0"/>
              <w:spacing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 2 \* GB3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②</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减压蒸馏单元</w:t>
            </w:r>
          </w:p>
          <w:p w14:paraId="39C2CC78">
            <w:pPr>
              <w:adjustRightInd w:val="0"/>
              <w:snapToGrid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62F7FCF9">
            <w:pPr>
              <w:adjustRightInd w:val="0"/>
              <w:snapToGrid w:val="0"/>
              <w:spacing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 3 \* GB3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③</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加氢精制单元</w:t>
            </w:r>
          </w:p>
          <w:p w14:paraId="3C36863C">
            <w:pPr>
              <w:adjustRightInd w:val="0"/>
              <w:snapToGrid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S、NH</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和氯离子。加氢后的油品进入高温脱氯反应器，氯离子与脱氯剂中的金属氧化物反应生成稳定的氯化物而截留在催化剂微孔中，脱氯后的产物进入热高压分离器中进行气液分离。</w:t>
            </w:r>
          </w:p>
          <w:p w14:paraId="246FCF56">
            <w:pPr>
              <w:adjustRightInd w:val="0"/>
              <w:snapToGrid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4C24C77">
            <w:pPr>
              <w:adjustRightInd w:val="0"/>
              <w:snapToGrid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来自热低压分离器和冷低压分离器底部的油品进入汽提塔，过热蒸汽从汽提塔底部吹入，以除去溶解在油品中反应生成的H</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S、NH</w:t>
            </w:r>
            <w:r>
              <w:rPr>
                <w:rFonts w:hint="eastAsia" w:ascii="宋体" w:hAnsi="宋体" w:eastAsia="宋体" w:cs="宋体"/>
                <w:sz w:val="21"/>
                <w:szCs w:val="21"/>
                <w:highlight w:val="none"/>
                <w:vertAlign w:val="subscript"/>
              </w:rPr>
              <w:t>3</w:t>
            </w:r>
            <w:r>
              <w:rPr>
                <w:rFonts w:hint="eastAsia" w:ascii="宋体" w:hAnsi="宋体" w:eastAsia="宋体" w:cs="宋体"/>
                <w:sz w:val="21"/>
                <w:szCs w:val="21"/>
                <w:highlight w:val="none"/>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120ED214">
            <w:pPr>
              <w:tabs>
                <w:tab w:val="left" w:pos="2896"/>
              </w:tabs>
              <w:spacing w:line="500" w:lineRule="exact"/>
              <w:ind w:firstLine="474" w:firstLineChars="225"/>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 4 \* GB3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④</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废水、废气处理单元</w:t>
            </w:r>
          </w:p>
          <w:p w14:paraId="6D2BC47B">
            <w:pPr>
              <w:tabs>
                <w:tab w:val="left" w:pos="2896"/>
              </w:tabs>
              <w:spacing w:line="500" w:lineRule="exact"/>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S与吸收反应器内的NaOH溶液进行酸碱反应，生产副产36%硫氢化钠，氨气送至氨水混合器，氨水罐内的氨水经氨水泵循环吸收氨气，待氨水罐内的氨水浓度达到20%时作为氨水产品外售。</w:t>
            </w:r>
          </w:p>
          <w:p w14:paraId="3F61687D">
            <w:pPr>
              <w:tabs>
                <w:tab w:val="left" w:pos="2896"/>
              </w:tabs>
              <w:spacing w:line="500" w:lineRule="exact"/>
              <w:ind w:firstLine="474" w:firstLineChars="225"/>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 5 \* GB3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⑤</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甲醇制氢单元</w:t>
            </w:r>
          </w:p>
          <w:p w14:paraId="666E5236">
            <w:pPr>
              <w:pStyle w:val="5"/>
              <w:rPr>
                <w:highlight w:val="none"/>
              </w:rPr>
            </w:pPr>
            <w:r>
              <w:rPr>
                <w:rFonts w:hint="eastAsia" w:ascii="宋体" w:hAnsi="宋体" w:eastAsia="宋体" w:cs="宋体"/>
                <w:sz w:val="21"/>
                <w:szCs w:val="21"/>
                <w:highlight w:val="none"/>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1D8A962E">
            <w:pPr>
              <w:spacing w:line="460" w:lineRule="exact"/>
              <w:ind w:firstLine="602" w:firstLineChars="200"/>
              <w:rPr>
                <w:rFonts w:ascii="楷体_GB2312" w:eastAsia="楷体_GB2312"/>
                <w:b/>
                <w:sz w:val="30"/>
                <w:szCs w:val="30"/>
                <w:highlight w:val="none"/>
              </w:rPr>
            </w:pPr>
            <w:r>
              <w:rPr>
                <w:rFonts w:hint="eastAsia" w:ascii="楷体_GB2312" w:eastAsia="楷体_GB2312"/>
                <w:b/>
                <w:sz w:val="30"/>
                <w:szCs w:val="30"/>
                <w:highlight w:val="none"/>
              </w:rPr>
              <w:t xml:space="preserve">  </w:t>
            </w:r>
          </w:p>
          <w:p w14:paraId="1EB23104">
            <w:pPr>
              <w:pStyle w:val="5"/>
              <w:rPr>
                <w:highlight w:val="none"/>
              </w:rPr>
            </w:pPr>
            <w:bookmarkStart w:id="0" w:name="_GoBack"/>
            <w:bookmarkEnd w:id="0"/>
          </w:p>
        </w:tc>
      </w:tr>
    </w:tbl>
    <w:p w14:paraId="0BD8523D">
      <w:pPr>
        <w:rPr>
          <w:rFonts w:ascii="Times New Roman" w:hAnsi="Times New Roman"/>
        </w:rPr>
        <w:sectPr>
          <w:pgSz w:w="11906" w:h="16838"/>
          <w:pgMar w:top="1440" w:right="1797" w:bottom="1440" w:left="1797" w:header="851" w:footer="992" w:gutter="0"/>
          <w:cols w:space="720" w:num="1"/>
          <w:docGrid w:type="lines" w:linePitch="312" w:charSpace="0"/>
        </w:sectPr>
      </w:pPr>
    </w:p>
    <w:p w14:paraId="32CB4400">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9"/>
        <w:tblW w:w="15255"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62"/>
        <w:gridCol w:w="1899"/>
        <w:gridCol w:w="1160"/>
        <w:gridCol w:w="1377"/>
        <w:gridCol w:w="1269"/>
        <w:gridCol w:w="2457"/>
        <w:gridCol w:w="1460"/>
        <w:gridCol w:w="1621"/>
        <w:gridCol w:w="1583"/>
      </w:tblGrid>
      <w:tr w14:paraId="41F4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660A86BC">
            <w:pPr>
              <w:jc w:val="center"/>
              <w:rPr>
                <w:rFonts w:ascii="Times New Roman" w:hAnsi="Times New Roman"/>
              </w:rPr>
            </w:pPr>
            <w:r>
              <w:rPr>
                <w:rFonts w:ascii="Times New Roman" w:hAnsi="宋体"/>
              </w:rPr>
              <w:t>出厂日期</w:t>
            </w:r>
          </w:p>
        </w:tc>
        <w:tc>
          <w:tcPr>
            <w:tcW w:w="1062" w:type="dxa"/>
            <w:vAlign w:val="center"/>
          </w:tcPr>
          <w:p w14:paraId="03272AE4">
            <w:pPr>
              <w:jc w:val="center"/>
              <w:rPr>
                <w:rFonts w:ascii="Times New Roman" w:hAnsi="Times New Roman"/>
              </w:rPr>
            </w:pPr>
            <w:r>
              <w:rPr>
                <w:rFonts w:ascii="Times New Roman" w:hAnsi="宋体"/>
              </w:rPr>
              <w:t>转移批次</w:t>
            </w:r>
          </w:p>
        </w:tc>
        <w:tc>
          <w:tcPr>
            <w:tcW w:w="1899" w:type="dxa"/>
            <w:vAlign w:val="center"/>
          </w:tcPr>
          <w:p w14:paraId="4E95E61D">
            <w:pPr>
              <w:jc w:val="center"/>
              <w:rPr>
                <w:rFonts w:ascii="Times New Roman" w:hAnsi="Times New Roman"/>
              </w:rPr>
            </w:pPr>
            <w:r>
              <w:rPr>
                <w:rFonts w:ascii="Times New Roman" w:hAnsi="宋体"/>
              </w:rPr>
              <w:t>联单编号</w:t>
            </w:r>
          </w:p>
        </w:tc>
        <w:tc>
          <w:tcPr>
            <w:tcW w:w="1160" w:type="dxa"/>
            <w:vAlign w:val="center"/>
          </w:tcPr>
          <w:p w14:paraId="0DC99B44">
            <w:pPr>
              <w:jc w:val="center"/>
              <w:rPr>
                <w:rFonts w:ascii="Times New Roman" w:hAnsi="Times New Roman"/>
              </w:rPr>
            </w:pPr>
            <w:r>
              <w:rPr>
                <w:rFonts w:ascii="Times New Roman" w:hAnsi="宋体"/>
              </w:rPr>
              <w:t>废物名称</w:t>
            </w:r>
          </w:p>
        </w:tc>
        <w:tc>
          <w:tcPr>
            <w:tcW w:w="1377" w:type="dxa"/>
            <w:vAlign w:val="center"/>
          </w:tcPr>
          <w:p w14:paraId="04D7BFCF">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269" w:type="dxa"/>
            <w:vAlign w:val="center"/>
          </w:tcPr>
          <w:p w14:paraId="6503B9F8">
            <w:pPr>
              <w:jc w:val="center"/>
              <w:rPr>
                <w:rFonts w:ascii="Times New Roman" w:hAnsi="Times New Roman"/>
              </w:rPr>
            </w:pPr>
            <w:r>
              <w:rPr>
                <w:rFonts w:ascii="Times New Roman" w:hAnsi="宋体"/>
              </w:rPr>
              <w:t>转移量（吨）</w:t>
            </w:r>
          </w:p>
        </w:tc>
        <w:tc>
          <w:tcPr>
            <w:tcW w:w="2457" w:type="dxa"/>
            <w:vAlign w:val="center"/>
          </w:tcPr>
          <w:p w14:paraId="7983D7B2">
            <w:pPr>
              <w:jc w:val="center"/>
              <w:rPr>
                <w:rFonts w:ascii="Times New Roman" w:hAnsi="Times New Roman"/>
              </w:rPr>
            </w:pPr>
            <w:r>
              <w:rPr>
                <w:rFonts w:ascii="Times New Roman"/>
              </w:rPr>
              <w:t>运输单位</w:t>
            </w:r>
          </w:p>
        </w:tc>
        <w:tc>
          <w:tcPr>
            <w:tcW w:w="1460" w:type="dxa"/>
            <w:vAlign w:val="center"/>
          </w:tcPr>
          <w:p w14:paraId="73D64547">
            <w:pPr>
              <w:jc w:val="center"/>
              <w:rPr>
                <w:rFonts w:ascii="Times New Roman" w:hAnsi="Times New Roman"/>
              </w:rPr>
            </w:pPr>
            <w:r>
              <w:rPr>
                <w:rFonts w:ascii="Times New Roman"/>
              </w:rPr>
              <w:t>车号</w:t>
            </w:r>
          </w:p>
        </w:tc>
        <w:tc>
          <w:tcPr>
            <w:tcW w:w="1621" w:type="dxa"/>
            <w:vAlign w:val="center"/>
          </w:tcPr>
          <w:p w14:paraId="67840893">
            <w:pPr>
              <w:jc w:val="center"/>
              <w:rPr>
                <w:rFonts w:ascii="Times New Roman" w:hAnsi="Times New Roman"/>
              </w:rPr>
            </w:pPr>
            <w:r>
              <w:rPr>
                <w:rFonts w:ascii="Times New Roman" w:hAnsi="宋体"/>
              </w:rPr>
              <w:t>接收单位</w:t>
            </w:r>
          </w:p>
        </w:tc>
        <w:tc>
          <w:tcPr>
            <w:tcW w:w="1583" w:type="dxa"/>
            <w:vAlign w:val="center"/>
          </w:tcPr>
          <w:p w14:paraId="127360C1">
            <w:pPr>
              <w:jc w:val="center"/>
              <w:rPr>
                <w:rFonts w:ascii="Times New Roman" w:hAnsi="Times New Roman"/>
              </w:rPr>
            </w:pPr>
            <w:r>
              <w:rPr>
                <w:rFonts w:ascii="Times New Roman" w:hAnsi="宋体"/>
              </w:rPr>
              <w:t>接收日期</w:t>
            </w:r>
          </w:p>
        </w:tc>
      </w:tr>
      <w:tr w14:paraId="5D3E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72AFB785">
            <w:pPr>
              <w:keepNext w:val="0"/>
              <w:keepLines w:val="0"/>
              <w:widowControl/>
              <w:suppressLineNumbers w:val="0"/>
              <w:jc w:val="center"/>
              <w:textAlignment w:val="center"/>
            </w:pPr>
          </w:p>
        </w:tc>
        <w:tc>
          <w:tcPr>
            <w:tcW w:w="1062" w:type="dxa"/>
          </w:tcPr>
          <w:p w14:paraId="3699F768">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1</w:t>
            </w:r>
          </w:p>
        </w:tc>
        <w:tc>
          <w:tcPr>
            <w:tcW w:w="1899" w:type="dxa"/>
            <w:vAlign w:val="center"/>
          </w:tcPr>
          <w:p w14:paraId="44EE096E">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20243101247061</w:t>
            </w:r>
          </w:p>
        </w:tc>
        <w:tc>
          <w:tcPr>
            <w:tcW w:w="1160" w:type="dxa"/>
            <w:vAlign w:val="center"/>
          </w:tcPr>
          <w:p w14:paraId="0B2AC404">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5AE5C51A">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900-214-08</w:t>
            </w:r>
          </w:p>
        </w:tc>
        <w:tc>
          <w:tcPr>
            <w:tcW w:w="1269" w:type="dxa"/>
            <w:vAlign w:val="center"/>
          </w:tcPr>
          <w:p w14:paraId="38A11262">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30.249</w:t>
            </w:r>
          </w:p>
        </w:tc>
        <w:tc>
          <w:tcPr>
            <w:tcW w:w="2457" w:type="dxa"/>
            <w:vAlign w:val="center"/>
          </w:tcPr>
          <w:p w14:paraId="3F0FA93C">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60510208">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w:t>
            </w:r>
          </w:p>
        </w:tc>
        <w:tc>
          <w:tcPr>
            <w:tcW w:w="1621" w:type="dxa"/>
            <w:vAlign w:val="center"/>
          </w:tcPr>
          <w:p w14:paraId="3BACDC08">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3F9AA523">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2024-11-12 14:35:05.000</w:t>
            </w:r>
          </w:p>
        </w:tc>
      </w:tr>
      <w:tr w14:paraId="76C1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31FD5043">
            <w:pPr>
              <w:keepNext w:val="0"/>
              <w:keepLines w:val="0"/>
              <w:widowControl/>
              <w:suppressLineNumbers w:val="0"/>
              <w:jc w:val="center"/>
              <w:textAlignment w:val="center"/>
            </w:pPr>
          </w:p>
        </w:tc>
        <w:tc>
          <w:tcPr>
            <w:tcW w:w="1062" w:type="dxa"/>
          </w:tcPr>
          <w:p w14:paraId="66A5B9AD">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2</w:t>
            </w:r>
          </w:p>
        </w:tc>
        <w:tc>
          <w:tcPr>
            <w:tcW w:w="1899" w:type="dxa"/>
            <w:vAlign w:val="center"/>
          </w:tcPr>
          <w:p w14:paraId="7FFC95EC">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20243101247062</w:t>
            </w:r>
          </w:p>
        </w:tc>
        <w:tc>
          <w:tcPr>
            <w:tcW w:w="1160" w:type="dxa"/>
            <w:vAlign w:val="center"/>
          </w:tcPr>
          <w:p w14:paraId="6C117194">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2C2F53F2">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900-249-08</w:t>
            </w:r>
          </w:p>
        </w:tc>
        <w:tc>
          <w:tcPr>
            <w:tcW w:w="1269" w:type="dxa"/>
            <w:vAlign w:val="center"/>
          </w:tcPr>
          <w:p w14:paraId="60F9CF9C">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1.561</w:t>
            </w:r>
          </w:p>
        </w:tc>
        <w:tc>
          <w:tcPr>
            <w:tcW w:w="2457" w:type="dxa"/>
            <w:vAlign w:val="center"/>
          </w:tcPr>
          <w:p w14:paraId="6077569A">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4C3FB3CF">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w:t>
            </w:r>
          </w:p>
        </w:tc>
        <w:tc>
          <w:tcPr>
            <w:tcW w:w="1621" w:type="dxa"/>
            <w:vAlign w:val="center"/>
          </w:tcPr>
          <w:p w14:paraId="33769C25">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2CAD93A4">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2024-11-12 14:34:32.000</w:t>
            </w:r>
          </w:p>
        </w:tc>
      </w:tr>
      <w:tr w14:paraId="6B3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4518A77D">
            <w:pPr>
              <w:keepNext w:val="0"/>
              <w:keepLines w:val="0"/>
              <w:widowControl/>
              <w:suppressLineNumbers w:val="0"/>
              <w:jc w:val="center"/>
              <w:textAlignment w:val="center"/>
            </w:pPr>
          </w:p>
        </w:tc>
        <w:tc>
          <w:tcPr>
            <w:tcW w:w="1062" w:type="dxa"/>
          </w:tcPr>
          <w:p w14:paraId="6BA5ABAB">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3</w:t>
            </w:r>
          </w:p>
        </w:tc>
        <w:tc>
          <w:tcPr>
            <w:tcW w:w="1899" w:type="dxa"/>
            <w:vAlign w:val="center"/>
          </w:tcPr>
          <w:p w14:paraId="0B602E1B">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20243101245352</w:t>
            </w:r>
          </w:p>
        </w:tc>
        <w:tc>
          <w:tcPr>
            <w:tcW w:w="1160" w:type="dxa"/>
            <w:vAlign w:val="center"/>
          </w:tcPr>
          <w:p w14:paraId="15E44F1D">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02830AA0">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900-214-08</w:t>
            </w:r>
          </w:p>
        </w:tc>
        <w:tc>
          <w:tcPr>
            <w:tcW w:w="1269" w:type="dxa"/>
            <w:vAlign w:val="center"/>
          </w:tcPr>
          <w:p w14:paraId="16CF08EC">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32.83</w:t>
            </w:r>
          </w:p>
        </w:tc>
        <w:tc>
          <w:tcPr>
            <w:tcW w:w="2457" w:type="dxa"/>
            <w:vAlign w:val="center"/>
          </w:tcPr>
          <w:p w14:paraId="41898692">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6B074925">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苏J86652</w:t>
            </w:r>
          </w:p>
        </w:tc>
        <w:tc>
          <w:tcPr>
            <w:tcW w:w="1621" w:type="dxa"/>
            <w:vAlign w:val="center"/>
          </w:tcPr>
          <w:p w14:paraId="1F243BBC">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1BDB49B0">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2024-11-11 09:26:43.000</w:t>
            </w:r>
          </w:p>
        </w:tc>
      </w:tr>
      <w:tr w14:paraId="5A44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4E17EE28">
            <w:pPr>
              <w:keepNext w:val="0"/>
              <w:keepLines w:val="0"/>
              <w:widowControl/>
              <w:suppressLineNumbers w:val="0"/>
              <w:jc w:val="center"/>
              <w:textAlignment w:val="center"/>
            </w:pPr>
          </w:p>
        </w:tc>
        <w:tc>
          <w:tcPr>
            <w:tcW w:w="1062" w:type="dxa"/>
          </w:tcPr>
          <w:p w14:paraId="5F9AAC7E">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4</w:t>
            </w:r>
          </w:p>
        </w:tc>
        <w:tc>
          <w:tcPr>
            <w:tcW w:w="1899" w:type="dxa"/>
            <w:vAlign w:val="center"/>
          </w:tcPr>
          <w:p w14:paraId="511DE39D">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20243101234069</w:t>
            </w:r>
          </w:p>
        </w:tc>
        <w:tc>
          <w:tcPr>
            <w:tcW w:w="1160" w:type="dxa"/>
            <w:vAlign w:val="center"/>
          </w:tcPr>
          <w:p w14:paraId="3B79AE8C">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6920C44E">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900-214-08</w:t>
            </w:r>
          </w:p>
        </w:tc>
        <w:tc>
          <w:tcPr>
            <w:tcW w:w="1269" w:type="dxa"/>
            <w:vAlign w:val="center"/>
          </w:tcPr>
          <w:p w14:paraId="04A11692">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32.21</w:t>
            </w:r>
          </w:p>
        </w:tc>
        <w:tc>
          <w:tcPr>
            <w:tcW w:w="2457" w:type="dxa"/>
            <w:vAlign w:val="center"/>
          </w:tcPr>
          <w:p w14:paraId="780FD20E">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40DBC2CF">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w:t>
            </w:r>
          </w:p>
        </w:tc>
        <w:tc>
          <w:tcPr>
            <w:tcW w:w="1621" w:type="dxa"/>
            <w:vAlign w:val="center"/>
          </w:tcPr>
          <w:p w14:paraId="16EC5552">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74863E80">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2024-10-29 09:27:40.000</w:t>
            </w:r>
          </w:p>
        </w:tc>
      </w:tr>
      <w:tr w14:paraId="794B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0A808CF8">
            <w:pPr>
              <w:keepNext w:val="0"/>
              <w:keepLines w:val="0"/>
              <w:widowControl/>
              <w:suppressLineNumbers w:val="0"/>
              <w:jc w:val="center"/>
              <w:textAlignment w:val="center"/>
            </w:pPr>
          </w:p>
        </w:tc>
        <w:tc>
          <w:tcPr>
            <w:tcW w:w="1062" w:type="dxa"/>
          </w:tcPr>
          <w:p w14:paraId="34A03B7E">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5</w:t>
            </w:r>
          </w:p>
        </w:tc>
        <w:tc>
          <w:tcPr>
            <w:tcW w:w="1899" w:type="dxa"/>
            <w:vAlign w:val="center"/>
          </w:tcPr>
          <w:p w14:paraId="0318EE34">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20243101226184</w:t>
            </w:r>
          </w:p>
        </w:tc>
        <w:tc>
          <w:tcPr>
            <w:tcW w:w="1160" w:type="dxa"/>
            <w:vAlign w:val="center"/>
          </w:tcPr>
          <w:p w14:paraId="50B86D24">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12ABC043">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900-214-08</w:t>
            </w:r>
          </w:p>
        </w:tc>
        <w:tc>
          <w:tcPr>
            <w:tcW w:w="1269" w:type="dxa"/>
            <w:vAlign w:val="center"/>
          </w:tcPr>
          <w:p w14:paraId="390C8478">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28.025</w:t>
            </w:r>
          </w:p>
        </w:tc>
        <w:tc>
          <w:tcPr>
            <w:tcW w:w="2457" w:type="dxa"/>
            <w:vAlign w:val="center"/>
          </w:tcPr>
          <w:p w14:paraId="77C782AB">
            <w:pPr>
              <w:keepNext w:val="0"/>
              <w:keepLines w:val="0"/>
              <w:widowControl/>
              <w:suppressLineNumbers w:val="0"/>
              <w:jc w:val="left"/>
              <w:textAlignment w:val="center"/>
              <w:rPr>
                <w:rFonts w:hint="default" w:ascii="Times New Roman" w:hAnsi="Times New Roman"/>
                <w:lang w:val="en-US"/>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57BE5CC5">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w:t>
            </w:r>
          </w:p>
        </w:tc>
        <w:tc>
          <w:tcPr>
            <w:tcW w:w="1621" w:type="dxa"/>
            <w:vAlign w:val="center"/>
          </w:tcPr>
          <w:p w14:paraId="510F2DBA">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197B7861">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2024-10-19 14:21:48.000</w:t>
            </w:r>
          </w:p>
        </w:tc>
      </w:tr>
      <w:tr w14:paraId="282B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04F0786B">
            <w:pPr>
              <w:keepNext w:val="0"/>
              <w:keepLines w:val="0"/>
              <w:widowControl/>
              <w:suppressLineNumbers w:val="0"/>
              <w:jc w:val="center"/>
              <w:textAlignment w:val="center"/>
            </w:pPr>
          </w:p>
        </w:tc>
        <w:tc>
          <w:tcPr>
            <w:tcW w:w="1062" w:type="dxa"/>
          </w:tcPr>
          <w:p w14:paraId="51FB2164">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6</w:t>
            </w:r>
          </w:p>
        </w:tc>
        <w:tc>
          <w:tcPr>
            <w:tcW w:w="1899" w:type="dxa"/>
            <w:vAlign w:val="center"/>
          </w:tcPr>
          <w:p w14:paraId="719EEF7D">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20243101226172</w:t>
            </w:r>
          </w:p>
        </w:tc>
        <w:tc>
          <w:tcPr>
            <w:tcW w:w="1160" w:type="dxa"/>
            <w:vAlign w:val="center"/>
          </w:tcPr>
          <w:p w14:paraId="3014D7E4">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5F9BDEDA">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900-249-08</w:t>
            </w:r>
          </w:p>
        </w:tc>
        <w:tc>
          <w:tcPr>
            <w:tcW w:w="1269" w:type="dxa"/>
            <w:vAlign w:val="center"/>
          </w:tcPr>
          <w:p w14:paraId="1BDC4ACA">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4.345</w:t>
            </w:r>
          </w:p>
        </w:tc>
        <w:tc>
          <w:tcPr>
            <w:tcW w:w="2457" w:type="dxa"/>
            <w:vAlign w:val="center"/>
          </w:tcPr>
          <w:p w14:paraId="50F9161F">
            <w:pPr>
              <w:keepNext w:val="0"/>
              <w:keepLines w:val="0"/>
              <w:widowControl/>
              <w:suppressLineNumbers w:val="0"/>
              <w:jc w:val="left"/>
              <w:textAlignment w:val="center"/>
              <w:rPr>
                <w:rFonts w:hint="default" w:ascii="Times New Roman" w:hAnsi="Times New Roman"/>
                <w:lang w:val="en-US"/>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298C9D29">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w:t>
            </w:r>
          </w:p>
        </w:tc>
        <w:tc>
          <w:tcPr>
            <w:tcW w:w="1621" w:type="dxa"/>
            <w:vAlign w:val="center"/>
          </w:tcPr>
          <w:p w14:paraId="711D4DC7">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5AC22FF3">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2024-10-19 14:18:21.000</w:t>
            </w:r>
          </w:p>
        </w:tc>
      </w:tr>
      <w:tr w14:paraId="1F9A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6C59EA36">
            <w:pPr>
              <w:keepNext w:val="0"/>
              <w:keepLines w:val="0"/>
              <w:widowControl/>
              <w:suppressLineNumbers w:val="0"/>
              <w:jc w:val="center"/>
              <w:textAlignment w:val="center"/>
            </w:pPr>
          </w:p>
        </w:tc>
        <w:tc>
          <w:tcPr>
            <w:tcW w:w="1062" w:type="dxa"/>
          </w:tcPr>
          <w:p w14:paraId="7A39AE21">
            <w:pPr>
              <w:spacing w:line="720" w:lineRule="auto"/>
              <w:jc w:val="center"/>
              <w:rPr>
                <w:rFonts w:hint="default" w:ascii="Times New Roman" w:hAnsi="Times New Roman" w:eastAsiaTheme="minorEastAsia"/>
                <w:lang w:val="en-US" w:eastAsia="zh-CN"/>
              </w:rPr>
            </w:pPr>
            <w:r>
              <w:rPr>
                <w:rFonts w:hint="eastAsia" w:ascii="Times New Roman" w:hAnsi="Times New Roman"/>
                <w:lang w:val="en-US" w:eastAsia="zh-CN"/>
              </w:rPr>
              <w:t>7</w:t>
            </w:r>
          </w:p>
        </w:tc>
        <w:tc>
          <w:tcPr>
            <w:tcW w:w="1899" w:type="dxa"/>
            <w:vAlign w:val="center"/>
          </w:tcPr>
          <w:p w14:paraId="74F82DD8">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20243101216953</w:t>
            </w:r>
          </w:p>
        </w:tc>
        <w:tc>
          <w:tcPr>
            <w:tcW w:w="1160" w:type="dxa"/>
            <w:vAlign w:val="center"/>
          </w:tcPr>
          <w:p w14:paraId="42AF80BE">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废矿物油</w:t>
            </w:r>
          </w:p>
        </w:tc>
        <w:tc>
          <w:tcPr>
            <w:tcW w:w="1377" w:type="dxa"/>
            <w:vAlign w:val="center"/>
          </w:tcPr>
          <w:p w14:paraId="5B72A588">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900-214-08</w:t>
            </w:r>
          </w:p>
        </w:tc>
        <w:tc>
          <w:tcPr>
            <w:tcW w:w="1269" w:type="dxa"/>
            <w:vAlign w:val="center"/>
          </w:tcPr>
          <w:p w14:paraId="5AFA8062">
            <w:pPr>
              <w:keepNext w:val="0"/>
              <w:keepLines w:val="0"/>
              <w:widowControl/>
              <w:suppressLineNumbers w:val="0"/>
              <w:jc w:val="right"/>
              <w:textAlignment w:val="center"/>
            </w:pPr>
            <w:r>
              <w:rPr>
                <w:rFonts w:hint="eastAsia" w:ascii="等线" w:hAnsi="等线" w:eastAsia="等线" w:cs="等线"/>
                <w:i w:val="0"/>
                <w:iCs w:val="0"/>
                <w:color w:val="000000"/>
                <w:kern w:val="0"/>
                <w:sz w:val="22"/>
                <w:szCs w:val="22"/>
                <w:u w:val="none"/>
                <w:lang w:val="en-US" w:eastAsia="zh-CN" w:bidi="ar"/>
              </w:rPr>
              <w:t>32.3</w:t>
            </w:r>
          </w:p>
        </w:tc>
        <w:tc>
          <w:tcPr>
            <w:tcW w:w="2457" w:type="dxa"/>
            <w:vAlign w:val="center"/>
          </w:tcPr>
          <w:p w14:paraId="14B3937A">
            <w:pPr>
              <w:keepNext w:val="0"/>
              <w:keepLines w:val="0"/>
              <w:widowControl/>
              <w:suppressLineNumbers w:val="0"/>
              <w:jc w:val="left"/>
              <w:textAlignment w:val="center"/>
              <w:rPr>
                <w:rFonts w:hint="default" w:ascii="Times New Roman" w:hAnsi="Times New Roman"/>
                <w:lang w:val="en-US"/>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5217C71B">
            <w:pPr>
              <w:keepNext w:val="0"/>
              <w:keepLines w:val="0"/>
              <w:widowControl/>
              <w:suppressLineNumbers w:val="0"/>
              <w:jc w:val="left"/>
              <w:textAlignment w:val="center"/>
            </w:pPr>
            <w:r>
              <w:rPr>
                <w:rFonts w:hint="eastAsia" w:ascii="等线" w:hAnsi="等线" w:eastAsia="等线" w:cs="等线"/>
                <w:i w:val="0"/>
                <w:iCs w:val="0"/>
                <w:color w:val="000000"/>
                <w:kern w:val="0"/>
                <w:sz w:val="22"/>
                <w:szCs w:val="22"/>
                <w:u w:val="none"/>
                <w:lang w:val="en-US" w:eastAsia="zh-CN" w:bidi="ar"/>
              </w:rPr>
              <w:t>苏JQ1339 / 苏JUS95挂</w:t>
            </w:r>
          </w:p>
        </w:tc>
        <w:tc>
          <w:tcPr>
            <w:tcW w:w="1621" w:type="dxa"/>
            <w:vAlign w:val="center"/>
          </w:tcPr>
          <w:p w14:paraId="3EC7EC00">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583" w:type="dxa"/>
            <w:vAlign w:val="center"/>
          </w:tcPr>
          <w:p w14:paraId="11FF6C61">
            <w:pPr>
              <w:keepNext w:val="0"/>
              <w:keepLines w:val="0"/>
              <w:widowControl/>
              <w:suppressLineNumbers w:val="0"/>
              <w:jc w:val="center"/>
              <w:textAlignment w:val="center"/>
            </w:pPr>
            <w:r>
              <w:rPr>
                <w:rFonts w:hint="eastAsia" w:ascii="等线" w:hAnsi="等线" w:eastAsia="等线" w:cs="等线"/>
                <w:i w:val="0"/>
                <w:iCs w:val="0"/>
                <w:color w:val="000000"/>
                <w:kern w:val="0"/>
                <w:sz w:val="22"/>
                <w:szCs w:val="22"/>
                <w:u w:val="none"/>
                <w:lang w:val="en-US" w:eastAsia="zh-CN" w:bidi="ar"/>
              </w:rPr>
              <w:t>2024-10-11 08:30:45.000</w:t>
            </w:r>
          </w:p>
        </w:tc>
      </w:tr>
      <w:tr w14:paraId="18D4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tcPr>
          <w:p w14:paraId="5BDA480A">
            <w:pPr>
              <w:jc w:val="left"/>
              <w:rPr>
                <w:rFonts w:ascii="Times New Roman" w:hAnsi="Times New Roman"/>
              </w:rPr>
            </w:pPr>
            <w:r>
              <w:rPr>
                <w:rFonts w:ascii="Times New Roman"/>
              </w:rPr>
              <w:t>合计</w:t>
            </w:r>
          </w:p>
        </w:tc>
        <w:tc>
          <w:tcPr>
            <w:tcW w:w="1062" w:type="dxa"/>
          </w:tcPr>
          <w:p w14:paraId="17F94105">
            <w:pPr>
              <w:jc w:val="left"/>
              <w:rPr>
                <w:rFonts w:ascii="Times New Roman" w:hAnsi="Times New Roman"/>
              </w:rPr>
            </w:pPr>
          </w:p>
        </w:tc>
        <w:tc>
          <w:tcPr>
            <w:tcW w:w="1899" w:type="dxa"/>
          </w:tcPr>
          <w:p w14:paraId="5DC0142C">
            <w:pPr>
              <w:jc w:val="left"/>
              <w:rPr>
                <w:rFonts w:ascii="Times New Roman" w:hAnsi="Times New Roman"/>
              </w:rPr>
            </w:pPr>
          </w:p>
        </w:tc>
        <w:tc>
          <w:tcPr>
            <w:tcW w:w="1160" w:type="dxa"/>
          </w:tcPr>
          <w:p w14:paraId="0608DE19">
            <w:pPr>
              <w:jc w:val="left"/>
              <w:rPr>
                <w:rFonts w:ascii="Times New Roman" w:hAnsi="Times New Roman"/>
              </w:rPr>
            </w:pPr>
          </w:p>
        </w:tc>
        <w:tc>
          <w:tcPr>
            <w:tcW w:w="1377" w:type="dxa"/>
          </w:tcPr>
          <w:p w14:paraId="3CA88ED5">
            <w:pPr>
              <w:jc w:val="left"/>
              <w:rPr>
                <w:rFonts w:ascii="Times New Roman" w:hAnsi="Times New Roman"/>
              </w:rPr>
            </w:pPr>
          </w:p>
        </w:tc>
        <w:tc>
          <w:tcPr>
            <w:tcW w:w="1269" w:type="dxa"/>
          </w:tcPr>
          <w:p w14:paraId="7F66CA5C">
            <w:pPr>
              <w:jc w:val="left"/>
              <w:rPr>
                <w:rFonts w:ascii="Times New Roman" w:hAnsi="Times New Roman"/>
              </w:rPr>
            </w:pPr>
          </w:p>
        </w:tc>
        <w:tc>
          <w:tcPr>
            <w:tcW w:w="2457" w:type="dxa"/>
          </w:tcPr>
          <w:p w14:paraId="334B5612">
            <w:pPr>
              <w:jc w:val="left"/>
              <w:rPr>
                <w:rFonts w:ascii="Times New Roman" w:hAnsi="Times New Roman"/>
              </w:rPr>
            </w:pPr>
          </w:p>
        </w:tc>
        <w:tc>
          <w:tcPr>
            <w:tcW w:w="1460" w:type="dxa"/>
          </w:tcPr>
          <w:p w14:paraId="478B2EE1">
            <w:pPr>
              <w:jc w:val="left"/>
              <w:rPr>
                <w:rFonts w:ascii="Times New Roman" w:hAnsi="Times New Roman"/>
              </w:rPr>
            </w:pPr>
          </w:p>
        </w:tc>
        <w:tc>
          <w:tcPr>
            <w:tcW w:w="1621" w:type="dxa"/>
          </w:tcPr>
          <w:p w14:paraId="01A5D26D">
            <w:pPr>
              <w:jc w:val="left"/>
              <w:rPr>
                <w:rFonts w:ascii="Times New Roman" w:hAnsi="Times New Roman"/>
              </w:rPr>
            </w:pPr>
          </w:p>
        </w:tc>
        <w:tc>
          <w:tcPr>
            <w:tcW w:w="1583" w:type="dxa"/>
          </w:tcPr>
          <w:p w14:paraId="383F4B0D">
            <w:pPr>
              <w:jc w:val="left"/>
              <w:rPr>
                <w:rFonts w:ascii="Times New Roman" w:hAnsi="Times New Roman"/>
              </w:rPr>
            </w:pPr>
          </w:p>
        </w:tc>
      </w:tr>
    </w:tbl>
    <w:p w14:paraId="4E8253F5">
      <w:pPr>
        <w:spacing w:line="440" w:lineRule="exact"/>
        <w:jc w:val="left"/>
        <w:rPr>
          <w:rFonts w:ascii="Times New Roman" w:hAnsi="Times New Roman"/>
        </w:rPr>
      </w:pPr>
      <w:r>
        <w:rPr>
          <w:rFonts w:ascii="Times New Roman"/>
        </w:rPr>
        <w:t>注：每种废物请填写合计量</w:t>
      </w:r>
    </w:p>
    <w:p w14:paraId="330A80AB">
      <w:pPr>
        <w:spacing w:line="440" w:lineRule="exact"/>
        <w:ind w:firstLine="420" w:firstLineChars="200"/>
        <w:jc w:val="left"/>
      </w:pPr>
      <w:r>
        <w:rPr>
          <w:rFonts w:ascii="Times New Roman"/>
        </w:rPr>
        <w:t>首次申请不需填</w:t>
      </w:r>
      <w:r>
        <w:rPr>
          <w:rFonts w:hint="eastAsia" w:ascii="Times New Roman"/>
          <w:lang w:val="en-US" w:eastAsia="zh-CN"/>
        </w:rPr>
        <w:t>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964C2-9781-4CA3-B11D-6DDBC4289C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A0E7B6D8-05A3-49F7-ADA8-E2FBFCE3726A}"/>
  </w:font>
  <w:font w:name="方正小标宋_GBK">
    <w:panose1 w:val="02000000000000000000"/>
    <w:charset w:val="86"/>
    <w:family w:val="script"/>
    <w:pitch w:val="default"/>
    <w:sig w:usb0="A00002BF" w:usb1="38CF7CFA" w:usb2="00082016" w:usb3="00000000" w:csb0="00040001" w:csb1="00000000"/>
    <w:embedRegular r:id="rId3" w:fontKey="{13B14826-20F1-4FB5-9ED4-C8F19E94730C}"/>
  </w:font>
  <w:font w:name="楷体_GB2312">
    <w:panose1 w:val="02010609030101010101"/>
    <w:charset w:val="86"/>
    <w:family w:val="modern"/>
    <w:pitch w:val="default"/>
    <w:sig w:usb0="00000001" w:usb1="080E0000" w:usb2="00000000" w:usb3="00000000" w:csb0="00040000" w:csb1="00000000"/>
    <w:embedRegular r:id="rId4" w:fontKey="{D02F3E0A-95EA-4692-9208-A4575F253F6E}"/>
  </w:font>
  <w:font w:name="仿宋">
    <w:panose1 w:val="02010609060101010101"/>
    <w:charset w:val="86"/>
    <w:family w:val="modern"/>
    <w:pitch w:val="default"/>
    <w:sig w:usb0="800002BF" w:usb1="38CF7CFA" w:usb2="00000016" w:usb3="00000000" w:csb0="00040001" w:csb1="00000000"/>
    <w:embedRegular r:id="rId5" w:fontKey="{0E6A131F-CB0A-44AE-8E66-90726C08A24F}"/>
  </w:font>
  <w:font w:name="Wingdings 2">
    <w:panose1 w:val="05020102010507070707"/>
    <w:charset w:val="02"/>
    <w:family w:val="roman"/>
    <w:pitch w:val="default"/>
    <w:sig w:usb0="00000000" w:usb1="00000000" w:usb2="00000000" w:usb3="00000000" w:csb0="80000000" w:csb1="00000000"/>
    <w:embedRegular r:id="rId6" w:fontKey="{C20462CD-021D-40C4-B02F-CBB929ECD375}"/>
  </w:font>
  <w:font w:name="等线">
    <w:panose1 w:val="02010600030101010101"/>
    <w:charset w:val="86"/>
    <w:family w:val="auto"/>
    <w:pitch w:val="default"/>
    <w:sig w:usb0="A00002BF" w:usb1="38CF7CFA" w:usb2="00000016" w:usb3="00000000" w:csb0="0004000F" w:csb1="00000000"/>
    <w:embedRegular r:id="rId7" w:fontKey="{D0BED760-26BE-4BEB-AFE0-79ACB0D018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1758">
    <w:pPr>
      <w:pStyle w:val="7"/>
      <w:framePr w:wrap="around" w:vAnchor="text" w:hAnchor="margin" w:xAlign="center" w:y="1"/>
      <w:rPr>
        <w:rStyle w:val="11"/>
      </w:rPr>
    </w:pPr>
  </w:p>
  <w:p w14:paraId="024061C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280C6"/>
    <w:multiLevelType w:val="singleLevel"/>
    <w:tmpl w:val="BFA280C6"/>
    <w:lvl w:ilvl="0" w:tentative="0">
      <w:start w:val="2"/>
      <w:numFmt w:val="decimal"/>
      <w:suff w:val="nothing"/>
      <w:lvlText w:val="%1、"/>
      <w:lvlJc w:val="left"/>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zUzNTNiNTMzYmNkZDdmNDdiOGNiN2RiZDE4N2MifQ=="/>
  </w:docVars>
  <w:rsids>
    <w:rsidRoot w:val="757C649A"/>
    <w:rsid w:val="000B4D73"/>
    <w:rsid w:val="000C2974"/>
    <w:rsid w:val="000D1D76"/>
    <w:rsid w:val="00145A8A"/>
    <w:rsid w:val="001660B3"/>
    <w:rsid w:val="00180BBC"/>
    <w:rsid w:val="00192271"/>
    <w:rsid w:val="001E4069"/>
    <w:rsid w:val="002750F3"/>
    <w:rsid w:val="002E2C2C"/>
    <w:rsid w:val="003F5036"/>
    <w:rsid w:val="003F668C"/>
    <w:rsid w:val="00430263"/>
    <w:rsid w:val="00433D33"/>
    <w:rsid w:val="00467C2B"/>
    <w:rsid w:val="00483865"/>
    <w:rsid w:val="004E69F4"/>
    <w:rsid w:val="00542D0F"/>
    <w:rsid w:val="006F6B58"/>
    <w:rsid w:val="00713659"/>
    <w:rsid w:val="00713AC6"/>
    <w:rsid w:val="007629CF"/>
    <w:rsid w:val="007836D9"/>
    <w:rsid w:val="007C71F8"/>
    <w:rsid w:val="00883441"/>
    <w:rsid w:val="00897644"/>
    <w:rsid w:val="008E1996"/>
    <w:rsid w:val="00932399"/>
    <w:rsid w:val="0093776D"/>
    <w:rsid w:val="009C00D3"/>
    <w:rsid w:val="009E2C28"/>
    <w:rsid w:val="00AB6B3C"/>
    <w:rsid w:val="00B942BC"/>
    <w:rsid w:val="00BC26AF"/>
    <w:rsid w:val="00BE7728"/>
    <w:rsid w:val="00C37892"/>
    <w:rsid w:val="00C75C4E"/>
    <w:rsid w:val="00C76982"/>
    <w:rsid w:val="00C82BDF"/>
    <w:rsid w:val="00CB51F3"/>
    <w:rsid w:val="00D37407"/>
    <w:rsid w:val="00E75ACA"/>
    <w:rsid w:val="00E8544C"/>
    <w:rsid w:val="00EB391E"/>
    <w:rsid w:val="00EF1879"/>
    <w:rsid w:val="00F024E5"/>
    <w:rsid w:val="00F10715"/>
    <w:rsid w:val="00F3335F"/>
    <w:rsid w:val="00FE1BF9"/>
    <w:rsid w:val="00FE7A3E"/>
    <w:rsid w:val="056054E5"/>
    <w:rsid w:val="06B64A6C"/>
    <w:rsid w:val="0C664A37"/>
    <w:rsid w:val="15DD4FF7"/>
    <w:rsid w:val="27A43248"/>
    <w:rsid w:val="318C3D04"/>
    <w:rsid w:val="3D532A3A"/>
    <w:rsid w:val="42782725"/>
    <w:rsid w:val="4CE53ED0"/>
    <w:rsid w:val="51A858B7"/>
    <w:rsid w:val="57A630EE"/>
    <w:rsid w:val="67B94A31"/>
    <w:rsid w:val="67FA392E"/>
    <w:rsid w:val="6C88775B"/>
    <w:rsid w:val="6F677EB7"/>
    <w:rsid w:val="757C649A"/>
    <w:rsid w:val="7B6D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3"/>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adjustRightInd w:val="0"/>
      <w:ind w:firstLine="420"/>
      <w:jc w:val="left"/>
      <w:textAlignment w:val="baseline"/>
    </w:pPr>
    <w:rPr>
      <w:rFonts w:hint="eastAsia" w:ascii="宋体" w:hAnsi="宋体"/>
      <w:color w:val="000000"/>
      <w:sz w:val="24"/>
      <w:szCs w:val="24"/>
    </w:rPr>
  </w:style>
  <w:style w:type="paragraph" w:customStyle="1" w:styleId="4">
    <w:name w:val="正文首行缩进2个字 Char"/>
    <w:basedOn w:val="1"/>
    <w:qFormat/>
    <w:uiPriority w:val="0"/>
    <w:pPr>
      <w:ind w:firstLine="480" w:firstLineChars="200"/>
    </w:pPr>
    <w:rPr>
      <w:rFonts w:eastAsia="楷体"/>
      <w:sz w:val="24"/>
    </w:rPr>
  </w:style>
  <w:style w:type="paragraph" w:styleId="5">
    <w:name w:val="Plain Text"/>
    <w:basedOn w:val="1"/>
    <w:link w:val="17"/>
    <w:qFormat/>
    <w:uiPriority w:val="0"/>
    <w:pPr>
      <w:spacing w:line="240" w:lineRule="auto"/>
    </w:pPr>
    <w:rPr>
      <w:rFonts w:ascii="宋体" w:hAnsi="Courier New" w:cs="Courier New"/>
      <w:szCs w:val="21"/>
    </w:rPr>
  </w:style>
  <w:style w:type="paragraph" w:styleId="6">
    <w:name w:val="Balloon Text"/>
    <w:basedOn w:val="1"/>
    <w:link w:val="12"/>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1">
    <w:name w:val="page number"/>
    <w:qFormat/>
    <w:uiPriority w:val="0"/>
  </w:style>
  <w:style w:type="character" w:customStyle="1" w:styleId="12">
    <w:name w:val="批注框文本 字符"/>
    <w:basedOn w:val="10"/>
    <w:link w:val="6"/>
    <w:qFormat/>
    <w:uiPriority w:val="0"/>
    <w:rPr>
      <w:kern w:val="2"/>
      <w:sz w:val="18"/>
      <w:szCs w:val="18"/>
    </w:rPr>
  </w:style>
  <w:style w:type="character" w:customStyle="1" w:styleId="13">
    <w:name w:val="标题 5 字符"/>
    <w:basedOn w:val="10"/>
    <w:link w:val="2"/>
    <w:qFormat/>
    <w:uiPriority w:val="9"/>
    <w:rPr>
      <w:rFonts w:ascii="Calibri" w:hAnsi="Calibri" w:eastAsia="宋体" w:cs="Times New Roman"/>
      <w:b/>
      <w:bCs/>
      <w:kern w:val="2"/>
      <w:sz w:val="28"/>
      <w:szCs w:val="28"/>
    </w:rPr>
  </w:style>
  <w:style w:type="paragraph" w:styleId="14">
    <w:name w:val="List Paragraph"/>
    <w:basedOn w:val="1"/>
    <w:unhideWhenUsed/>
    <w:qFormat/>
    <w:uiPriority w:val="34"/>
    <w:pPr>
      <w:ind w:firstLine="420" w:firstLineChars="200"/>
    </w:pPr>
  </w:style>
  <w:style w:type="paragraph" w:customStyle="1" w:styleId="15">
    <w:name w:val="表头、图尾"/>
    <w:next w:val="1"/>
    <w:qFormat/>
    <w:uiPriority w:val="0"/>
    <w:pPr>
      <w:spacing w:line="500" w:lineRule="exact"/>
      <w:jc w:val="center"/>
    </w:pPr>
    <w:rPr>
      <w:rFonts w:ascii="Times New Roman" w:hAnsi="Times New Roman" w:eastAsia="仿宋_GB2312" w:cs="Times New Roman"/>
      <w:b/>
      <w:kern w:val="2"/>
      <w:sz w:val="24"/>
      <w:lang w:val="en-US" w:eastAsia="zh-CN" w:bidi="ar-SA"/>
    </w:rPr>
  </w:style>
  <w:style w:type="character" w:customStyle="1" w:styleId="16">
    <w:name w:val="页眉 字符"/>
    <w:basedOn w:val="10"/>
    <w:link w:val="8"/>
    <w:qFormat/>
    <w:uiPriority w:val="99"/>
    <w:rPr>
      <w:kern w:val="2"/>
      <w:sz w:val="18"/>
      <w:szCs w:val="18"/>
    </w:rPr>
  </w:style>
  <w:style w:type="character" w:customStyle="1" w:styleId="17">
    <w:name w:val="纯文本 字符"/>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4006</Words>
  <Characters>4689</Characters>
  <Lines>23</Lines>
  <Paragraphs>6</Paragraphs>
  <TotalTime>24</TotalTime>
  <ScaleCrop>false</ScaleCrop>
  <LinksUpToDate>false</LinksUpToDate>
  <CharactersWithSpaces>4892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2017-04-24T03:00:00Z</dcterms:created>
  <dc:creator>Administrator</dc:creator>
  <cp:lastModifiedBy>可乐、</cp:lastModifiedBy>
  <cp:lastPrinted>2025-03-04T01:30:00Z</cp:lastPrinted>
  <dcterms:modified xsi:type="dcterms:W3CDTF">2025-03-21T06:41:30Z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C72472EEE7A54AAAAE6B29A122B389FC_13</vt:lpwstr>
  </property>
  <property fmtid="{D5CDD505-2E9C-101B-9397-08002B2CF9AE}" pid="4" name="KSOTemplateDocerSaveRecord">
    <vt:lpwstr>eyJoZGlkIjoiYzdjNmYyOTQ1ZTkzZGY5ODAzM2FiZjg0NjY2MWExNTQiLCJ1c2VySWQiOiI0MjY0MjE0OTQifQ==</vt:lpwstr>
  </property>
</Properties>
</file>